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22514B" w14:textId="77777777" w:rsidR="00D51A7C" w:rsidRPr="00BE0A0B" w:rsidRDefault="00D51A7C" w:rsidP="004D5D65">
      <w:pPr>
        <w:pStyle w:val="BodyText"/>
        <w:jc w:val="center"/>
        <w:rPr>
          <w:rFonts w:cs="GHEA Mariam"/>
          <w:b/>
          <w:bCs/>
          <w:lang w:val="hy-AM"/>
        </w:rPr>
      </w:pPr>
      <w:r w:rsidRPr="00BE0A0B">
        <w:rPr>
          <w:rFonts w:cs="GHEA Mariam"/>
          <w:b/>
          <w:bCs/>
          <w:lang w:val="hy-AM"/>
        </w:rPr>
        <w:t>Հիմնավորում</w:t>
      </w:r>
    </w:p>
    <w:p w14:paraId="70B757AA" w14:textId="77777777" w:rsidR="00512EF7" w:rsidRDefault="00D51A7C" w:rsidP="00B853BE">
      <w:pPr>
        <w:spacing w:before="120"/>
        <w:ind w:firstLine="0"/>
        <w:jc w:val="center"/>
      </w:pPr>
      <w:r w:rsidRPr="000E602F">
        <w:t>Խտանյութի իրացման շրջանառության հաշվարկման նպատակով հիմք ընդունվող՝ մատակարարված խտանյութում մետաղների վերջնական պարունակության վերա</w:t>
      </w:r>
      <w:r w:rsidRPr="000E602F">
        <w:softHyphen/>
        <w:t>բեր</w:t>
      </w:r>
      <w:r w:rsidRPr="000E602F">
        <w:softHyphen/>
        <w:t xml:space="preserve">յալ եզրակացություն տրամադրող լաբորատորիաների ցանկը սահմանելու մասին» </w:t>
      </w:r>
    </w:p>
    <w:p w14:paraId="66DD5A19" w14:textId="679C42B0" w:rsidR="00B853BE" w:rsidRDefault="00BE0A0B" w:rsidP="00512EF7">
      <w:pPr>
        <w:ind w:firstLine="0"/>
        <w:jc w:val="center"/>
      </w:pPr>
      <w:r>
        <w:t>ՀՀ կ</w:t>
      </w:r>
      <w:r w:rsidR="00D51A7C" w:rsidRPr="000E602F">
        <w:t>առավարու</w:t>
      </w:r>
      <w:r w:rsidR="00D51A7C" w:rsidRPr="000E602F">
        <w:softHyphen/>
      </w:r>
      <w:r w:rsidR="00D51A7C" w:rsidRPr="000E602F">
        <w:softHyphen/>
        <w:t xml:space="preserve">թյան որոշման </w:t>
      </w:r>
      <w:r>
        <w:t>նախագծի</w:t>
      </w:r>
      <w:r w:rsidR="00D51A7C" w:rsidRPr="000E602F">
        <w:t xml:space="preserve"> </w:t>
      </w:r>
      <w:r w:rsidR="00D51A7C" w:rsidRPr="000E602F">
        <w:rPr>
          <w:rFonts w:cs="GHEA Mariam"/>
        </w:rPr>
        <w:t>վերաբերյալ</w:t>
      </w:r>
    </w:p>
    <w:p w14:paraId="247D6EE6" w14:textId="77777777" w:rsidR="00BE0A0B" w:rsidRDefault="00BE0A0B" w:rsidP="00B853BE">
      <w:pPr>
        <w:spacing w:before="120"/>
        <w:ind w:firstLine="0"/>
        <w:jc w:val="center"/>
      </w:pPr>
    </w:p>
    <w:p w14:paraId="36EB3AA7" w14:textId="4E96ABA6" w:rsidR="00D51A7C" w:rsidRPr="00E71A2F" w:rsidRDefault="00D51A7C" w:rsidP="001B0552">
      <w:pPr>
        <w:numPr>
          <w:ilvl w:val="0"/>
          <w:numId w:val="2"/>
        </w:numPr>
        <w:tabs>
          <w:tab w:val="clear" w:pos="928"/>
          <w:tab w:val="left" w:pos="851"/>
          <w:tab w:val="left" w:pos="993"/>
        </w:tabs>
        <w:autoSpaceDN w:val="0"/>
        <w:ind w:left="0" w:firstLine="568"/>
        <w:rPr>
          <w:rFonts w:cs="Sylfaen"/>
          <w:i/>
          <w:sz w:val="20"/>
        </w:rPr>
      </w:pPr>
      <w:r w:rsidRPr="00D72642">
        <w:rPr>
          <w:rFonts w:cs="Sylfaen"/>
          <w:b/>
        </w:rPr>
        <w:t>Իրավական ակտի անհրաժեշտությունը (նպատակը).</w:t>
      </w:r>
      <w:r w:rsidRPr="00E71A2F">
        <w:rPr>
          <w:rFonts w:cs="Sylfaen"/>
          <w:b/>
        </w:rPr>
        <w:t xml:space="preserve"> </w:t>
      </w:r>
      <w:r w:rsidR="004A5D9E">
        <w:rPr>
          <w:rFonts w:cs="Sylfaen"/>
        </w:rPr>
        <w:t>Ն</w:t>
      </w:r>
      <w:r w:rsidR="00B66D1D">
        <w:rPr>
          <w:rFonts w:cs="Sylfaen"/>
        </w:rPr>
        <w:t xml:space="preserve">ախագծի նպատակը </w:t>
      </w:r>
      <w:r w:rsidR="00E532F6">
        <w:rPr>
          <w:rFonts w:cs="Sylfaen"/>
          <w:szCs w:val="23"/>
        </w:rPr>
        <w:t>Հ</w:t>
      </w:r>
      <w:r w:rsidRPr="00E71A2F">
        <w:rPr>
          <w:rFonts w:cs="Sylfaen"/>
          <w:szCs w:val="23"/>
        </w:rPr>
        <w:t>ար</w:t>
      </w:r>
      <w:r w:rsidR="00E532F6">
        <w:rPr>
          <w:rFonts w:cs="Sylfaen"/>
          <w:szCs w:val="23"/>
        </w:rPr>
        <w:softHyphen/>
      </w:r>
      <w:r w:rsidRPr="00E71A2F">
        <w:rPr>
          <w:rFonts w:cs="Sylfaen"/>
          <w:szCs w:val="23"/>
        </w:rPr>
        <w:t>կա</w:t>
      </w:r>
      <w:r w:rsidR="00E532F6">
        <w:rPr>
          <w:rFonts w:cs="Sylfaen"/>
          <w:szCs w:val="23"/>
        </w:rPr>
        <w:softHyphen/>
      </w:r>
      <w:r w:rsidRPr="00E71A2F">
        <w:rPr>
          <w:rFonts w:cs="Sylfaen"/>
          <w:szCs w:val="23"/>
        </w:rPr>
        <w:t>յին</w:t>
      </w:r>
      <w:r w:rsidRPr="00E71A2F">
        <w:rPr>
          <w:szCs w:val="23"/>
        </w:rPr>
        <w:t xml:space="preserve"> </w:t>
      </w:r>
      <w:r w:rsidRPr="00E71A2F">
        <w:rPr>
          <w:rFonts w:cs="Sylfaen"/>
          <w:szCs w:val="23"/>
        </w:rPr>
        <w:t>օրենսգր</w:t>
      </w:r>
      <w:r w:rsidR="00B66D1D">
        <w:rPr>
          <w:rFonts w:cs="Sylfaen"/>
          <w:szCs w:val="23"/>
        </w:rPr>
        <w:t>քի</w:t>
      </w:r>
      <w:r w:rsidRPr="00E71A2F">
        <w:t xml:space="preserve"> </w:t>
      </w:r>
      <w:r w:rsidR="00B66D1D" w:rsidRPr="00B66D1D">
        <w:t>202-րդ հոդվածի 3-րդ մասի առաջին կետ</w:t>
      </w:r>
      <w:r w:rsidR="00B66D1D">
        <w:t>ի</w:t>
      </w:r>
      <w:r w:rsidRPr="00E71A2F">
        <w:rPr>
          <w:rFonts w:cs="Sylfaen"/>
        </w:rPr>
        <w:t xml:space="preserve"> կիրար</w:t>
      </w:r>
      <w:r>
        <w:rPr>
          <w:rFonts w:cs="Sylfaen"/>
        </w:rPr>
        <w:softHyphen/>
      </w:r>
      <w:r w:rsidRPr="00E71A2F">
        <w:rPr>
          <w:rFonts w:cs="Sylfaen"/>
        </w:rPr>
        <w:t xml:space="preserve">կումն ապահովելն </w:t>
      </w:r>
      <w:r w:rsidR="00236768">
        <w:rPr>
          <w:rFonts w:cs="Sylfaen"/>
        </w:rPr>
        <w:t>է</w:t>
      </w:r>
      <w:r>
        <w:t>:</w:t>
      </w:r>
    </w:p>
    <w:p w14:paraId="7935D91A" w14:textId="1A8EA858" w:rsidR="001B0552" w:rsidRPr="001B0552" w:rsidRDefault="00D51A7C" w:rsidP="001B0552">
      <w:pPr>
        <w:numPr>
          <w:ilvl w:val="0"/>
          <w:numId w:val="2"/>
        </w:numPr>
        <w:tabs>
          <w:tab w:val="num" w:pos="840"/>
        </w:tabs>
        <w:autoSpaceDN w:val="0"/>
        <w:ind w:left="-14" w:firstLine="581"/>
        <w:rPr>
          <w:rFonts w:cs="Sylfaen"/>
          <w:szCs w:val="28"/>
        </w:rPr>
      </w:pPr>
      <w:r w:rsidRPr="00D72642">
        <w:rPr>
          <w:rFonts w:cs="Sylfaen"/>
          <w:b/>
        </w:rPr>
        <w:t>Կարգավորման հարաբերությունների ներկա վիճակը և առկա խնդիրները.</w:t>
      </w:r>
      <w:r>
        <w:rPr>
          <w:rFonts w:cs="Sylfaen"/>
        </w:rPr>
        <w:t xml:space="preserve"> Ներ</w:t>
      </w:r>
      <w:r w:rsidRPr="00A029D2">
        <w:rPr>
          <w:rFonts w:cs="Sylfaen"/>
        </w:rPr>
        <w:softHyphen/>
      </w:r>
      <w:r>
        <w:rPr>
          <w:rFonts w:cs="Sylfaen"/>
        </w:rPr>
        <w:t>կա</w:t>
      </w:r>
      <w:r w:rsidRPr="00A029D2">
        <w:rPr>
          <w:rFonts w:cs="Sylfaen"/>
        </w:rPr>
        <w:softHyphen/>
      </w:r>
      <w:r w:rsidR="00236768">
        <w:rPr>
          <w:rFonts w:cs="Sylfaen"/>
        </w:rPr>
        <w:softHyphen/>
      </w:r>
      <w:r w:rsidR="00E532F6">
        <w:rPr>
          <w:rFonts w:cs="Sylfaen"/>
        </w:rPr>
        <w:softHyphen/>
      </w:r>
      <w:r w:rsidR="001B0552">
        <w:rPr>
          <w:rFonts w:cs="Sylfaen"/>
        </w:rPr>
        <w:t>յում</w:t>
      </w:r>
      <w:r>
        <w:rPr>
          <w:rFonts w:cs="Sylfaen"/>
        </w:rPr>
        <w:t xml:space="preserve"> հանքարդյունաբերության ոլորտում գործունեություն իրականացնող կազմակեր</w:t>
      </w:r>
      <w:r>
        <w:rPr>
          <w:rFonts w:cs="Sylfaen"/>
        </w:rPr>
        <w:softHyphen/>
        <w:t>պու</w:t>
      </w:r>
      <w:r>
        <w:rPr>
          <w:rFonts w:cs="Sylfaen"/>
        </w:rPr>
        <w:softHyphen/>
        <w:t>թյուն</w:t>
      </w:r>
      <w:r w:rsidR="00E532F6">
        <w:rPr>
          <w:rFonts w:cs="Sylfaen"/>
        </w:rPr>
        <w:softHyphen/>
      </w:r>
      <w:r w:rsidR="00236768">
        <w:rPr>
          <w:rFonts w:cs="Sylfaen"/>
        </w:rPr>
        <w:softHyphen/>
      </w:r>
      <w:r>
        <w:rPr>
          <w:rFonts w:cs="Sylfaen"/>
        </w:rPr>
        <w:softHyphen/>
        <w:t>ներ</w:t>
      </w:r>
      <w:r w:rsidR="001B0552">
        <w:rPr>
          <w:rFonts w:cs="Sylfaen"/>
        </w:rPr>
        <w:t>ի կողմից</w:t>
      </w:r>
      <w:r>
        <w:rPr>
          <w:rFonts w:cs="Sylfaen"/>
        </w:rPr>
        <w:t xml:space="preserve"> </w:t>
      </w:r>
      <w:r w:rsidRPr="000E602F">
        <w:t>մատակարարված խտանյութում մե</w:t>
      </w:r>
      <w:r>
        <w:t>տաղների վերջնական պարու</w:t>
      </w:r>
      <w:r>
        <w:softHyphen/>
        <w:t>նա</w:t>
      </w:r>
      <w:r>
        <w:softHyphen/>
        <w:t>կու</w:t>
      </w:r>
      <w:r w:rsidR="00236768">
        <w:softHyphen/>
      </w:r>
      <w:r>
        <w:t>թյունը</w:t>
      </w:r>
      <w:r w:rsidR="001B0552">
        <w:t xml:space="preserve"> որոշող </w:t>
      </w:r>
      <w:r w:rsidR="00FC1677">
        <w:t xml:space="preserve">լաբորատորիաների </w:t>
      </w:r>
      <w:r w:rsidR="001B0552">
        <w:t>ցանկ սահմանված չէ</w:t>
      </w:r>
      <w:r>
        <w:t xml:space="preserve">, որը </w:t>
      </w:r>
      <w:r w:rsidR="001B0552">
        <w:t>չի ապահովում մատա</w:t>
      </w:r>
      <w:r w:rsidR="00236768">
        <w:softHyphen/>
      </w:r>
      <w:r w:rsidR="001B0552">
        <w:t>կա</w:t>
      </w:r>
      <w:r w:rsidR="00236768">
        <w:softHyphen/>
      </w:r>
      <w:r w:rsidR="001B0552">
        <w:t>րար</w:t>
      </w:r>
      <w:r w:rsidR="00236768">
        <w:softHyphen/>
      </w:r>
      <w:r w:rsidR="001B0552">
        <w:t>ված խտանյութում մետաղների պարունակության վերաբերյալ թափանցիկության և կան</w:t>
      </w:r>
      <w:r w:rsidR="00236768">
        <w:softHyphen/>
      </w:r>
      <w:r w:rsidR="001B0552">
        <w:t>խա</w:t>
      </w:r>
      <w:r w:rsidR="00236768">
        <w:softHyphen/>
      </w:r>
      <w:r w:rsidR="001B0552">
        <w:t>տեսե</w:t>
      </w:r>
      <w:r w:rsidR="00236768">
        <w:softHyphen/>
      </w:r>
      <w:r w:rsidR="001B0552">
        <w:t>լիության անհրաժեշտ մակարդակ:</w:t>
      </w:r>
    </w:p>
    <w:p w14:paraId="21D6C2BE" w14:textId="782E41D0" w:rsidR="00D51A7C" w:rsidRPr="008D1AA1" w:rsidRDefault="00D51A7C" w:rsidP="001B0552">
      <w:pPr>
        <w:autoSpaceDN w:val="0"/>
        <w:ind w:left="-14" w:firstLine="581"/>
        <w:rPr>
          <w:rFonts w:cs="Sylfaen"/>
          <w:szCs w:val="28"/>
        </w:rPr>
      </w:pPr>
      <w:r>
        <w:rPr>
          <w:rFonts w:cs="Sylfaen"/>
        </w:rPr>
        <w:t>Ոլորտում հարկման համակարգի արդյունավետության բարձրացման և հավասար պայ</w:t>
      </w:r>
      <w:r w:rsidR="00236768">
        <w:rPr>
          <w:rFonts w:cs="Sylfaen"/>
        </w:rPr>
        <w:softHyphen/>
      </w:r>
      <w:r>
        <w:rPr>
          <w:rFonts w:cs="Sylfaen"/>
        </w:rPr>
        <w:t>ման</w:t>
      </w:r>
      <w:r>
        <w:rPr>
          <w:rFonts w:cs="Sylfaen"/>
        </w:rPr>
        <w:softHyphen/>
      </w:r>
      <w:r w:rsidR="00236768">
        <w:rPr>
          <w:rFonts w:cs="Sylfaen"/>
        </w:rPr>
        <w:softHyphen/>
      </w:r>
      <w:r>
        <w:rPr>
          <w:rFonts w:cs="Sylfaen"/>
        </w:rPr>
        <w:t>ների ստեղծման նպատակով անհրաժեշտ է սահմանել լաբորատորիաների ցանկ, որոն</w:t>
      </w:r>
      <w:r w:rsidR="001B0552">
        <w:rPr>
          <w:rFonts w:cs="Sylfaen"/>
        </w:rPr>
        <w:t>ց կող</w:t>
      </w:r>
      <w:r w:rsidR="00236768">
        <w:rPr>
          <w:rFonts w:cs="Sylfaen"/>
        </w:rPr>
        <w:softHyphen/>
      </w:r>
      <w:r w:rsidR="001B0552">
        <w:rPr>
          <w:rFonts w:cs="Sylfaen"/>
        </w:rPr>
        <w:t>մից տրամադրված</w:t>
      </w:r>
      <w:r>
        <w:rPr>
          <w:rFonts w:cs="Sylfaen"/>
        </w:rPr>
        <w:t xml:space="preserve"> </w:t>
      </w:r>
      <w:r w:rsidRPr="000E602F">
        <w:t>եզրա</w:t>
      </w:r>
      <w:r>
        <w:softHyphen/>
      </w:r>
      <w:r w:rsidRPr="000E602F">
        <w:t>կա</w:t>
      </w:r>
      <w:r>
        <w:softHyphen/>
      </w:r>
      <w:r w:rsidRPr="000E602F">
        <w:t>ցություն</w:t>
      </w:r>
      <w:r w:rsidR="001B0552">
        <w:t>ները հիմք կհանդիսանան ռոյալթիի հաշվարկման նպա</w:t>
      </w:r>
      <w:r w:rsidR="00236768">
        <w:softHyphen/>
      </w:r>
      <w:r w:rsidR="001B0552">
        <w:t>տակով խտանյությում</w:t>
      </w:r>
      <w:r w:rsidRPr="000E602F">
        <w:t xml:space="preserve"> մետաղների վերջնա</w:t>
      </w:r>
      <w:r>
        <w:t xml:space="preserve">կան պարունակության </w:t>
      </w:r>
      <w:r w:rsidR="001B0552">
        <w:t>որոշման համար:</w:t>
      </w:r>
    </w:p>
    <w:p w14:paraId="74CB3345" w14:textId="711F40D2" w:rsidR="00D51A7C" w:rsidRPr="008D1AA1" w:rsidRDefault="00D51A7C" w:rsidP="00236768">
      <w:pPr>
        <w:numPr>
          <w:ilvl w:val="0"/>
          <w:numId w:val="2"/>
        </w:numPr>
        <w:tabs>
          <w:tab w:val="num" w:pos="840"/>
        </w:tabs>
        <w:autoSpaceDN w:val="0"/>
        <w:ind w:left="-14" w:firstLine="581"/>
      </w:pPr>
      <w:r w:rsidRPr="008D1AA1">
        <w:rPr>
          <w:rFonts w:cs="Sylfaen"/>
          <w:b/>
        </w:rPr>
        <w:t xml:space="preserve">Առկա խնդիրների առաջարկվող լուծումները. </w:t>
      </w:r>
      <w:r w:rsidRPr="00236768">
        <w:rPr>
          <w:rFonts w:cs="Sylfaen"/>
        </w:rPr>
        <w:t xml:space="preserve">Նախագծով առաջարկվում </w:t>
      </w:r>
      <w:r w:rsidR="00512EF7">
        <w:rPr>
          <w:rFonts w:cs="Sylfaen"/>
        </w:rPr>
        <w:t xml:space="preserve">է </w:t>
      </w:r>
      <w:r w:rsidRPr="008D1AA1">
        <w:t>սահմա</w:t>
      </w:r>
      <w:bookmarkStart w:id="0" w:name="_GoBack"/>
      <w:bookmarkEnd w:id="0"/>
      <w:r w:rsidRPr="008D1AA1">
        <w:t>ն</w:t>
      </w:r>
      <w:r w:rsidR="00F05F7C">
        <w:t>ել</w:t>
      </w:r>
      <w:r w:rsidRPr="008D1AA1">
        <w:t xml:space="preserve"> </w:t>
      </w:r>
      <w:r w:rsidRPr="00236768">
        <w:rPr>
          <w:rStyle w:val="markedcontent"/>
          <w:rFonts w:eastAsia="SimSun"/>
          <w:szCs w:val="27"/>
        </w:rPr>
        <w:t xml:space="preserve">հանքարդյունաբերության ոլորտում </w:t>
      </w:r>
      <w:r w:rsidRPr="008D1AA1">
        <w:t>խտանյութի իրաց</w:t>
      </w:r>
      <w:r w:rsidRPr="008D1AA1">
        <w:softHyphen/>
        <w:t>ման շրջանառության հաշվարկ</w:t>
      </w:r>
      <w:r w:rsidRPr="008D1AA1">
        <w:softHyphen/>
        <w:t>ման նպա</w:t>
      </w:r>
      <w:r w:rsidR="00236768">
        <w:softHyphen/>
      </w:r>
      <w:r w:rsidRPr="008D1AA1">
        <w:t>տակով հիմք ընդունվող՝ մատակարարված խտա</w:t>
      </w:r>
      <w:r w:rsidRPr="008D1AA1">
        <w:softHyphen/>
        <w:t>նյութ</w:t>
      </w:r>
      <w:r w:rsidRPr="008D1AA1">
        <w:softHyphen/>
        <w:t>ում մետաղների վերջնական պա</w:t>
      </w:r>
      <w:r w:rsidRPr="008D1AA1">
        <w:softHyphen/>
      </w:r>
      <w:r w:rsidRPr="008D1AA1">
        <w:softHyphen/>
        <w:t>րու</w:t>
      </w:r>
      <w:r w:rsidRPr="008D1AA1">
        <w:softHyphen/>
        <w:t>նա</w:t>
      </w:r>
      <w:r w:rsidRPr="008D1AA1">
        <w:softHyphen/>
      </w:r>
      <w:r w:rsidR="00236768">
        <w:softHyphen/>
      </w:r>
      <w:r w:rsidRPr="008D1AA1">
        <w:t>կության վերա</w:t>
      </w:r>
      <w:r w:rsidRPr="008D1AA1">
        <w:softHyphen/>
        <w:t>բեր</w:t>
      </w:r>
      <w:r w:rsidRPr="008D1AA1">
        <w:softHyphen/>
        <w:t>յալ եզրակացություն տրամադրող լաբորատորիաների ցանկը:</w:t>
      </w:r>
    </w:p>
    <w:p w14:paraId="327AD0A2" w14:textId="4F107AAA" w:rsidR="00D51A7C" w:rsidRPr="00D72642" w:rsidRDefault="00D51A7C" w:rsidP="00D51A7C">
      <w:pPr>
        <w:numPr>
          <w:ilvl w:val="0"/>
          <w:numId w:val="2"/>
        </w:numPr>
        <w:tabs>
          <w:tab w:val="num" w:pos="840"/>
        </w:tabs>
        <w:autoSpaceDN w:val="0"/>
        <w:ind w:left="-14" w:firstLine="581"/>
        <w:rPr>
          <w:rFonts w:cs="GHEA Grapalat"/>
        </w:rPr>
      </w:pPr>
      <w:r w:rsidRPr="00D72642">
        <w:rPr>
          <w:rFonts w:cs="Sylfaen"/>
          <w:b/>
        </w:rPr>
        <w:t xml:space="preserve">Կարգավորման առարկան. </w:t>
      </w:r>
      <w:r w:rsidRPr="00D72642">
        <w:rPr>
          <w:rFonts w:cs="Sylfaen"/>
        </w:rPr>
        <w:t>Նախագծ</w:t>
      </w:r>
      <w:r>
        <w:rPr>
          <w:rFonts w:cs="Sylfaen"/>
        </w:rPr>
        <w:t xml:space="preserve">ի կարգավորման առարկան </w:t>
      </w:r>
      <w:r w:rsidR="00936805" w:rsidRPr="000E602F">
        <w:t>մատակարարված խտա</w:t>
      </w:r>
      <w:r w:rsidR="00236768">
        <w:softHyphen/>
      </w:r>
      <w:r w:rsidR="00936805" w:rsidRPr="000E602F">
        <w:t>նյութում մետաղների վերջնական պարունակության վերա</w:t>
      </w:r>
      <w:r w:rsidR="00936805" w:rsidRPr="000E602F">
        <w:softHyphen/>
        <w:t>բեր</w:t>
      </w:r>
      <w:r w:rsidR="00936805" w:rsidRPr="000E602F">
        <w:softHyphen/>
        <w:t>յալ եզրակացություն տրա</w:t>
      </w:r>
      <w:r w:rsidR="00236768">
        <w:softHyphen/>
      </w:r>
      <w:r w:rsidR="00936805" w:rsidRPr="000E602F">
        <w:t>մադրող լաբորատորիաների ցանկ</w:t>
      </w:r>
      <w:r w:rsidR="00936805">
        <w:t xml:space="preserve">ի հետ կապված </w:t>
      </w:r>
      <w:r w:rsidR="00A3607F">
        <w:rPr>
          <w:rFonts w:cs="Sylfaen"/>
        </w:rPr>
        <w:t>հարաբերություններն</w:t>
      </w:r>
      <w:r>
        <w:rPr>
          <w:rFonts w:cs="Sylfaen"/>
        </w:rPr>
        <w:t xml:space="preserve"> են</w:t>
      </w:r>
      <w:r w:rsidRPr="00D72642">
        <w:rPr>
          <w:rFonts w:cs="Sylfaen"/>
        </w:rPr>
        <w:t>:</w:t>
      </w:r>
    </w:p>
    <w:p w14:paraId="2CA2A65A" w14:textId="77777777" w:rsidR="00D51A7C" w:rsidRPr="00D72642" w:rsidRDefault="00D51A7C" w:rsidP="00D51A7C">
      <w:pPr>
        <w:numPr>
          <w:ilvl w:val="0"/>
          <w:numId w:val="2"/>
        </w:numPr>
        <w:tabs>
          <w:tab w:val="num" w:pos="840"/>
        </w:tabs>
        <w:autoSpaceDN w:val="0"/>
        <w:ind w:left="-14" w:firstLine="581"/>
        <w:rPr>
          <w:rFonts w:cs="GHEA Grapalat"/>
        </w:rPr>
      </w:pPr>
      <w:r w:rsidRPr="00D72642">
        <w:rPr>
          <w:b/>
        </w:rPr>
        <w:t>Նախագծի մշակման գործընթացում ներգրավված ինստիտուտները և անձինք.</w:t>
      </w:r>
      <w:r w:rsidRPr="00144F17">
        <w:rPr>
          <w:b/>
        </w:rPr>
        <w:t xml:space="preserve"> </w:t>
      </w:r>
      <w:r w:rsidRPr="00144F17">
        <w:t>Նախ</w:t>
      </w:r>
      <w:r>
        <w:t>ա</w:t>
      </w:r>
      <w:r w:rsidRPr="00144F17">
        <w:t>գ</w:t>
      </w:r>
      <w:r>
        <w:t>ի</w:t>
      </w:r>
      <w:r w:rsidRPr="00144F17">
        <w:t>ծ</w:t>
      </w:r>
      <w:r>
        <w:t xml:space="preserve">ը </w:t>
      </w:r>
      <w:r w:rsidRPr="00144F17">
        <w:t xml:space="preserve">մշակվել </w:t>
      </w:r>
      <w:r>
        <w:t>է</w:t>
      </w:r>
      <w:r w:rsidRPr="00144F17">
        <w:t xml:space="preserve"> ՀՀ ֆինանսների նախարարության կող</w:t>
      </w:r>
      <w:r w:rsidRPr="00144F17">
        <w:softHyphen/>
      </w:r>
      <w:r w:rsidRPr="00144F17">
        <w:softHyphen/>
        <w:t>մից:</w:t>
      </w:r>
    </w:p>
    <w:p w14:paraId="76D499D1" w14:textId="56CCE5B3" w:rsidR="00D51A7C" w:rsidRPr="00D72642" w:rsidRDefault="00D51A7C" w:rsidP="00D51A7C">
      <w:pPr>
        <w:numPr>
          <w:ilvl w:val="0"/>
          <w:numId w:val="2"/>
        </w:numPr>
        <w:tabs>
          <w:tab w:val="num" w:pos="840"/>
        </w:tabs>
        <w:autoSpaceDN w:val="0"/>
        <w:ind w:left="-14" w:firstLine="581"/>
        <w:rPr>
          <w:rFonts w:cs="GHEA Grapalat"/>
        </w:rPr>
      </w:pPr>
      <w:r w:rsidRPr="00D72642">
        <w:rPr>
          <w:rFonts w:cs="Sylfaen"/>
          <w:b/>
        </w:rPr>
        <w:lastRenderedPageBreak/>
        <w:t>Իրավական</w:t>
      </w:r>
      <w:r w:rsidRPr="00D72642">
        <w:rPr>
          <w:rFonts w:cs="Courier New"/>
          <w:b/>
        </w:rPr>
        <w:t xml:space="preserve"> </w:t>
      </w:r>
      <w:r w:rsidRPr="00D72642">
        <w:rPr>
          <w:rFonts w:cs="Sylfaen"/>
          <w:b/>
        </w:rPr>
        <w:t>ակտի</w:t>
      </w:r>
      <w:r w:rsidRPr="00D72642">
        <w:rPr>
          <w:rFonts w:cs="Courier New"/>
          <w:b/>
        </w:rPr>
        <w:t xml:space="preserve"> </w:t>
      </w:r>
      <w:r w:rsidRPr="00D72642">
        <w:rPr>
          <w:rFonts w:cs="Sylfaen"/>
          <w:b/>
        </w:rPr>
        <w:t>կիրառման</w:t>
      </w:r>
      <w:r w:rsidRPr="00D72642">
        <w:rPr>
          <w:rFonts w:cs="Courier New"/>
          <w:b/>
        </w:rPr>
        <w:t xml:space="preserve"> </w:t>
      </w:r>
      <w:r w:rsidRPr="00D72642">
        <w:rPr>
          <w:rFonts w:cs="Sylfaen"/>
          <w:b/>
        </w:rPr>
        <w:t>դեպքում</w:t>
      </w:r>
      <w:r w:rsidRPr="00D72642">
        <w:rPr>
          <w:rFonts w:cs="Courier New"/>
          <w:b/>
        </w:rPr>
        <w:t xml:space="preserve"> </w:t>
      </w:r>
      <w:r w:rsidRPr="00D72642">
        <w:rPr>
          <w:rFonts w:cs="Sylfaen"/>
          <w:b/>
        </w:rPr>
        <w:t>ակնկալվող</w:t>
      </w:r>
      <w:r w:rsidRPr="00D72642">
        <w:rPr>
          <w:rFonts w:cs="Courier New"/>
          <w:b/>
        </w:rPr>
        <w:t xml:space="preserve"> </w:t>
      </w:r>
      <w:r w:rsidRPr="00D72642">
        <w:rPr>
          <w:rFonts w:cs="Sylfaen"/>
          <w:b/>
        </w:rPr>
        <w:t>արդյունքը</w:t>
      </w:r>
      <w:r w:rsidRPr="00D72642">
        <w:rPr>
          <w:rFonts w:cs="Courier New"/>
          <w:b/>
        </w:rPr>
        <w:t xml:space="preserve">. </w:t>
      </w:r>
      <w:r w:rsidRPr="00D72642">
        <w:rPr>
          <w:rFonts w:cs="Sylfaen"/>
        </w:rPr>
        <w:t>Նախագծ</w:t>
      </w:r>
      <w:r>
        <w:rPr>
          <w:rFonts w:cs="Sylfaen"/>
        </w:rPr>
        <w:t>ի</w:t>
      </w:r>
      <w:r w:rsidRPr="00D72642">
        <w:rPr>
          <w:rFonts w:cs="Courier New"/>
        </w:rPr>
        <w:t xml:space="preserve"> </w:t>
      </w:r>
      <w:r w:rsidRPr="00D72642">
        <w:rPr>
          <w:rFonts w:cs="Sylfaen"/>
        </w:rPr>
        <w:t>ընդուն</w:t>
      </w:r>
      <w:r w:rsidRPr="00D72642">
        <w:rPr>
          <w:rFonts w:cs="Sylfaen"/>
        </w:rPr>
        <w:softHyphen/>
      </w:r>
      <w:r w:rsidRPr="00D72642">
        <w:rPr>
          <w:rFonts w:cs="Courier New"/>
        </w:rPr>
        <w:softHyphen/>
      </w:r>
      <w:r w:rsidRPr="00D72642">
        <w:rPr>
          <w:rFonts w:cs="Courier New"/>
        </w:rPr>
        <w:softHyphen/>
      </w:r>
      <w:r w:rsidRPr="00D72642">
        <w:rPr>
          <w:rFonts w:cs="Courier New"/>
        </w:rPr>
        <w:softHyphen/>
      </w:r>
      <w:r w:rsidRPr="00D72642">
        <w:rPr>
          <w:rFonts w:cs="Courier New"/>
        </w:rPr>
        <w:softHyphen/>
      </w:r>
      <w:r w:rsidRPr="00D72642">
        <w:rPr>
          <w:rFonts w:cs="Courier New"/>
        </w:rPr>
        <w:softHyphen/>
      </w:r>
      <w:r w:rsidRPr="00D72642">
        <w:rPr>
          <w:rFonts w:cs="Courier New"/>
        </w:rPr>
        <w:softHyphen/>
      </w:r>
      <w:r w:rsidRPr="00D72642">
        <w:rPr>
          <w:rFonts w:cs="Courier New"/>
        </w:rPr>
        <w:softHyphen/>
      </w:r>
      <w:r w:rsidRPr="00D72642">
        <w:rPr>
          <w:rFonts w:cs="Courier New"/>
        </w:rPr>
        <w:softHyphen/>
      </w:r>
      <w:r w:rsidRPr="00D72642">
        <w:rPr>
          <w:rFonts w:cs="Courier New"/>
        </w:rPr>
        <w:softHyphen/>
      </w:r>
      <w:r w:rsidRPr="00D72642">
        <w:rPr>
          <w:rFonts w:cs="Courier New"/>
        </w:rPr>
        <w:softHyphen/>
      </w:r>
      <w:r w:rsidRPr="00D72642">
        <w:rPr>
          <w:rFonts w:cs="Courier New"/>
        </w:rPr>
        <w:softHyphen/>
      </w:r>
      <w:r w:rsidRPr="00D72642">
        <w:rPr>
          <w:rFonts w:cs="Courier New"/>
        </w:rPr>
        <w:softHyphen/>
      </w:r>
      <w:r w:rsidRPr="00D72642">
        <w:rPr>
          <w:rFonts w:cs="Sylfaen"/>
        </w:rPr>
        <w:t>ման</w:t>
      </w:r>
      <w:r w:rsidRPr="00D72642">
        <w:rPr>
          <w:rFonts w:cs="Courier New"/>
        </w:rPr>
        <w:t xml:space="preserve"> </w:t>
      </w:r>
      <w:r w:rsidRPr="00D72642">
        <w:rPr>
          <w:rFonts w:cs="Sylfaen"/>
        </w:rPr>
        <w:t>արդ</w:t>
      </w:r>
      <w:r w:rsidRPr="00D72642">
        <w:rPr>
          <w:rFonts w:cs="Courier New"/>
        </w:rPr>
        <w:softHyphen/>
      </w:r>
      <w:r w:rsidRPr="00D72642">
        <w:rPr>
          <w:rFonts w:cs="Sylfaen"/>
        </w:rPr>
        <w:t>յուն</w:t>
      </w:r>
      <w:r w:rsidRPr="00D72642">
        <w:rPr>
          <w:rFonts w:cs="Courier New"/>
        </w:rPr>
        <w:softHyphen/>
      </w:r>
      <w:r w:rsidRPr="00D72642">
        <w:rPr>
          <w:rFonts w:cs="Courier New"/>
        </w:rPr>
        <w:softHyphen/>
      </w:r>
      <w:r w:rsidRPr="00D72642">
        <w:rPr>
          <w:rFonts w:cs="Sylfaen"/>
        </w:rPr>
        <w:t>քում</w:t>
      </w:r>
      <w:r w:rsidRPr="00D72642">
        <w:rPr>
          <w:rFonts w:cs="Courier New"/>
        </w:rPr>
        <w:t xml:space="preserve"> </w:t>
      </w:r>
      <w:r w:rsidRPr="00D72642">
        <w:rPr>
          <w:rFonts w:cs="Sylfaen"/>
        </w:rPr>
        <w:t>ակնկալվում</w:t>
      </w:r>
      <w:r>
        <w:rPr>
          <w:rFonts w:cs="Sylfaen"/>
        </w:rPr>
        <w:t xml:space="preserve"> է</w:t>
      </w:r>
      <w:r w:rsidRPr="00D72642">
        <w:rPr>
          <w:rFonts w:cs="Courier New"/>
        </w:rPr>
        <w:t xml:space="preserve"> </w:t>
      </w:r>
      <w:r>
        <w:rPr>
          <w:rFonts w:cs="Courier New"/>
        </w:rPr>
        <w:t>ունենալ Կառավարության կողմից սահմանված</w:t>
      </w:r>
      <w:r w:rsidR="0044280E">
        <w:rPr>
          <w:rFonts w:cs="Courier New"/>
        </w:rPr>
        <w:t>՝ մասնա</w:t>
      </w:r>
      <w:r w:rsidR="00236768">
        <w:rPr>
          <w:rFonts w:cs="Courier New"/>
        </w:rPr>
        <w:softHyphen/>
      </w:r>
      <w:r w:rsidR="0044280E">
        <w:rPr>
          <w:rFonts w:cs="Courier New"/>
        </w:rPr>
        <w:t>գի</w:t>
      </w:r>
      <w:r w:rsidR="00BE0A0B">
        <w:rPr>
          <w:rFonts w:cs="Courier New"/>
        </w:rPr>
        <w:softHyphen/>
      </w:r>
      <w:r w:rsidR="0044280E">
        <w:rPr>
          <w:rFonts w:cs="Courier New"/>
        </w:rPr>
        <w:t>տաց</w:t>
      </w:r>
      <w:r w:rsidR="00BE0A0B">
        <w:rPr>
          <w:rFonts w:cs="Courier New"/>
        </w:rPr>
        <w:softHyphen/>
      </w:r>
      <w:r w:rsidR="00236768">
        <w:rPr>
          <w:rFonts w:cs="Courier New"/>
        </w:rPr>
        <w:softHyphen/>
      </w:r>
      <w:r w:rsidR="0044280E">
        <w:rPr>
          <w:rFonts w:cs="Courier New"/>
        </w:rPr>
        <w:t>ված լաբորատորիաների ցանկ:</w:t>
      </w:r>
    </w:p>
    <w:p w14:paraId="551DDFEF" w14:textId="75941A4C" w:rsidR="00D51A7C" w:rsidRPr="008942D9" w:rsidRDefault="00D51A7C" w:rsidP="00D51A7C">
      <w:pPr>
        <w:autoSpaceDN w:val="0"/>
        <w:ind w:left="-14" w:firstLine="581"/>
        <w:rPr>
          <w:rFonts w:cs="GHEA Grapalat"/>
        </w:rPr>
      </w:pPr>
      <w:r w:rsidRPr="002C6FF0">
        <w:rPr>
          <w:rFonts w:cs="GHEA Grapalat"/>
        </w:rPr>
        <w:t xml:space="preserve">Միաժամանակ, </w:t>
      </w:r>
      <w:r>
        <w:rPr>
          <w:rFonts w:cs="GHEA Grapalat"/>
        </w:rPr>
        <w:t>նախագծ</w:t>
      </w:r>
      <w:r w:rsidRPr="002C6FF0">
        <w:rPr>
          <w:rFonts w:cs="GHEA Grapalat"/>
        </w:rPr>
        <w:t>ի ընդունումը լրացուցիչ ֆինանսական միջոցների անհրա</w:t>
      </w:r>
      <w:r w:rsidRPr="002C6FF0">
        <w:rPr>
          <w:rFonts w:cs="GHEA Grapalat"/>
        </w:rPr>
        <w:softHyphen/>
        <w:t>ժեշ</w:t>
      </w:r>
      <w:r w:rsidRPr="002C6FF0">
        <w:rPr>
          <w:rFonts w:cs="GHEA Grapalat"/>
        </w:rPr>
        <w:softHyphen/>
        <w:t>տու</w:t>
      </w:r>
      <w:r w:rsidRPr="002C6FF0">
        <w:rPr>
          <w:rFonts w:cs="GHEA Grapalat"/>
        </w:rPr>
        <w:softHyphen/>
      </w:r>
      <w:r w:rsidR="00236768">
        <w:rPr>
          <w:rFonts w:cs="GHEA Grapalat"/>
        </w:rPr>
        <w:softHyphen/>
      </w:r>
      <w:r w:rsidRPr="002C6FF0">
        <w:rPr>
          <w:rFonts w:cs="GHEA Grapalat"/>
        </w:rPr>
        <w:t>թյ</w:t>
      </w:r>
      <w:r>
        <w:rPr>
          <w:rFonts w:cs="GHEA Grapalat"/>
        </w:rPr>
        <w:t>ուն չի պահանջում, իսկ դրա</w:t>
      </w:r>
      <w:r w:rsidRPr="002C6FF0">
        <w:rPr>
          <w:rFonts w:cs="GHEA Grapalat"/>
        </w:rPr>
        <w:t xml:space="preserve"> ընդուն</w:t>
      </w:r>
      <w:r w:rsidRPr="002C6FF0">
        <w:rPr>
          <w:rFonts w:cs="GHEA Grapalat"/>
        </w:rPr>
        <w:softHyphen/>
      </w:r>
      <w:r w:rsidRPr="002C6FF0">
        <w:rPr>
          <w:rFonts w:cs="GHEA Grapalat"/>
        </w:rPr>
        <w:softHyphen/>
        <w:t>մամբ պայմանավորված</w:t>
      </w:r>
      <w:r>
        <w:rPr>
          <w:rFonts w:cs="GHEA Grapalat"/>
        </w:rPr>
        <w:t>՝</w:t>
      </w:r>
      <w:r w:rsidRPr="002C6FF0">
        <w:rPr>
          <w:rFonts w:cs="GHEA Grapalat"/>
        </w:rPr>
        <w:t xml:space="preserve"> պե</w:t>
      </w:r>
      <w:r w:rsidRPr="002C6FF0">
        <w:rPr>
          <w:rFonts w:cs="GHEA Grapalat"/>
        </w:rPr>
        <w:softHyphen/>
        <w:t>տա</w:t>
      </w:r>
      <w:r w:rsidRPr="002C6FF0">
        <w:rPr>
          <w:rFonts w:cs="GHEA Grapalat"/>
        </w:rPr>
        <w:softHyphen/>
      </w:r>
      <w:r w:rsidRPr="002C6FF0">
        <w:rPr>
          <w:rFonts w:cs="GHEA Grapalat"/>
        </w:rPr>
        <w:softHyphen/>
        <w:t>կան բյուջեի եկա</w:t>
      </w:r>
      <w:r w:rsidRPr="002C6FF0">
        <w:rPr>
          <w:rFonts w:cs="GHEA Grapalat"/>
        </w:rPr>
        <w:softHyphen/>
      </w:r>
      <w:r w:rsidRPr="002C6FF0">
        <w:rPr>
          <w:rFonts w:cs="GHEA Grapalat"/>
        </w:rPr>
        <w:softHyphen/>
        <w:t>մուտ</w:t>
      </w:r>
      <w:r w:rsidR="00236768">
        <w:rPr>
          <w:rFonts w:cs="GHEA Grapalat"/>
        </w:rPr>
        <w:softHyphen/>
      </w:r>
      <w:r w:rsidRPr="002C6FF0">
        <w:rPr>
          <w:rFonts w:cs="GHEA Grapalat"/>
        </w:rPr>
        <w:softHyphen/>
      </w:r>
      <w:r w:rsidRPr="002C6FF0">
        <w:rPr>
          <w:rFonts w:cs="GHEA Grapalat"/>
        </w:rPr>
        <w:softHyphen/>
        <w:t xml:space="preserve">ների </w:t>
      </w:r>
      <w:r>
        <w:rPr>
          <w:rFonts w:cs="GHEA Grapalat"/>
        </w:rPr>
        <w:t xml:space="preserve">էական </w:t>
      </w:r>
      <w:r w:rsidRPr="002C6FF0">
        <w:rPr>
          <w:rFonts w:cs="GHEA Grapalat"/>
        </w:rPr>
        <w:t>նվա</w:t>
      </w:r>
      <w:r w:rsidRPr="002C6FF0">
        <w:rPr>
          <w:rFonts w:cs="GHEA Grapalat"/>
        </w:rPr>
        <w:softHyphen/>
      </w:r>
      <w:r w:rsidRPr="002C6FF0">
        <w:rPr>
          <w:rFonts w:cs="GHEA Grapalat"/>
        </w:rPr>
        <w:softHyphen/>
        <w:t>զե</w:t>
      </w:r>
      <w:r w:rsidRPr="002C6FF0">
        <w:rPr>
          <w:rFonts w:cs="GHEA Grapalat"/>
        </w:rPr>
        <w:softHyphen/>
      </w:r>
      <w:r w:rsidRPr="002C6FF0">
        <w:rPr>
          <w:rFonts w:cs="GHEA Grapalat"/>
        </w:rPr>
        <w:softHyphen/>
        <w:t>ցում կամ ծախ</w:t>
      </w:r>
      <w:r w:rsidRPr="002C6FF0">
        <w:rPr>
          <w:rFonts w:cs="GHEA Grapalat"/>
        </w:rPr>
        <w:softHyphen/>
      </w:r>
      <w:r w:rsidRPr="002C6FF0">
        <w:rPr>
          <w:rFonts w:cs="GHEA Grapalat"/>
        </w:rPr>
        <w:softHyphen/>
      </w:r>
      <w:r w:rsidRPr="002C6FF0">
        <w:rPr>
          <w:rFonts w:cs="GHEA Grapalat"/>
        </w:rPr>
        <w:softHyphen/>
      </w:r>
      <w:r w:rsidRPr="002C6FF0">
        <w:rPr>
          <w:rFonts w:cs="GHEA Grapalat"/>
        </w:rPr>
        <w:softHyphen/>
        <w:t>սերի ավելա</w:t>
      </w:r>
      <w:r w:rsidRPr="002C6FF0">
        <w:rPr>
          <w:rFonts w:cs="GHEA Grapalat"/>
        </w:rPr>
        <w:softHyphen/>
        <w:t>ցում տեղի չի ունենա:</w:t>
      </w:r>
    </w:p>
    <w:p w14:paraId="7624BB26" w14:textId="77777777" w:rsidR="00D51A7C" w:rsidRPr="00B33E9B" w:rsidRDefault="00D51A7C" w:rsidP="00D51A7C">
      <w:pPr>
        <w:numPr>
          <w:ilvl w:val="0"/>
          <w:numId w:val="2"/>
        </w:numPr>
        <w:tabs>
          <w:tab w:val="num" w:pos="840"/>
        </w:tabs>
        <w:autoSpaceDN w:val="0"/>
        <w:ind w:left="-14" w:firstLine="581"/>
        <w:rPr>
          <w:b/>
          <w:color w:val="000000"/>
        </w:rPr>
      </w:pPr>
      <w:r w:rsidRPr="00B33E9B">
        <w:rPr>
          <w:b/>
          <w:color w:val="000000"/>
        </w:rPr>
        <w:t>Կապը ռազմավարական փաստաթղթերի հետ. Հայաստանի վերափոխման ռազ</w:t>
      </w:r>
      <w:r w:rsidRPr="00B33E9B">
        <w:rPr>
          <w:b/>
          <w:color w:val="000000"/>
        </w:rPr>
        <w:softHyphen/>
        <w:t>մա</w:t>
      </w:r>
      <w:r w:rsidRPr="00B33E9B">
        <w:rPr>
          <w:b/>
          <w:color w:val="000000"/>
        </w:rPr>
        <w:softHyphen/>
        <w:t>վա</w:t>
      </w:r>
      <w:r w:rsidRPr="00B33E9B">
        <w:rPr>
          <w:b/>
          <w:color w:val="000000"/>
        </w:rPr>
        <w:softHyphen/>
        <w:t>րություն 2050, Կառավարության 2021-2026թթ. ծրագիր, ոլորտային և/կամ այլ ռազ</w:t>
      </w:r>
      <w:r w:rsidRPr="00B33E9B">
        <w:rPr>
          <w:b/>
          <w:color w:val="000000"/>
        </w:rPr>
        <w:softHyphen/>
        <w:t>մա</w:t>
      </w:r>
      <w:r w:rsidRPr="00B33E9B">
        <w:rPr>
          <w:b/>
          <w:color w:val="000000"/>
        </w:rPr>
        <w:softHyphen/>
        <w:t>վա</w:t>
      </w:r>
      <w:r w:rsidRPr="00B33E9B">
        <w:rPr>
          <w:b/>
          <w:color w:val="000000"/>
        </w:rPr>
        <w:softHyphen/>
        <w:t>րություններ</w:t>
      </w:r>
      <w:r>
        <w:rPr>
          <w:rFonts w:ascii="Sylfaen" w:hAnsi="Sylfaen" w:cs="Cambria Math"/>
          <w:b/>
          <w:color w:val="000000"/>
        </w:rPr>
        <w:t>.</w:t>
      </w:r>
    </w:p>
    <w:p w14:paraId="7A2C8D26" w14:textId="4F5C53F9" w:rsidR="00D51A7C" w:rsidRPr="00677E06" w:rsidRDefault="00D51A7C" w:rsidP="0044280E">
      <w:pPr>
        <w:ind w:firstLine="567"/>
        <w:rPr>
          <w:rFonts w:eastAsia="GHEA Grapalat" w:cs="GHEA Grapalat"/>
        </w:rPr>
      </w:pPr>
      <w:r w:rsidRPr="00677E06">
        <w:rPr>
          <w:rFonts w:eastAsia="GHEA Grapalat" w:cs="GHEA Grapalat"/>
        </w:rPr>
        <w:t>Նախագիծը բխում է Կառավարության 2021-2026 թվականների ծրագրի</w:t>
      </w:r>
      <w:r>
        <w:rPr>
          <w:rFonts w:eastAsia="GHEA Grapalat" w:cs="GHEA Grapalat"/>
        </w:rPr>
        <w:t xml:space="preserve"> </w:t>
      </w:r>
      <w:r w:rsidRPr="00677E06">
        <w:rPr>
          <w:rFonts w:eastAsia="GHEA Grapalat" w:cs="GHEA Grapalat"/>
        </w:rPr>
        <w:t>6.8-րդ՝ «Հար</w:t>
      </w:r>
      <w:r w:rsidR="00236768">
        <w:rPr>
          <w:rFonts w:eastAsia="GHEA Grapalat" w:cs="GHEA Grapalat"/>
        </w:rPr>
        <w:softHyphen/>
      </w:r>
      <w:r w:rsidRPr="00677E06">
        <w:rPr>
          <w:rFonts w:eastAsia="GHEA Grapalat" w:cs="GHEA Grapalat"/>
        </w:rPr>
        <w:t>կա</w:t>
      </w:r>
      <w:r w:rsidR="00236768">
        <w:rPr>
          <w:rFonts w:eastAsia="GHEA Grapalat" w:cs="GHEA Grapalat"/>
        </w:rPr>
        <w:softHyphen/>
      </w:r>
      <w:r w:rsidRPr="00677E06">
        <w:rPr>
          <w:rFonts w:eastAsia="GHEA Grapalat" w:cs="GHEA Grapalat"/>
        </w:rPr>
        <w:t>բյու</w:t>
      </w:r>
      <w:r w:rsidR="00236768">
        <w:rPr>
          <w:rFonts w:eastAsia="GHEA Grapalat" w:cs="GHEA Grapalat"/>
        </w:rPr>
        <w:softHyphen/>
      </w:r>
      <w:r w:rsidRPr="00677E06">
        <w:rPr>
          <w:rFonts w:eastAsia="GHEA Grapalat" w:cs="GHEA Grapalat"/>
        </w:rPr>
        <w:t>ջետային քաղաքա</w:t>
      </w:r>
      <w:r w:rsidRPr="00677E06">
        <w:rPr>
          <w:rFonts w:eastAsia="GHEA Grapalat" w:cs="GHEA Grapalat"/>
        </w:rPr>
        <w:softHyphen/>
        <w:t>կա</w:t>
      </w:r>
      <w:r w:rsidRPr="00677E06">
        <w:rPr>
          <w:rFonts w:eastAsia="GHEA Grapalat" w:cs="GHEA Grapalat"/>
        </w:rPr>
        <w:softHyphen/>
        <w:t>նություն» մասե</w:t>
      </w:r>
      <w:r w:rsidRPr="00677E06">
        <w:rPr>
          <w:rFonts w:eastAsia="GHEA Grapalat" w:cs="GHEA Grapalat"/>
        </w:rPr>
        <w:softHyphen/>
        <w:t>րով սահմանված քաղաքականության ուղղու</w:t>
      </w:r>
      <w:r w:rsidR="00236768">
        <w:rPr>
          <w:rFonts w:eastAsia="GHEA Grapalat" w:cs="GHEA Grapalat"/>
        </w:rPr>
        <w:softHyphen/>
      </w:r>
      <w:r w:rsidRPr="00677E06">
        <w:rPr>
          <w:rFonts w:eastAsia="GHEA Grapalat" w:cs="GHEA Grapalat"/>
        </w:rPr>
        <w:t>թյուն</w:t>
      </w:r>
      <w:r w:rsidR="00BE0A0B">
        <w:rPr>
          <w:rFonts w:eastAsia="GHEA Grapalat" w:cs="GHEA Grapalat"/>
        </w:rPr>
        <w:softHyphen/>
      </w:r>
      <w:r w:rsidR="00236768">
        <w:rPr>
          <w:rFonts w:eastAsia="GHEA Grapalat" w:cs="GHEA Grapalat"/>
        </w:rPr>
        <w:softHyphen/>
      </w:r>
      <w:r w:rsidRPr="00677E06">
        <w:rPr>
          <w:rFonts w:eastAsia="GHEA Grapalat" w:cs="GHEA Grapalat"/>
        </w:rPr>
        <w:t>ներից: Մասնավորապես՝</w:t>
      </w:r>
    </w:p>
    <w:p w14:paraId="1A2FDDD2" w14:textId="5E71D099" w:rsidR="00D51A7C" w:rsidRPr="00677E06" w:rsidRDefault="00D51A7C" w:rsidP="00D51A7C">
      <w:pPr>
        <w:pStyle w:val="ListParagraph"/>
        <w:numPr>
          <w:ilvl w:val="1"/>
          <w:numId w:val="3"/>
        </w:numPr>
        <w:tabs>
          <w:tab w:val="left" w:pos="810"/>
        </w:tabs>
        <w:spacing w:line="360" w:lineRule="auto"/>
        <w:ind w:left="0" w:firstLine="540"/>
        <w:jc w:val="both"/>
        <w:rPr>
          <w:rFonts w:ascii="GHEA Grapalat" w:eastAsia="GHEA Grapalat" w:hAnsi="GHEA Grapalat" w:cs="GHEA Grapalat"/>
          <w:lang w:val="hy-AM"/>
        </w:rPr>
      </w:pPr>
      <w:r w:rsidRPr="00677E06">
        <w:rPr>
          <w:rFonts w:ascii="GHEA Grapalat" w:eastAsia="GHEA Grapalat" w:hAnsi="GHEA Grapalat" w:cs="GHEA Grapalat"/>
          <w:lang w:val="hy-AM"/>
        </w:rPr>
        <w:t>ընդերքի ողջամիտ և համալիր օգտագործումն ապահովելու, բնական պաշարների գեր</w:t>
      </w:r>
      <w:r w:rsidRPr="00677E06">
        <w:rPr>
          <w:rFonts w:ascii="GHEA Grapalat" w:eastAsia="GHEA Grapalat" w:hAnsi="GHEA Grapalat" w:cs="GHEA Grapalat"/>
          <w:lang w:val="hy-AM"/>
        </w:rPr>
        <w:softHyphen/>
        <w:t>շա</w:t>
      </w:r>
      <w:r w:rsidRPr="00677E06">
        <w:rPr>
          <w:rFonts w:ascii="GHEA Grapalat" w:eastAsia="GHEA Grapalat" w:hAnsi="GHEA Grapalat" w:cs="GHEA Grapalat"/>
          <w:lang w:val="hy-AM"/>
        </w:rPr>
        <w:softHyphen/>
      </w:r>
      <w:r w:rsidRPr="00677E06">
        <w:rPr>
          <w:rFonts w:ascii="GHEA Grapalat" w:eastAsia="GHEA Grapalat" w:hAnsi="GHEA Grapalat" w:cs="GHEA Grapalat"/>
          <w:lang w:val="hy-AM"/>
        </w:rPr>
        <w:softHyphen/>
      </w:r>
      <w:r w:rsidRPr="00677E06">
        <w:rPr>
          <w:rFonts w:ascii="GHEA Grapalat" w:eastAsia="GHEA Grapalat" w:hAnsi="GHEA Grapalat" w:cs="GHEA Grapalat"/>
          <w:lang w:val="hy-AM"/>
        </w:rPr>
        <w:softHyphen/>
        <w:t>հագործումը բացառելու նպատակով նախատեսվում է հանքարդյունաբերության հարկ</w:t>
      </w:r>
      <w:r w:rsidR="00236768">
        <w:rPr>
          <w:rFonts w:ascii="GHEA Grapalat" w:eastAsia="GHEA Grapalat" w:hAnsi="GHEA Grapalat" w:cs="GHEA Grapalat"/>
          <w:lang w:val="hy-AM"/>
        </w:rPr>
        <w:softHyphen/>
      </w:r>
      <w:r w:rsidRPr="00677E06">
        <w:rPr>
          <w:rFonts w:ascii="GHEA Grapalat" w:eastAsia="GHEA Grapalat" w:hAnsi="GHEA Grapalat" w:cs="GHEA Grapalat"/>
          <w:lang w:val="hy-AM"/>
        </w:rPr>
        <w:t>ման արդար և երկարաժամկետ զարգացումն ապահովող արդյունավետ մեխանիզմների ներ</w:t>
      </w:r>
      <w:r w:rsidR="00BE0A0B" w:rsidRPr="00BE0A0B">
        <w:rPr>
          <w:rFonts w:ascii="GHEA Grapalat" w:eastAsia="GHEA Grapalat" w:hAnsi="GHEA Grapalat" w:cs="GHEA Grapalat"/>
          <w:lang w:val="hy-AM"/>
        </w:rPr>
        <w:softHyphen/>
      </w:r>
      <w:r w:rsidRPr="00677E06">
        <w:rPr>
          <w:rFonts w:ascii="GHEA Grapalat" w:eastAsia="GHEA Grapalat" w:hAnsi="GHEA Grapalat" w:cs="GHEA Grapalat"/>
          <w:lang w:val="hy-AM"/>
        </w:rPr>
        <w:t>դրում` ռոյալ</w:t>
      </w:r>
      <w:r w:rsidRPr="00677E06">
        <w:rPr>
          <w:rFonts w:ascii="GHEA Grapalat" w:eastAsia="GHEA Grapalat" w:hAnsi="GHEA Grapalat" w:cs="GHEA Grapalat"/>
          <w:lang w:val="hy-AM"/>
        </w:rPr>
        <w:softHyphen/>
        <w:t>թիների մեխանիզմի բարեփոխում,</w:t>
      </w:r>
    </w:p>
    <w:p w14:paraId="3D2BA8D8" w14:textId="511C2918" w:rsidR="00961186" w:rsidRPr="006D2C72" w:rsidRDefault="00D51A7C" w:rsidP="006D2C72">
      <w:pPr>
        <w:pStyle w:val="ListParagraph"/>
        <w:numPr>
          <w:ilvl w:val="1"/>
          <w:numId w:val="3"/>
        </w:numPr>
        <w:tabs>
          <w:tab w:val="left" w:pos="810"/>
        </w:tabs>
        <w:spacing w:line="360" w:lineRule="auto"/>
        <w:ind w:left="0" w:firstLine="540"/>
        <w:jc w:val="both"/>
        <w:rPr>
          <w:rFonts w:ascii="GHEA Grapalat" w:eastAsia="GHEA Grapalat" w:hAnsi="GHEA Grapalat" w:cs="GHEA Grapalat"/>
          <w:lang w:val="hy-AM"/>
        </w:rPr>
      </w:pPr>
      <w:r w:rsidRPr="00677E06">
        <w:rPr>
          <w:rFonts w:ascii="GHEA Grapalat" w:eastAsia="GHEA Grapalat" w:hAnsi="GHEA Grapalat" w:cs="GHEA Grapalat"/>
          <w:lang w:val="hy-AM"/>
        </w:rPr>
        <w:t>հանրային ռեսուրսների կառավարման արդյունավետությունն ու հասցեականությունը բար</w:t>
      </w:r>
      <w:r w:rsidRPr="00677E06">
        <w:rPr>
          <w:rFonts w:ascii="GHEA Grapalat" w:eastAsia="GHEA Grapalat" w:hAnsi="GHEA Grapalat" w:cs="GHEA Grapalat"/>
          <w:lang w:val="hy-AM"/>
        </w:rPr>
        <w:softHyphen/>
        <w:t>ձրաց</w:t>
      </w:r>
      <w:r w:rsidR="00236768">
        <w:rPr>
          <w:rFonts w:ascii="GHEA Grapalat" w:eastAsia="GHEA Grapalat" w:hAnsi="GHEA Grapalat" w:cs="GHEA Grapalat"/>
          <w:lang w:val="hy-AM"/>
        </w:rPr>
        <w:softHyphen/>
      </w:r>
      <w:r w:rsidRPr="00677E06">
        <w:rPr>
          <w:rFonts w:ascii="GHEA Grapalat" w:eastAsia="GHEA Grapalat" w:hAnsi="GHEA Grapalat" w:cs="GHEA Grapalat"/>
          <w:lang w:val="hy-AM"/>
        </w:rPr>
        <w:t>նելու և այդ ռեսուրսները հանրօգուտ ու համապետական նշանակություն ունեցող ծրագ</w:t>
      </w:r>
      <w:r w:rsidRPr="00677E06">
        <w:rPr>
          <w:rFonts w:ascii="GHEA Grapalat" w:eastAsia="GHEA Grapalat" w:hAnsi="GHEA Grapalat" w:cs="GHEA Grapalat"/>
          <w:lang w:val="hy-AM"/>
        </w:rPr>
        <w:softHyphen/>
      </w:r>
      <w:r w:rsidRPr="00677E06">
        <w:rPr>
          <w:rFonts w:ascii="GHEA Grapalat" w:eastAsia="GHEA Grapalat" w:hAnsi="GHEA Grapalat" w:cs="GHEA Grapalat"/>
          <w:lang w:val="hy-AM"/>
        </w:rPr>
        <w:softHyphen/>
        <w:t>րերի վրա ծախսելու, ինչպես նաև հարկաբյուջետային կայունությունն ապահովելու նպա</w:t>
      </w:r>
      <w:r w:rsidRPr="00677E06">
        <w:rPr>
          <w:rFonts w:ascii="GHEA Grapalat" w:eastAsia="GHEA Grapalat" w:hAnsi="GHEA Grapalat" w:cs="GHEA Grapalat"/>
          <w:lang w:val="hy-AM"/>
        </w:rPr>
        <w:softHyphen/>
      </w:r>
      <w:r w:rsidR="00236768">
        <w:rPr>
          <w:rFonts w:ascii="GHEA Grapalat" w:eastAsia="GHEA Grapalat" w:hAnsi="GHEA Grapalat" w:cs="GHEA Grapalat"/>
          <w:lang w:val="hy-AM"/>
        </w:rPr>
        <w:softHyphen/>
      </w:r>
      <w:r w:rsidRPr="00677E06">
        <w:rPr>
          <w:rFonts w:ascii="GHEA Grapalat" w:eastAsia="GHEA Grapalat" w:hAnsi="GHEA Grapalat" w:cs="GHEA Grapalat"/>
          <w:lang w:val="hy-AM"/>
        </w:rPr>
        <w:t>տա</w:t>
      </w:r>
      <w:r w:rsidRPr="00677E06">
        <w:rPr>
          <w:rFonts w:ascii="GHEA Grapalat" w:eastAsia="GHEA Grapalat" w:hAnsi="GHEA Grapalat" w:cs="GHEA Grapalat"/>
          <w:lang w:val="hy-AM"/>
        </w:rPr>
        <w:softHyphen/>
      </w:r>
      <w:r w:rsidR="00236768">
        <w:rPr>
          <w:rFonts w:ascii="GHEA Grapalat" w:eastAsia="GHEA Grapalat" w:hAnsi="GHEA Grapalat" w:cs="GHEA Grapalat"/>
          <w:lang w:val="hy-AM"/>
        </w:rPr>
        <w:softHyphen/>
      </w:r>
      <w:r w:rsidRPr="00677E06">
        <w:rPr>
          <w:rFonts w:ascii="GHEA Grapalat" w:eastAsia="GHEA Grapalat" w:hAnsi="GHEA Grapalat" w:cs="GHEA Grapalat"/>
          <w:lang w:val="hy-AM"/>
        </w:rPr>
        <w:t>կով քայլեր են իրականացվելու հարկային եկամուտների ընդլայնման ուղղությամբ:</w:t>
      </w:r>
    </w:p>
    <w:sectPr w:rsidR="00961186" w:rsidRPr="006D2C72" w:rsidSect="00BA1A5F">
      <w:pgSz w:w="11906" w:h="16838"/>
      <w:pgMar w:top="1134" w:right="567" w:bottom="567" w:left="1134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00B7B"/>
    <w:multiLevelType w:val="multilevel"/>
    <w:tmpl w:val="E8CC80BE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  <w:b/>
        <w:i w:val="0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cs="Times New Roman" w:hint="default"/>
        <w:b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cs="Times New Roman" w:hint="default"/>
        <w:b/>
        <w:sz w:val="24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cs="Times New Roman" w:hint="default"/>
        <w:b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cs="Times New Roman" w:hint="default"/>
        <w:b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cs="Times New Roman" w:hint="default"/>
        <w:b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cs="Times New Roman" w:hint="default"/>
        <w:b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cs="Times New Roman" w:hint="default"/>
        <w:b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5760"/>
        </w:tabs>
        <w:ind w:left="5760" w:hanging="1440"/>
      </w:pPr>
      <w:rPr>
        <w:rFonts w:cs="Times New Roman" w:hint="default"/>
        <w:b/>
        <w:sz w:val="24"/>
      </w:rPr>
    </w:lvl>
  </w:abstractNum>
  <w:abstractNum w:abstractNumId="1" w15:restartNumberingAfterBreak="0">
    <w:nsid w:val="288B06DB"/>
    <w:multiLevelType w:val="hybridMultilevel"/>
    <w:tmpl w:val="FFFFFFFF"/>
    <w:lvl w:ilvl="0" w:tplc="7D4C41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7264D8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6B44AB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DF622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BA41DE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303E17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2EB3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4884D4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4EBE3A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972F8B"/>
    <w:multiLevelType w:val="multilevel"/>
    <w:tmpl w:val="BDE6A37A"/>
    <w:lvl w:ilvl="0">
      <w:start w:val="1"/>
      <w:numFmt w:val="none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141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186"/>
    <w:rsid w:val="0000516B"/>
    <w:rsid w:val="000968BB"/>
    <w:rsid w:val="000B2959"/>
    <w:rsid w:val="000E7E74"/>
    <w:rsid w:val="0011099C"/>
    <w:rsid w:val="001A02AC"/>
    <w:rsid w:val="001B0552"/>
    <w:rsid w:val="001D40A9"/>
    <w:rsid w:val="00225E30"/>
    <w:rsid w:val="00236768"/>
    <w:rsid w:val="00266EAE"/>
    <w:rsid w:val="00295ECD"/>
    <w:rsid w:val="002D1023"/>
    <w:rsid w:val="00313DE8"/>
    <w:rsid w:val="0044280E"/>
    <w:rsid w:val="00465D36"/>
    <w:rsid w:val="004A5D9E"/>
    <w:rsid w:val="004D5D65"/>
    <w:rsid w:val="00512EF7"/>
    <w:rsid w:val="00537E19"/>
    <w:rsid w:val="00556398"/>
    <w:rsid w:val="0059086E"/>
    <w:rsid w:val="006D2C72"/>
    <w:rsid w:val="006F722F"/>
    <w:rsid w:val="00735C7A"/>
    <w:rsid w:val="007B32E7"/>
    <w:rsid w:val="007B4CC8"/>
    <w:rsid w:val="007B6724"/>
    <w:rsid w:val="007F5646"/>
    <w:rsid w:val="008A5CEC"/>
    <w:rsid w:val="008B01DC"/>
    <w:rsid w:val="008E3BE9"/>
    <w:rsid w:val="00936805"/>
    <w:rsid w:val="00961186"/>
    <w:rsid w:val="0099287B"/>
    <w:rsid w:val="009B5CD0"/>
    <w:rsid w:val="00A3607F"/>
    <w:rsid w:val="00A4475B"/>
    <w:rsid w:val="00A92B59"/>
    <w:rsid w:val="00AA40D8"/>
    <w:rsid w:val="00AD77FC"/>
    <w:rsid w:val="00B002D2"/>
    <w:rsid w:val="00B66D1D"/>
    <w:rsid w:val="00B825A8"/>
    <w:rsid w:val="00B853BE"/>
    <w:rsid w:val="00B94F22"/>
    <w:rsid w:val="00BA1A5F"/>
    <w:rsid w:val="00BE0A0B"/>
    <w:rsid w:val="00C03B06"/>
    <w:rsid w:val="00C14BF0"/>
    <w:rsid w:val="00D051F6"/>
    <w:rsid w:val="00D51A7C"/>
    <w:rsid w:val="00D75DBE"/>
    <w:rsid w:val="00E532F6"/>
    <w:rsid w:val="00E6522C"/>
    <w:rsid w:val="00EF3737"/>
    <w:rsid w:val="00F05F7C"/>
    <w:rsid w:val="00FC1677"/>
    <w:rsid w:val="00FD0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FCD5B1"/>
  <w15:chartTrackingRefBased/>
  <w15:docId w15:val="{BB5F8C19-57D5-4A5F-AE9B-068E61A97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HEA Grapalat" w:eastAsiaTheme="minorHAnsi" w:hAnsi="GHEA Grapalat" w:cstheme="minorBidi"/>
        <w:sz w:val="24"/>
        <w:szCs w:val="22"/>
        <w:lang w:val="en-US" w:eastAsia="en-US" w:bidi="ar-SA"/>
      </w:rPr>
    </w:rPrDefault>
    <w:pPrDefault>
      <w:pPr>
        <w:spacing w:line="360" w:lineRule="auto"/>
        <w:ind w:firstLine="851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hy-AM"/>
    </w:rPr>
  </w:style>
  <w:style w:type="paragraph" w:styleId="Heading1">
    <w:name w:val="heading 1"/>
    <w:aliases w:val="Heading 1 Char1,Heading 1 Char1 Char"/>
    <w:basedOn w:val="Normal"/>
    <w:next w:val="Normal"/>
    <w:link w:val="Heading1Char"/>
    <w:uiPriority w:val="9"/>
    <w:qFormat/>
    <w:rsid w:val="00D51A7C"/>
    <w:pPr>
      <w:keepNext/>
      <w:numPr>
        <w:numId w:val="1"/>
      </w:numPr>
      <w:spacing w:after="240" w:line="264" w:lineRule="auto"/>
      <w:jc w:val="left"/>
      <w:outlineLvl w:val="0"/>
    </w:pPr>
    <w:rPr>
      <w:rFonts w:ascii="GHEA Mariam" w:eastAsia="SimSun" w:hAnsi="GHEA Mariam" w:cs="Times New Roman"/>
      <w:b/>
      <w:bCs/>
      <w:smallCaps/>
      <w:kern w:val="28"/>
      <w:szCs w:val="24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0"/>
    <w:qFormat/>
    <w:rsid w:val="00B94F22"/>
    <w:pPr>
      <w:spacing w:line="240" w:lineRule="auto"/>
      <w:ind w:firstLine="0"/>
      <w:jc w:val="center"/>
    </w:pPr>
    <w:rPr>
      <w:rFonts w:ascii="Arial Armenian" w:eastAsia="Times New Roman" w:hAnsi="Arial Armenian" w:cs="Times New Roman"/>
      <w:sz w:val="22"/>
      <w:szCs w:val="20"/>
      <w:lang w:val="en-US" w:eastAsia="ru-RU"/>
    </w:rPr>
  </w:style>
  <w:style w:type="character" w:customStyle="1" w:styleId="mechtex0">
    <w:name w:val="mechtex Знак"/>
    <w:link w:val="mechtex"/>
    <w:locked/>
    <w:rsid w:val="00B94F22"/>
    <w:rPr>
      <w:rFonts w:ascii="Arial Armenian" w:eastAsia="Times New Roman" w:hAnsi="Arial Armenian" w:cs="Times New Roman"/>
      <w:sz w:val="22"/>
      <w:szCs w:val="20"/>
      <w:lang w:eastAsia="ru-RU"/>
    </w:rPr>
  </w:style>
  <w:style w:type="character" w:customStyle="1" w:styleId="Heading1Char">
    <w:name w:val="Heading 1 Char"/>
    <w:aliases w:val="Heading 1 Char1 Char1,Heading 1 Char1 Char Char"/>
    <w:basedOn w:val="DefaultParagraphFont"/>
    <w:link w:val="Heading1"/>
    <w:uiPriority w:val="9"/>
    <w:rsid w:val="00D51A7C"/>
    <w:rPr>
      <w:rFonts w:ascii="GHEA Mariam" w:eastAsia="SimSun" w:hAnsi="GHEA Mariam" w:cs="Times New Roman"/>
      <w:b/>
      <w:bCs/>
      <w:smallCaps/>
      <w:kern w:val="28"/>
      <w:szCs w:val="24"/>
      <w:lang w:eastAsia="ru-RU"/>
    </w:rPr>
  </w:style>
  <w:style w:type="character" w:customStyle="1" w:styleId="BodyTextChar">
    <w:name w:val="Body Text Char"/>
    <w:link w:val="BodyText"/>
    <w:locked/>
    <w:rsid w:val="00D51A7C"/>
    <w:rPr>
      <w:rFonts w:cs="Times New Roman"/>
      <w:szCs w:val="24"/>
    </w:rPr>
  </w:style>
  <w:style w:type="paragraph" w:styleId="BodyText">
    <w:name w:val="Body Text"/>
    <w:basedOn w:val="Normal"/>
    <w:link w:val="BodyTextChar"/>
    <w:rsid w:val="00D51A7C"/>
    <w:pPr>
      <w:spacing w:after="120" w:line="240" w:lineRule="auto"/>
      <w:ind w:firstLine="0"/>
      <w:jc w:val="left"/>
    </w:pPr>
    <w:rPr>
      <w:rFonts w:cs="Times New Roman"/>
      <w:szCs w:val="24"/>
      <w:lang w:val="en-US"/>
    </w:rPr>
  </w:style>
  <w:style w:type="character" w:customStyle="1" w:styleId="BodyTextChar1">
    <w:name w:val="Body Text Char1"/>
    <w:basedOn w:val="DefaultParagraphFont"/>
    <w:uiPriority w:val="99"/>
    <w:semiHidden/>
    <w:rsid w:val="00D51A7C"/>
    <w:rPr>
      <w:lang w:val="hy-AM"/>
    </w:rPr>
  </w:style>
  <w:style w:type="paragraph" w:styleId="ListParagraph">
    <w:name w:val="List Paragraph"/>
    <w:aliases w:val="Akapit z listą BS,List Paragraph 1,List_Paragraph,Multilevel para_II,List Paragraph1"/>
    <w:basedOn w:val="Normal"/>
    <w:link w:val="ListParagraphChar"/>
    <w:uiPriority w:val="34"/>
    <w:qFormat/>
    <w:rsid w:val="00D51A7C"/>
    <w:pPr>
      <w:spacing w:line="240" w:lineRule="auto"/>
      <w:ind w:left="720" w:firstLine="0"/>
      <w:contextualSpacing/>
      <w:jc w:val="left"/>
    </w:pPr>
    <w:rPr>
      <w:rFonts w:ascii="GHEA Mariam" w:eastAsia="Times New Roman" w:hAnsi="GHEA Mariam" w:cs="Times New Roman"/>
      <w:szCs w:val="24"/>
      <w:lang w:val="ru-RU" w:eastAsia="ru-RU"/>
    </w:rPr>
  </w:style>
  <w:style w:type="character" w:customStyle="1" w:styleId="ListParagraphChar">
    <w:name w:val="List Paragraph Char"/>
    <w:aliases w:val="Akapit z listą BS Char,List Paragraph 1 Char,List_Paragraph Char,Multilevel para_II Char,List Paragraph1 Char"/>
    <w:link w:val="ListParagraph"/>
    <w:uiPriority w:val="34"/>
    <w:locked/>
    <w:rsid w:val="00D51A7C"/>
    <w:rPr>
      <w:rFonts w:ascii="GHEA Mariam" w:eastAsia="Times New Roman" w:hAnsi="GHEA Mariam" w:cs="Times New Roman"/>
      <w:szCs w:val="24"/>
      <w:lang w:val="ru-RU" w:eastAsia="ru-RU"/>
    </w:rPr>
  </w:style>
  <w:style w:type="character" w:customStyle="1" w:styleId="markedcontent">
    <w:name w:val="markedcontent"/>
    <w:basedOn w:val="DefaultParagraphFont"/>
    <w:rsid w:val="00D51A7C"/>
  </w:style>
  <w:style w:type="table" w:styleId="TableGrid">
    <w:name w:val="Table Grid"/>
    <w:basedOn w:val="TableNormal"/>
    <w:uiPriority w:val="39"/>
    <w:rsid w:val="00D75DB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D75DBE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D75DBE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926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305</Words>
  <Characters>2695</Characters>
  <Application>Microsoft Office Word</Application>
  <DocSecurity>0</DocSecurity>
  <Lines>48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Khachik Khachatryan</dc:creator>
  <cp:keywords>https://mul2-minfin.gov.am/tasks/533477/oneclick/2.Himnavorum.docx?token=642dc48c9895bb73ab9d33d78a6fb953</cp:keywords>
  <dc:description/>
  <cp:lastModifiedBy>Arman Poghosyan</cp:lastModifiedBy>
  <cp:revision>4</cp:revision>
  <dcterms:created xsi:type="dcterms:W3CDTF">2022-10-04T06:25:00Z</dcterms:created>
  <dcterms:modified xsi:type="dcterms:W3CDTF">2022-10-04T14:11:00Z</dcterms:modified>
</cp:coreProperties>
</file>