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GHEA Grapalat" w:cs="GHEA Grapalat" w:eastAsia="GHEA Grapalat" w:hAnsi="GHEA Grapalat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color w:val="000000"/>
          <w:sz w:val="24"/>
          <w:szCs w:val="24"/>
          <w:rtl w:val="0"/>
        </w:rPr>
        <w:t xml:space="preserve">ՀԱՅԱՍՏԱՆԻ ՀԱՆՐԱՊԵՏՈՒԹՅԱՆ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GHEA Grapalat" w:cs="GHEA Grapalat" w:eastAsia="GHEA Grapalat" w:hAnsi="GHEA Grapalat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color w:val="000000"/>
          <w:sz w:val="24"/>
          <w:szCs w:val="24"/>
          <w:rtl w:val="0"/>
        </w:rPr>
        <w:t xml:space="preserve">ՕՐԵՆՔԸ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GHEA Grapalat" w:cs="GHEA Grapalat" w:eastAsia="GHEA Grapalat" w:hAnsi="GHEA Grapalat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color w:val="000000"/>
          <w:sz w:val="24"/>
          <w:szCs w:val="24"/>
          <w:rtl w:val="0"/>
        </w:rPr>
        <w:t xml:space="preserve">ՀԱԿԱԿՈՌՈՒՊՑԻՈՆ ԿՈՄԻՏԵԻ ՄԱՍԻՆ ՕՐԵՆՔՈՒՄ ԼՐԱՑՈՒՄ ԵՎ ՓՈՓՈԽՈՒԹՅՈՒՆ ԿԱՏԱՐԵԼՈՒ ՄԱՍԻՆ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firstLine="567"/>
        <w:jc w:val="both"/>
        <w:rPr>
          <w:rFonts w:ascii="GHEA Grapalat" w:cs="GHEA Grapalat" w:eastAsia="GHEA Grapalat" w:hAnsi="GHEA Grapal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firstLine="567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color w:val="000000"/>
          <w:sz w:val="24"/>
          <w:szCs w:val="24"/>
          <w:highlight w:val="white"/>
          <w:rtl w:val="0"/>
        </w:rPr>
        <w:t xml:space="preserve">Հոդված 1. </w:t>
      </w: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highlight w:val="white"/>
          <w:rtl w:val="0"/>
        </w:rPr>
        <w:t xml:space="preserve">Հակակոռուպցիոն կոմիտեի մասին 2021 թվականի մարտի 24-ի ՀՕ-147-Ն օրենքը (այսուհետ՝ Օրենք) լրացնել </w:t>
      </w: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հետևյալ բովանդակությամբ նոր 13.1-ին հոդվածով՝</w:t>
      </w:r>
    </w:p>
    <w:p w:rsidR="00000000" w:rsidDel="00000000" w:rsidP="00000000" w:rsidRDefault="00000000" w:rsidRPr="00000000" w14:paraId="00000006">
      <w:pPr>
        <w:spacing w:after="0" w:line="360" w:lineRule="auto"/>
        <w:ind w:firstLine="567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13.1. Կարգապահական հանձնաժողով.</w:t>
      </w:r>
    </w:p>
    <w:p w:rsidR="00000000" w:rsidDel="00000000" w:rsidP="00000000" w:rsidRDefault="00000000" w:rsidRPr="00000000" w14:paraId="00000007">
      <w:pPr>
        <w:spacing w:after="0" w:line="360" w:lineRule="auto"/>
        <w:ind w:firstLine="567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1. Հակակոռուպցիոն կոմիտեում գործում է կարգապահական հանձնաժողով:</w:t>
      </w:r>
    </w:p>
    <w:p w:rsidR="00000000" w:rsidDel="00000000" w:rsidP="00000000" w:rsidRDefault="00000000" w:rsidRPr="00000000" w14:paraId="00000008">
      <w:pPr>
        <w:spacing w:after="0" w:line="360" w:lineRule="auto"/>
        <w:ind w:firstLine="567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2. Կարգապահական հանձնաժողովը բաղկացած է 7 անդամից: Հանձնաժողովի կազմում են հակակոռուպցիոն կոմիտեի նախագահի տեղակալներից մեկը՝ կոմիտեի նախագահի որոշմամբ, հակակոռուպցիոն կոմիտեի՝ վիճակահանությամբ ընտրվող մեկ քննիչ, մեկ օպերատիվ-հետախուզական ստորաբաժանման ծառայող, ՀՀ փաստաբանական պալատի մեկ ներկայացուցիչ, երկու իրավաբան-գիտնական և Կառավարության նշանակած մեկ ներկայացուցիչ: Կարգապահական հանձնաժողովի անդամները նշանակվում են 3 տարի ժամկետով: Կարգապահական հանձնաժողովում նոր անդամների նշանակումները կատարվում են կարգապահական հանձնաժողովի գործող անդամների լիազորությունները դադարելու օրվան նախորդող օրը, իսկ կարգապահական հանձնաժողովի անդամի պաշտոնը թափուր մնալու դեպքում՝ պաշտոնը թափուր մնալուց հետո մեկշաբաթյա ժամկետում:</w:t>
      </w:r>
    </w:p>
    <w:p w:rsidR="00000000" w:rsidDel="00000000" w:rsidP="00000000" w:rsidRDefault="00000000" w:rsidRPr="00000000" w14:paraId="00000009">
      <w:pPr>
        <w:spacing w:after="0" w:line="360" w:lineRule="auto"/>
        <w:ind w:firstLine="567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3. Կարգապահական հանձնաժողովը չի կարող ղեկավարել հակակոռուպցիոն կոմիտեի ծառայողի պաշտոն զբաղեցնող անդամը: Կարգապահական հանձնաժողովի նախագահը ընտրվում է հանձնաժողովի անդամների ընդհանուր թվի ձայների մեծամասնությամբ:</w:t>
      </w:r>
    </w:p>
    <w:p w:rsidR="00000000" w:rsidDel="00000000" w:rsidP="00000000" w:rsidRDefault="00000000" w:rsidRPr="00000000" w14:paraId="0000000A">
      <w:pPr>
        <w:spacing w:after="0" w:line="360" w:lineRule="auto"/>
        <w:ind w:firstLine="567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4. Կարգապահական հանձնաժողովի նախագահը ընտրվում է 1 տարի ժամկետով:</w:t>
      </w:r>
    </w:p>
    <w:p w:rsidR="00000000" w:rsidDel="00000000" w:rsidP="00000000" w:rsidRDefault="00000000" w:rsidRPr="00000000" w14:paraId="0000000B">
      <w:pPr>
        <w:spacing w:after="0" w:line="360" w:lineRule="auto"/>
        <w:ind w:firstLine="567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5. Կարգապահական հանձնաժողովի անդամներն անկախ են: Նրանց գործառույթներն իրականացնելու առնչությամբ որևէ միջամտություն արգելվում է:</w:t>
      </w:r>
    </w:p>
    <w:p w:rsidR="00000000" w:rsidDel="00000000" w:rsidP="00000000" w:rsidRDefault="00000000" w:rsidRPr="00000000" w14:paraId="0000000C">
      <w:pPr>
        <w:spacing w:after="0" w:line="360" w:lineRule="auto"/>
        <w:ind w:firstLine="567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6. Կարգապահական հանձնաժողովի աշխատակարգը սահմանում է կարգապահական հանձնաժողովը՝ անդամների ձայների պարզ մեծամասնությամբ::</w:t>
      </w:r>
    </w:p>
    <w:p w:rsidR="00000000" w:rsidDel="00000000" w:rsidP="00000000" w:rsidRDefault="00000000" w:rsidRPr="00000000" w14:paraId="0000000D">
      <w:pPr>
        <w:spacing w:after="0" w:line="360" w:lineRule="auto"/>
        <w:ind w:firstLine="567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firstLine="567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color w:val="000000"/>
          <w:sz w:val="24"/>
          <w:szCs w:val="24"/>
          <w:highlight w:val="white"/>
          <w:rtl w:val="0"/>
        </w:rPr>
        <w:t xml:space="preserve">Հոդված 2. </w:t>
      </w: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highlight w:val="white"/>
          <w:rtl w:val="0"/>
        </w:rPr>
        <w:t xml:space="preserve">Օրենքի</w:t>
      </w:r>
      <w:r w:rsidDel="00000000" w:rsidR="00000000" w:rsidRPr="00000000">
        <w:rPr>
          <w:rFonts w:ascii="GHEA Grapalat" w:cs="GHEA Grapalat" w:eastAsia="GHEA Grapalat" w:hAnsi="GHEA Grapalat"/>
          <w:b w:val="1"/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34-րդ հոդվածը շարադրել հետևյալ խմբագրությամբ՝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GHEA Grapalat" w:cs="GHEA Grapalat" w:eastAsia="GHEA Grapalat" w:hAnsi="GHEA Grapal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HEA Grapalat" w:cs="GHEA Grapalat" w:eastAsia="GHEA Grapalat" w:hAnsi="GHEA Grapal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«1. Սույն օրենքով սահմանված հիմքերով հակակոռուպցիոն կոմիտեի ծառայողի նկատմամբ իրականացվում է ծառայողական քննություն, որի փուլերն են` նախնական ուսումնասիրություն և կարգապահական վարույթ: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GHEA Grapalat" w:cs="GHEA Grapalat" w:eastAsia="GHEA Grapalat" w:hAnsi="GHEA Grapal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HEA Grapalat" w:cs="GHEA Grapalat" w:eastAsia="GHEA Grapalat" w:hAnsi="GHEA Grapal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Կարգապահական խախտման փաստի առթիվ հակակոռուպցիոն կոմիտեում ինքնավար պաշտոն զբաղեցնող անձի նկատմամբ կարգապահական վարույթ կարող է հարուցվել կարգապահական հանձնաժողովի որոշմամբ` հակակոռուպցիոն կոմիտեի նախագահի, նրա տեղակալի կամ կարգապահական հանձնաժողովի որևէ անդամի միջնորդությամբ: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GHEA Grapalat" w:cs="GHEA Grapalat" w:eastAsia="GHEA Grapalat" w:hAnsi="GHEA Grapal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HEA Grapalat" w:cs="GHEA Grapalat" w:eastAsia="GHEA Grapalat" w:hAnsi="GHEA Grapal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Հակակոռուպցիոն կոմիտեում կարգապահական վարույթ հարուցելու հարցի լուծման նպատակով նախնական ուսումնասիրություն կատարելու կարգը սահմանվում է կարգապահական հանձնաժողովի որոշմամբ: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GHEA Grapalat" w:cs="GHEA Grapalat" w:eastAsia="GHEA Grapalat" w:hAnsi="GHEA Grapal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HEA Grapalat" w:cs="GHEA Grapalat" w:eastAsia="GHEA Grapalat" w:hAnsi="GHEA Grapal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Եթե կարգապահական վարույթը հարուցվել է կարգապահական հանձնաժողովի անդամներից մեկի նկատմամբ, ապա նրա մասնակցությունը հանձնաժողովի աշխատանքներին կասեցվում է մինչև համապատասխան որոշում ընդունելը: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567"/>
        <w:jc w:val="both"/>
        <w:rPr>
          <w:rFonts w:ascii="GHEA Grapalat" w:cs="GHEA Grapalat" w:eastAsia="GHEA Grapalat" w:hAnsi="GHEA Grapal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HEA Grapalat" w:cs="GHEA Grapalat" w:eastAsia="GHEA Grapalat" w:hAnsi="GHEA Grapal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Կարգապահական վարույթը հարուցվում է կարգապահական խախտում հայտնաբերելու օրվանից հետո` 30-օրյա ժամկետում, բայց ոչ ուշ, քան այն կատարելու օրվանից 12 ամիս հետո: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567"/>
        <w:jc w:val="both"/>
        <w:rPr>
          <w:rFonts w:ascii="GHEA Grapalat" w:cs="GHEA Grapalat" w:eastAsia="GHEA Grapalat" w:hAnsi="GHEA Grapal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HEA Grapalat" w:cs="GHEA Grapalat" w:eastAsia="GHEA Grapalat" w:hAnsi="GHEA Grapal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Կարգապահական վարույթի տևողությունը չի կարող գերազանցել 1 ամիսը, բացառությամբ հակակոռուպցիոն կոմիտեի ծառայողի բացակայության դեպքերի: Այդ դեպքերում կարգապահական վարույթի տևողությունը կարող է երկարաձգվել հակակոռուպցիոն կոմիտեի ծառայողի բացակայության ժամանակահատվածով: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GHEA Grapalat" w:cs="GHEA Grapalat" w:eastAsia="GHEA Grapalat" w:hAnsi="GHEA Grapal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HEA Grapalat" w:cs="GHEA Grapalat" w:eastAsia="GHEA Grapalat" w:hAnsi="GHEA Grapal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Եթե մինչև կարգապահական վարույթ հարուցելը կամ կարգապահական վարույթ հարուցելուց հետո պարզվել է, որ առկա է հակակոռուպցիոն կոմիտեի ծառայողի մասնակցությամբ կամ նրա կատարած ենթադրյալ հանցագործության դեպք կամ հակակոռուպցիոն կոմիտեի ծառայողի կատարած վարչական իրավախախտում, ապա կարգապահական վարույթի հարուցումը հետաձգվում է, իսկ հարուցված կարգապահական վարույթը կասեցվում է մինչև համապատասխան քրեական կամ վարչական վարույթի ավարտը: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GHEA Grapalat" w:cs="GHEA Grapalat" w:eastAsia="GHEA Grapalat" w:hAnsi="GHEA Grapalat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GHEA Grapalat" w:cs="GHEA Grapalat" w:eastAsia="GHEA Grapalat" w:hAnsi="GHEA Grapalat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8. Հակակոռուպցիոն կոմիտեի ծառայողն իրավունք ունի բացատրություն տալու իր նկատմամբ հարուցված կարգապահական վարույթի առնչությամբ, ստանալ իրավաբանական օգնություն, այդ թվում հանդես գալ ներկայացուցչի միջոցով (ներառյալ՝ փաստաբանական ծառայություններ մատուցող):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GHEA Grapalat" w:cs="GHEA Grapalat" w:eastAsia="GHEA Grapalat" w:hAnsi="GHEA Grapal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HEA Grapalat" w:cs="GHEA Grapalat" w:eastAsia="GHEA Grapalat" w:hAnsi="GHEA Grapal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Տույժերը ձևակերպվում են գրավոր: Կարգապահական յուրաքանչյուր խախտման համար կարող է նշանակվել մեկ կարգապահական տույժ: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8"/>
        <w:jc w:val="both"/>
        <w:rPr>
          <w:rFonts w:ascii="GHEA Grapalat" w:cs="GHEA Grapalat" w:eastAsia="GHEA Grapalat" w:hAnsi="GHEA Grapal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HEA Grapalat" w:cs="GHEA Grapalat" w:eastAsia="GHEA Grapalat" w:hAnsi="GHEA Grapal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Կարգապահական տույժի մասին հակակոռուպցիոն կոմիտեի ծառայողը տեղեկացվում է դրա նշանակումից հետո` հնգօրյա ժամկետում: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GHEA Grapalat" w:cs="GHEA Grapalat" w:eastAsia="GHEA Grapalat" w:hAnsi="GHEA Grapal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HEA Grapalat" w:cs="GHEA Grapalat" w:eastAsia="GHEA Grapalat" w:hAnsi="GHEA Grapal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Եթե կարգապահական տույժ նշանակվելու օրվանից հետո` մեկ տարվա ընթացքում, հակակոռուպցիոն կոմիտեի ծառայողը նոր կարգապահական տույժի չի ենթարկվել, ապա այն համարվում է մարված: Սույն մասի դրույթները չեն տարածվում սույն օրենքի 33-րդ հոդվածի 1-ին մասի 4-6-րդ կետերով նախատեսված կարգապահական տույժերի վրա: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567"/>
        <w:jc w:val="both"/>
        <w:rPr>
          <w:rFonts w:ascii="GHEA Grapalat" w:cs="GHEA Grapalat" w:eastAsia="GHEA Grapalat" w:hAnsi="GHEA Grapal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HEA Grapalat" w:cs="GHEA Grapalat" w:eastAsia="GHEA Grapalat" w:hAnsi="GHEA Grapal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Կարգապահական հանձնաժողովը կարգապահական խախտման հարցը քննելիս քվեարկությամբ որոշում է կարգապահական խախտման փաստի առկայությունը, կատարված խախտման մեջ հակակոռուպցիոն կոմիտեի ծառայողի մեղավորության հարցը և պատասխանատվության ենթարկելու կապակցությամբ որոշում կայացնելու համար անհրաժեշտ այլ հարցեր: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567"/>
        <w:jc w:val="both"/>
        <w:rPr>
          <w:rFonts w:ascii="GHEA Grapalat" w:cs="GHEA Grapalat" w:eastAsia="GHEA Grapalat" w:hAnsi="GHEA Grapal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HEA Grapalat" w:cs="GHEA Grapalat" w:eastAsia="GHEA Grapalat" w:hAnsi="GHEA Grapal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Մեկ կարգապահական վարույթի շրջանակներում կարող է նշանակվել միայն մեկ կարգապահական տույժ: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567"/>
        <w:jc w:val="both"/>
        <w:rPr>
          <w:rFonts w:ascii="GHEA Grapalat" w:cs="GHEA Grapalat" w:eastAsia="GHEA Grapalat" w:hAnsi="GHEA Grapal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HEA Grapalat" w:cs="GHEA Grapalat" w:eastAsia="GHEA Grapalat" w:hAnsi="GHEA Grapal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 Ծառայողական քննության ժամանակահատվածում հակակոռուպցիոն կոմիտեի ծառայողի լիազորությունները կարող են ժամանակավորապես դադարեցվել, եթե բավարար հիմքեր կան ենթադրելու, որ, պաշտոնում մնալով, նա կխոչընդոտի ծառայողական քննության անցկացումը: Այդ դեպքում հակակոռուպցիոն կոմիտեի ծառայողի վարձատրությունը պահպանվում է: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567"/>
        <w:jc w:val="both"/>
        <w:rPr>
          <w:rFonts w:ascii="GHEA Grapalat" w:cs="GHEA Grapalat" w:eastAsia="GHEA Grapalat" w:hAnsi="GHEA Grapal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HEA Grapalat" w:cs="GHEA Grapalat" w:eastAsia="GHEA Grapalat" w:hAnsi="GHEA Grapal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 Հակակոռուպցիոն կոմիտեի ծառայողի նկատմամբ քրեական հետապնդում հարուցված լինելու դեպքում նրա պաշտոնավարումը կարող է կասեցվել Հայաստանի Հանրապետության քրեական դատավարության օրենսգրքով սահմանված դեպքերում և կարգով: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567"/>
        <w:jc w:val="both"/>
        <w:rPr>
          <w:rFonts w:ascii="GHEA Grapalat" w:cs="GHEA Grapalat" w:eastAsia="GHEA Grapalat" w:hAnsi="GHEA Grapal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HEA Grapalat" w:cs="GHEA Grapalat" w:eastAsia="GHEA Grapalat" w:hAnsi="GHEA Grapal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 Հակակոռուպցիոն կոմիտեի ծառայողն իրավունք ունի իր նկատմամբ նշանակված կարգապահական տույժի մասին որոշումն օրենքով սահմանված կարգով բողոքարկելու դատարան: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567"/>
        <w:jc w:val="both"/>
        <w:rPr>
          <w:rFonts w:ascii="GHEA Grapalat" w:cs="GHEA Grapalat" w:eastAsia="GHEA Grapalat" w:hAnsi="GHEA Grapal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HEA Grapalat" w:cs="GHEA Grapalat" w:eastAsia="GHEA Grapalat" w:hAnsi="GHEA Grapal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17. Կարգապահական տույժի ենթարկված հակակոռուպցիոն կոմիտեի ծառայողը չի ազատվում նույն արարքի համար օրենքով սահմանված քաղաքացիական, վարչական կամ քրեական պատասխանատվությունից, բացառությամբ այն դեպքերի, երբ կարգապահական տույժը կիրառվել է առաքինության ստուգման շրջանակներում կատարված խախտման հիմքով:»: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567"/>
        <w:jc w:val="both"/>
        <w:rPr>
          <w:rFonts w:ascii="GHEA Grapalat" w:cs="GHEA Grapalat" w:eastAsia="GHEA Grapalat" w:hAnsi="GHEA Grapal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ind w:firstLine="567"/>
        <w:jc w:val="both"/>
        <w:rPr>
          <w:rFonts w:ascii="GHEA Grapalat" w:cs="GHEA Grapalat" w:eastAsia="GHEA Grapalat" w:hAnsi="GHEA Grapalat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color w:val="000000"/>
          <w:sz w:val="24"/>
          <w:szCs w:val="24"/>
          <w:rtl w:val="0"/>
        </w:rPr>
        <w:t xml:space="preserve">Հոդված 3.</w:t>
      </w:r>
      <w:r w:rsidDel="00000000" w:rsidR="00000000" w:rsidRPr="00000000">
        <w:rPr>
          <w:rFonts w:ascii="GHEA Grapalat" w:cs="GHEA Grapalat" w:eastAsia="GHEA Grapalat" w:hAnsi="GHEA Grapalat"/>
          <w:b w:val="1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HEA Grapalat" w:cs="GHEA Grapalat" w:eastAsia="GHEA Grapalat" w:hAnsi="GHEA Grapalat"/>
          <w:b w:val="1"/>
          <w:color w:val="000000"/>
          <w:sz w:val="24"/>
          <w:szCs w:val="24"/>
          <w:rtl w:val="0"/>
        </w:rPr>
        <w:t xml:space="preserve">Եզրափակիչ մաս և անցումային դրույթներ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ind w:firstLine="567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1. Սույն օրենքն ուժի մեջ է մտնում պաշտոնական հրապարակման օրվան հաջորդող տասներորդ օրը:</w:t>
      </w:r>
    </w:p>
    <w:p w:rsidR="00000000" w:rsidDel="00000000" w:rsidP="00000000" w:rsidRDefault="00000000" w:rsidRPr="00000000" w14:paraId="00000023">
      <w:pPr>
        <w:spacing w:after="0" w:line="360" w:lineRule="auto"/>
        <w:ind w:firstLine="567"/>
        <w:jc w:val="both"/>
        <w:rPr>
          <w:rFonts w:ascii="GHEA Grapalat" w:cs="GHEA Grapalat" w:eastAsia="GHEA Grapalat" w:hAnsi="GHEA Grapalat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highlight w:val="white"/>
          <w:rtl w:val="0"/>
        </w:rPr>
        <w:t xml:space="preserve">2. Հակակոռուպցիոն կոմիտեի նախագահը սահմանում է հակակոռուպցիոն կոմիտեի ծառայողի վարքագծի կանոնները սույն օրենքն ուժի մեջ մտնելուց հետո մեկամսյա ժամկետում։</w:t>
      </w:r>
    </w:p>
    <w:p w:rsidR="00000000" w:rsidDel="00000000" w:rsidP="00000000" w:rsidRDefault="00000000" w:rsidRPr="00000000" w14:paraId="00000024">
      <w:pPr>
        <w:spacing w:after="0" w:line="360" w:lineRule="auto"/>
        <w:ind w:firstLine="567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3. Հակակոռուպցիոն կոմիտեում կարգապահական վարույթ հարուցելու հարցի լուծման նպատակով նախնական ուսումնասիրություն կատարելու կարգը սահմանվող որոշումը ընդունվում է կարգապահական հանձնաժողովի ձևավորումից հետո մեկամսյա ժամկետում:</w:t>
      </w:r>
    </w:p>
    <w:p w:rsidR="00000000" w:rsidDel="00000000" w:rsidP="00000000" w:rsidRDefault="00000000" w:rsidRPr="00000000" w14:paraId="00000025">
      <w:pPr>
        <w:spacing w:after="0" w:line="360" w:lineRule="auto"/>
        <w:ind w:firstLine="567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4. Հակակոռուպցիոն կոմիտեի կարգապահական հանձնաժողովի առաջին կազմի ձևավորման նպատակով անդամները նշանակվում են սույն օրենքը ուժի մեջ մտնելուց հետո երկշաբաթյա ժամկետում:</w:t>
      </w:r>
    </w:p>
    <w:p w:rsidR="00000000" w:rsidDel="00000000" w:rsidP="00000000" w:rsidRDefault="00000000" w:rsidRPr="00000000" w14:paraId="00000026">
      <w:pPr>
        <w:spacing w:after="0" w:line="360" w:lineRule="auto"/>
        <w:ind w:firstLine="567"/>
        <w:jc w:val="both"/>
        <w:rPr>
          <w:rFonts w:ascii="GHEA Grapalat" w:cs="GHEA Grapalat" w:eastAsia="GHEA Grapalat" w:hAnsi="GHEA Grapalat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5. Հակակոռուպցիոն կոմիտեի կարգապահական հանձնաժողովը համարվում է ձևավորված հանձնաժողովի առաջին կազմի բոլոր անդամների նշանակվելու հաջորդ օրը: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t"/>
  <w:font w:name="Arial Armenian"/>
  <w:font w:name="GHEA Grapalat"/>
  <w:font w:name="Arial LatArm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Bdr>
        <w:left w:color="ff0000" w:space="4" w:sz="18" w:val="single"/>
      </w:pBdr>
      <w:tabs>
        <w:tab w:val="center" w:pos="4320"/>
        <w:tab w:val="right" w:pos="8640"/>
      </w:tabs>
      <w:spacing w:after="0" w:line="240" w:lineRule="auto"/>
      <w:ind w:left="-180" w:firstLine="0"/>
      <w:rPr>
        <w:rFonts w:ascii="Merriweather" w:cs="Merriweather" w:eastAsia="Merriweather" w:hAnsi="Merriweather"/>
        <w:color w:val="ff0000"/>
      </w:rPr>
    </w:pPr>
    <w:r w:rsidDel="00000000" w:rsidR="00000000" w:rsidRPr="00000000">
      <w:rPr>
        <w:rFonts w:ascii="GHEA Grapalat" w:cs="GHEA Grapalat" w:eastAsia="GHEA Grapalat" w:hAnsi="GHEA Grapalat"/>
        <w:sz w:val="24"/>
        <w:szCs w:val="24"/>
        <w:rtl w:val="0"/>
      </w:rPr>
      <w:t xml:space="preserve">Արդարադատության</w:t>
    </w:r>
    <w:r w:rsidDel="00000000" w:rsidR="00000000" w:rsidRPr="00000000">
      <w:rPr>
        <w:rFonts w:ascii="Arial Armenian" w:cs="Arial Armenian" w:eastAsia="Arial Armenian" w:hAnsi="Arial Armenian"/>
        <w:rtl w:val="0"/>
      </w:rPr>
      <w:t xml:space="preserve">                                                                                                </w:t>
    </w:r>
    <w:r w:rsidDel="00000000" w:rsidR="00000000" w:rsidRPr="00000000">
      <w:rPr>
        <w:rFonts w:ascii="GHEA Grapalat" w:cs="GHEA Grapalat" w:eastAsia="GHEA Grapalat" w:hAnsi="GHEA Grapalat"/>
        <w:sz w:val="24"/>
        <w:szCs w:val="24"/>
        <w:rtl w:val="0"/>
      </w:rPr>
      <w:t xml:space="preserve">ՆԱԽԱԳԻԾ</w:t>
    </w:r>
    <w:r w:rsidDel="00000000" w:rsidR="00000000" w:rsidRPr="00000000">
      <w:rPr>
        <w:rFonts w:ascii="Arial Armenian" w:cs="Arial Armenian" w:eastAsia="Arial Armenian" w:hAnsi="Arial Armenian"/>
        <w:rtl w:val="0"/>
      </w:rPr>
      <w:t xml:space="preserve">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-685797</wp:posOffset>
          </wp:positionH>
          <wp:positionV relativeFrom="paragraph">
            <wp:posOffset>-8887</wp:posOffset>
          </wp:positionV>
          <wp:extent cx="457200" cy="444500"/>
          <wp:effectExtent b="0" l="0" r="0" t="0"/>
          <wp:wrapNone/>
          <wp:docPr descr="GERB_HH" id="2" name="image1.jpg"/>
          <a:graphic>
            <a:graphicData uri="http://schemas.openxmlformats.org/drawingml/2006/picture">
              <pic:pic>
                <pic:nvPicPr>
                  <pic:cNvPr descr="GERB_HH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pBdr>
        <w:left w:color="0000ff" w:space="4" w:sz="18" w:val="single"/>
      </w:pBdr>
      <w:tabs>
        <w:tab w:val="center" w:pos="4320"/>
        <w:tab w:val="right" w:pos="8640"/>
      </w:tabs>
      <w:spacing w:after="0" w:line="240" w:lineRule="auto"/>
      <w:ind w:left="-180" w:firstLine="0"/>
      <w:rPr>
        <w:rFonts w:ascii="GHEA Grapalat" w:cs="GHEA Grapalat" w:eastAsia="GHEA Grapalat" w:hAnsi="GHEA Grapalat"/>
      </w:rPr>
    </w:pPr>
    <w:r w:rsidDel="00000000" w:rsidR="00000000" w:rsidRPr="00000000">
      <w:rPr>
        <w:rFonts w:ascii="GHEA Grapalat" w:cs="GHEA Grapalat" w:eastAsia="GHEA Grapalat" w:hAnsi="GHEA Grapalat"/>
        <w:sz w:val="24"/>
        <w:szCs w:val="24"/>
        <w:rtl w:val="0"/>
      </w:rPr>
      <w:t xml:space="preserve">Նախարարություն</w:t>
    </w:r>
    <w:r w:rsidDel="00000000" w:rsidR="00000000" w:rsidRPr="00000000">
      <w:rPr>
        <w:rFonts w:ascii="GHEA Grapalat" w:cs="GHEA Grapalat" w:eastAsia="GHEA Grapalat" w:hAnsi="GHEA Grapalat"/>
        <w:rtl w:val="0"/>
      </w:rPr>
      <w:t xml:space="preserve">                       </w:t>
    </w:r>
  </w:p>
  <w:p w:rsidR="00000000" w:rsidDel="00000000" w:rsidP="00000000" w:rsidRDefault="00000000" w:rsidRPr="00000000" w14:paraId="00000029">
    <w:pPr>
      <w:pBdr>
        <w:left w:color="ff6600" w:space="4" w:sz="18" w:val="single"/>
      </w:pBdr>
      <w:tabs>
        <w:tab w:val="center" w:pos="4320"/>
        <w:tab w:val="right" w:pos="8640"/>
      </w:tabs>
      <w:spacing w:after="0" w:line="240" w:lineRule="auto"/>
      <w:ind w:left="-180" w:firstLine="0"/>
      <w:rPr>
        <w:rFonts w:ascii="Art" w:cs="Art" w:eastAsia="Art" w:hAnsi="Art"/>
      </w:rPr>
    </w:pPr>
    <w:r w:rsidDel="00000000" w:rsidR="00000000" w:rsidRPr="00000000">
      <w:rPr>
        <w:rFonts w:ascii="Art" w:cs="Art" w:eastAsia="Art" w:hAnsi="Art"/>
        <w:rtl w:val="0"/>
      </w:rPr>
      <w:t xml:space="preserve">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2A">
    <w:pPr>
      <w:tabs>
        <w:tab w:val="center" w:pos="4320"/>
        <w:tab w:val="right" w:pos="8640"/>
      </w:tabs>
      <w:spacing w:after="0" w:line="240" w:lineRule="auto"/>
      <w:ind w:left="-907" w:firstLine="0"/>
      <w:rPr>
        <w:rFonts w:ascii="Arial LatArm" w:cs="Arial LatArm" w:eastAsia="Arial LatArm" w:hAnsi="Arial LatArm"/>
        <w:sz w:val="18"/>
        <w:szCs w:val="18"/>
      </w:rPr>
    </w:pPr>
    <w:r w:rsidDel="00000000" w:rsidR="00000000" w:rsidRPr="00000000">
      <w:rPr>
        <w:rFonts w:ascii="Arial LatArm" w:cs="Arial LatArm" w:eastAsia="Arial LatArm" w:hAnsi="Arial LatArm"/>
        <w:sz w:val="24"/>
        <w:szCs w:val="24"/>
        <w:rtl w:val="0"/>
      </w:rPr>
      <w:t xml:space="preserve">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y-AM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D0D6A"/>
  </w:style>
  <w:style w:type="paragraph" w:styleId="Heading1">
    <w:name w:val="heading 1"/>
    <w:basedOn w:val="Normal"/>
    <w:next w:val="Normal"/>
    <w:uiPriority w:val="9"/>
    <w:qFormat w:val="1"/>
    <w:rsid w:val="00747C1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rsid w:val="00747C1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rsid w:val="00747C1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rsid w:val="00747C1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rsid w:val="00747C1A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rsid w:val="00747C1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rsid w:val="00747C1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unhideWhenUsed w:val="1"/>
    <w:rsid w:val="007505F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750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7505F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750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7505F7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7505F7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505F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505F7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BC4F9C"/>
    <w:pPr>
      <w:ind w:left="720"/>
      <w:contextualSpacing w:val="1"/>
    </w:pPr>
  </w:style>
  <w:style w:type="paragraph" w:styleId="Subtitle">
    <w:name w:val="Subtitle"/>
    <w:basedOn w:val="Normal"/>
    <w:next w:val="Normal"/>
    <w:rsid w:val="00747C1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 w:val="1"/>
    <w:rsid w:val="003E18FF"/>
    <w:pPr>
      <w:tabs>
        <w:tab w:val="center" w:pos="4677"/>
        <w:tab w:val="right" w:pos="9355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E18FF"/>
  </w:style>
  <w:style w:type="paragraph" w:styleId="Footer">
    <w:name w:val="footer"/>
    <w:basedOn w:val="Normal"/>
    <w:link w:val="FooterChar"/>
    <w:uiPriority w:val="99"/>
    <w:unhideWhenUsed w:val="1"/>
    <w:rsid w:val="003E18FF"/>
    <w:pPr>
      <w:tabs>
        <w:tab w:val="center" w:pos="4677"/>
        <w:tab w:val="right" w:pos="9355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E18FF"/>
  </w:style>
  <w:style w:type="paragraph" w:styleId="Revision">
    <w:name w:val="Revision"/>
    <w:hidden w:val="1"/>
    <w:uiPriority w:val="99"/>
    <w:semiHidden w:val="1"/>
    <w:rsid w:val="005548D7"/>
    <w:pPr>
      <w:spacing w:after="0" w:line="240" w:lineRule="auto"/>
    </w:pPr>
  </w:style>
  <w:style w:type="character" w:styleId="Strong">
    <w:name w:val="Strong"/>
    <w:basedOn w:val="DefaultParagraphFont"/>
    <w:uiPriority w:val="22"/>
    <w:qFormat w:val="1"/>
    <w:rsid w:val="00B40EAA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B40EAA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Gl/7LpXqbZm291Ym7G2A+jof1Q==">AMUW2mUBNaj/i53XzDupZ1clSom3D/icTAecx9/iEgvzPiC+zU8tIoMQPlFtO4BG/hJzBdO0fq4/BuXMrmyEBNZFNv0e9gR54nufx6F/e0j+imQnAilE/hE=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2022-08-30T08:02:00Z</dcterms:created>
</cp:coreProperties>
</file>