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8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</w:tblGrid>
      <w:tr w:rsidR="00B5322E" w:rsidRPr="005C0B04" w:rsidTr="00B5322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B5322E" w:rsidRPr="005C0B04" w:rsidRDefault="00B5322E" w:rsidP="005C0B0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17"/>
                <w:szCs w:val="17"/>
              </w:rPr>
            </w:pPr>
          </w:p>
        </w:tc>
      </w:tr>
    </w:tbl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17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17"/>
          <w:szCs w:val="17"/>
        </w:rPr>
        <w:t> </w:t>
      </w:r>
    </w:p>
    <w:p w:rsidR="001932DD" w:rsidRPr="005C0B04" w:rsidRDefault="001932DD" w:rsidP="005C0B04">
      <w:pPr>
        <w:spacing w:after="0" w:line="360" w:lineRule="auto"/>
        <w:jc w:val="right"/>
        <w:rPr>
          <w:rFonts w:ascii="GHEA Grapalat" w:hAnsi="GHEA Grapalat"/>
        </w:rPr>
      </w:pPr>
      <w:r w:rsidRPr="005C0B04">
        <w:rPr>
          <w:rFonts w:ascii="GHEA Grapalat" w:hAnsi="GHEA Grapalat"/>
          <w:lang w:val="ru-RU"/>
        </w:rPr>
        <w:t>Հավելված</w:t>
      </w:r>
      <w:r w:rsidR="00683730">
        <w:rPr>
          <w:rFonts w:ascii="GHEA Grapalat" w:hAnsi="GHEA Grapalat"/>
        </w:rPr>
        <w:t xml:space="preserve"> </w:t>
      </w:r>
    </w:p>
    <w:p w:rsidR="001932DD" w:rsidRPr="005C0B04" w:rsidRDefault="001932DD" w:rsidP="005C0B04">
      <w:pPr>
        <w:spacing w:after="0" w:line="360" w:lineRule="auto"/>
        <w:jc w:val="right"/>
        <w:rPr>
          <w:rFonts w:ascii="GHEA Grapalat" w:hAnsi="GHEA Grapalat"/>
        </w:rPr>
      </w:pPr>
      <w:r w:rsidRPr="005C0B04">
        <w:rPr>
          <w:rFonts w:ascii="GHEA Grapalat" w:hAnsi="GHEA Grapalat"/>
        </w:rPr>
        <w:t>ՀՀ կառավարության 202</w:t>
      </w:r>
      <w:r w:rsidR="003758D8" w:rsidRPr="005C0B04">
        <w:rPr>
          <w:rFonts w:ascii="GHEA Grapalat" w:hAnsi="GHEA Grapalat"/>
        </w:rPr>
        <w:t>2</w:t>
      </w:r>
      <w:r w:rsidRPr="005C0B04">
        <w:rPr>
          <w:rFonts w:ascii="GHEA Grapalat" w:hAnsi="GHEA Grapalat"/>
        </w:rPr>
        <w:t xml:space="preserve"> թվականի</w:t>
      </w:r>
    </w:p>
    <w:p w:rsidR="001932DD" w:rsidRPr="005C0B04" w:rsidRDefault="001932DD" w:rsidP="005C0B04">
      <w:pPr>
        <w:shd w:val="clear" w:color="auto" w:fill="FFFFFF"/>
        <w:spacing w:after="0" w:line="360" w:lineRule="auto"/>
        <w:ind w:right="115" w:firstLine="346"/>
        <w:jc w:val="right"/>
        <w:rPr>
          <w:rFonts w:ascii="GHEA Grapalat" w:hAnsi="GHEA Grapalat"/>
        </w:rPr>
      </w:pPr>
      <w:r w:rsidRPr="005C0B04">
        <w:rPr>
          <w:rFonts w:ascii="GHEA Grapalat" w:hAnsi="GHEA Grapalat"/>
        </w:rPr>
        <w:t xml:space="preserve">  ____ __-ի N __ -Լ որոշման</w:t>
      </w:r>
    </w:p>
    <w:p w:rsidR="001932DD" w:rsidRPr="005C0B04" w:rsidRDefault="001932DD" w:rsidP="005C0B04">
      <w:pPr>
        <w:shd w:val="clear" w:color="auto" w:fill="FFFFFF"/>
        <w:spacing w:after="0" w:line="360" w:lineRule="auto"/>
        <w:ind w:right="115" w:firstLine="346"/>
        <w:jc w:val="right"/>
        <w:rPr>
          <w:rFonts w:ascii="GHEA Grapalat" w:hAnsi="GHEA Grapalat"/>
        </w:rPr>
      </w:pPr>
    </w:p>
    <w:p w:rsidR="001932DD" w:rsidRPr="005C0B04" w:rsidRDefault="001932DD" w:rsidP="005C0B04">
      <w:pPr>
        <w:shd w:val="clear" w:color="auto" w:fill="FFFFFF"/>
        <w:spacing w:after="0" w:line="360" w:lineRule="auto"/>
        <w:ind w:right="115" w:firstLine="346"/>
        <w:jc w:val="right"/>
        <w:rPr>
          <w:rFonts w:ascii="GHEA Grapalat" w:hAnsi="GHEA Grapalat"/>
        </w:rPr>
      </w:pP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ԾՐԱԳԻՐ</w:t>
      </w:r>
      <w:r w:rsidR="006130C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ՀԱՅԱՍՏԱՆԻ ՀԱՆՐԱՊԵՏՈՒԹՅՈՒՆՈՒՄ ԹՄՐԱՄՈԼՈՒԹՅԱՆ ԵՎ ԹՄՐԱՄԻՋՈՑՆԵՐԻ ԱՊՕՐԻՆ</w:t>
      </w:r>
      <w:r w:rsidR="001932DD"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ՇՐՋԱՆԱՌՈՒԹՅԱՆ ԴԵՄ ՊԱՅՔԱՐԻ 202</w:t>
      </w:r>
      <w:r w:rsidR="003758D8"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</w:t>
      </w:r>
      <w:r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="006130C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ՏԱՐԵԿԱՆ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322E" w:rsidRPr="005C0B04" w:rsidRDefault="007644F3" w:rsidP="005C0B04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B5322E"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. </w:t>
      </w:r>
      <w:r w:rsidR="00545D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ԾՐԱԳՐԻ ԿԱՏԱՐՄԱՆ ՍԿԶԲՈՒՆՔՆԵՐԸ ԵՎ ՆԱԽԱՏԵՍՎԱԾ ԱՇԽԱՏԱՆՔՆԵՐԻ ԻՐԱԿԱՆԱՑՄԱՆ ԱՌԱՋՆԱՀԵՐԹՈՒԹՅՈՒՆՆԵՐԸ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1. Թմրամիջոցների տարածման դեմ պայքարի պատմությունը տևում է արդեն մեկ դարից ավել, իսկ մասնագետները այն համարում են 21-րդ դարի գլոբալ խնդիրներից մեկը, քանի որ դրանց չարաշահումները լուրջ վտանգ են ներկայացնում ոչ միայն անհատի, այլև ողջ հասարակության և պետության համար: Ավելին, թմրամիջոցների, հոգեմետ (հոգեներգործուն) նյութերի և դրանց պրեկուրսորների ապօրինի շրջանառությունը սպառնում է պետության անվտանգությանն ու կայունությանը, աղետալի վնասներ է հասցնում երկրի տնտեսությանը, ազգի գենոֆոնդին: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2. Հայաստանի Հանրապետության ազգային անվտանգության ռազմավարության հ</w:t>
      </w:r>
      <w:r w:rsidR="007644F3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ամաձայն` թմրամիջոցների տարածումն ու տարանցումն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անմիջական սպառնալիք են ներկայացնում երկրի ազգային անվտանգության համար, իսկ Հայաստան</w:t>
      </w:r>
      <w:r w:rsidR="007644F3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ի Հանրապետության մասնակցությունն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անդրազգային հանցագործությունների, այդ թվում` թմրամիջոցների տարածման դեմ միջազգային պայքարին, հանդիսանում է պետության և ժողովրդի անվտանգության ոլորտում ազգային անվտանգության ապահովմանն ուղղված գործողություն: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Հայաստանի Հանրապետության անվտանգությունն ու կայուն զարգացումը, թմրամիջոցների, հոգեմետ (հոգեներգործուն) նյութերի և դրանց պրեկուրսորների ապօրինի շրջանառության դեմ պայքարում պետական իրավասու մարմինների կարողությունների 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զարգացումն ու դրանց գործունեության արդյունավետության բարձրացումը, ինչպես նաև թմրամոլության և թմրամիջոցների ապօրինի շրջանառության դեմ պայքարում ներպետական և միջազգային համագործակցությունն ամրապնդելու նպատակով Հայաստանի Հանրապետության ոստիկանությունը համագործակցում է բոլոր </w:t>
      </w:r>
      <w:r w:rsidR="007644F3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 մարմինների և կազմակերպությունների հետ: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4. Նշված ոլորտում միջգերատեսչական համագործակցություն</w:t>
      </w:r>
      <w:r w:rsidR="007644F3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ակտիվացնելու նպատակով անհրաժեշտ է մշակել միջոցառումների տարեկան ծրագիր, որը նպատակաուղղված կլինի կանխելու, հայտնաբերելու թմրամոլության, թմրամիջոցների, հոգեմետ նյութերի և դրանց պրեկուրսորների ապօրինի շրջանառության հետ կապված հանցագործությունները: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Բազմաթիվ երկրներում անվտանգության հիմնական սպառնալիքը մնում են միջազգային ահաբեկչությունը, ծայրահեղականությունը, թրաֆիքինգը, ինչպես նաև կազմակերպված հանցավորության այլ տեսակները որոնց ֆինանսավորման հիմնական աղբյուրը միջազգային «սև շուկաներում» թմրամիջոցների իրացումից ստացվող եկամուտներն են: Ընդ որում, չնայած Ադրբեջանի և Թուրքիայի կողմից Հայաստանի Հանրապետության շրջափակմամբ պայմանավորված, հարևան երկրների հետ սահմանային հաղորդակցության սահմանափակությանը, այնուամենայնիվ, Հայաստանի աշխարհագրական դիրքը կարող է գրավիչ լինել անդրազգային կազմակերպված հանցավոր խմբերի համար ինչպես թմրամիջոցների, հոգեմետ (հոգեներգործուն) նյութերի և դրանց պրեկուրսորների` </w:t>
      </w:r>
      <w:r w:rsidR="004F2CC7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Հայաստանի Հանրապետություն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ապօրինի ներկրման, այնպես էլ </w:t>
      </w:r>
      <w:r w:rsidR="004F2CC7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Հայաստանի Հանրապետության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տարածքը օգտագործելով դրանց տարանցիկ տեղափոխման համար: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6. Թմրամիջոցների ապօրինի շրջանառությունը միջազգային հանրության անվտանգությանն ուղղված լուրջ սպառնալիք է, որի դեմ պայքարը պահանջում է մարդկային և ֆինանսական հսկայական միջոցներ և պետությունների համատեղ ջանքեր և թմրամիջոցների ապօրինի շրջանառության հակազդումը` կապված տարբեր երկրների ակտիվ քաղաքական, տնտեսական, մշակութային ինտեգրացման հետ, մեկ երկրի, առավել ևս մեկ ծառայության շրջանակներում` հնարավոր չէ լուծել: Անհրաժեշտ է մշակել և իրականացնել կանխարգելիչ համատեղ ծրագրեր` ուղղված թմրամիջոցների պահանջարկի նվազեցմանը, որը կբերի վերջինիս առաջարկի նվազեցմանը: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7. Թմրամիջոցների ապօրինի շրջանառությունը և թմրամոլությունը, որպես տարածական և խիստ հակահասարակական ուղղվածություն ունեցող երևույթներ, համաշխարհային հանրության ուշադրության կենտրոնում են: Այնքանով, որ իրենց ծավալներով և մասշտաբներով ներառել են բոլոր աշխարհամասերը, ժողովուրդներին` անկախ վերջիններիս ազգությունից, սեռից, դավանանքից և սոցիալական պատկանելիությունից:</w:t>
      </w:r>
    </w:p>
    <w:p w:rsidR="005B0D08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8. Հայաստանի Հանրապետությունում թմրամիջոցների, հոգեմետ նյութերի և դրանց պրեկուրսորների ապօրինի շրջանառության դեմ տարվող պայքարն ակտիվացնելու, դրանց հակազդման գործընթացը պատշաճ մակարդ</w:t>
      </w:r>
      <w:r w:rsidR="001932DD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ակով կազմակերպելու նպատակով </w:t>
      </w:r>
      <w:r w:rsidR="00BD1A8C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A80606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21</w:t>
      </w:r>
      <w:r w:rsidR="00BD1A8C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="00A80606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2022 թվականի 1-ին կիսամյակի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ընթացքում Հայաստանի Հանրապետության շահագրգիռ գերատեսչությունների կողմից իրականացվել են մի շարք օպերատիվ-կանխարգելիչ և կազմակերպչական բնույթի միջոցառումներ, որոնք նպատակաուղղված են եղել այդ երևույթների կանխարգելմանն ու հայտնաբերմանը: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322E" w:rsidRPr="005C0B04" w:rsidRDefault="00BA33CF" w:rsidP="005C0B04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 w:rsidR="00B5322E"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 ՀԱՅԱՍՏԱՆԻ ՀԱՆՐԱՊԵՏՈՒԹՅՈՒՆՈՒՄ ԹՄՐԱՄՈԼՈՒԹՅԱՆ ԵՎ ԹՄՐԱՄԻՋՈՑՆԵՐԻ ՈՒ ՀՈԳԵՄԵՏ (ՀՈԳԵՆԵՐԳՈՐԾՈՒՆ) ՆՅՈՒԹԵՐԻ ԱՊՕՐԻՆԻ ՇՐՋԱՆԱՌՈՒԹՅԱՆ (ԱՅԴ ԹՎՈՒՄ` ՔՈՂԱՐԿՎԱԾՈՒԹՅԱՆ ՎԻՃԱԿԻ), ԻՆՉՊԵՍ ՆԱԵՎ ԲՆԱԿՉՈՒԹՅԱՆ ՇՐՋԱՆՈՒՄ ԹՄՐԱՄՈԼՈՒԹՅԱՆ ՏԱՐԱԾՄԱՆ ՔԱՆԱԿԱԿԱՆ ՈՒ ՈՐԱԿԱԿԱՆ ԲՆՈՒԹԱԳԻՐԸ, ԹՄՐԱՄԻՋՈՑՆԵՐԻ, ՀՈԳԵՄԵՏ (ՀՈԳԵՆԵՐԳՈՐԾՈՒՆ) ՆՅՈՒԹԵՐԻ ԱՊՕՐԻՆԻ ՇՐՋԱՆԱՌՈՒԹՅԱՆ ՀԵՏ ԿԱՊՎԱԾ ՀԱՆՑԱՎՈՐՈՒԹՅԱՆ ԿԱՌՈՒՑՎԱԾՔԻ ԵՎ ՇԱՐԺԻ ՎԵՐԼՈՒԾՈՒԹՅՈՒՆԸ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9. Հայաստանի Հանրապետությունում թմրամիջոցների, հոգեմետ նյութերի և դրանց պրեկուրսորների ապօրինի շրջանառության դեմ պայքարն ակտիվացնելու, դրանց հակազդման գործընթացը պատշաճ մակարդակով կազմակերպե</w:t>
      </w:r>
      <w:r w:rsidR="001932DD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լու նպատակով, 20</w:t>
      </w:r>
      <w:r w:rsidR="00CD7A90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թ.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D27BF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ոստիկանության կողմից իրականացվել են մի շարք միջոցառումներ, որոնք նպատակաուղղված են եղել այդ երևույթների կանխարգելմանն ու բացահայտմանը:</w:t>
      </w:r>
    </w:p>
    <w:p w:rsidR="00B5322E" w:rsidRPr="005C0B04" w:rsidRDefault="001932DD" w:rsidP="005C0B0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10. 20</w:t>
      </w:r>
      <w:r w:rsidR="00CD7A90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թ. </w:t>
      </w:r>
      <w:proofErr w:type="gramStart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gramEnd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հանրապետության իրավապահ մարմինների կողմից հայտնաբերվել են թմրամիջոցների, հոգեմետ (հոգեներգործուն) նյութերի և դրանց 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պրեկուրսորների ապօրինի շրջանառության հետ կապված հանցագործության 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1544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դեպք, նախորդ տարվա 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1226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-ի դիմաց: 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="003758D8" w:rsidRPr="005C0B04">
        <w:rPr>
          <w:rFonts w:ascii="GHEA Grapalat" w:hAnsi="GHEA Grapalat" w:cs="Sylfaen"/>
          <w:sz w:val="24"/>
          <w:szCs w:val="24"/>
        </w:rPr>
        <w:t>րանցվել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 w:cs="Sylfaen"/>
          <w:sz w:val="24"/>
          <w:szCs w:val="24"/>
        </w:rPr>
        <w:t>է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  <w:lang w:val="ru-RU"/>
        </w:rPr>
        <w:t>աճ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318 </w:t>
      </w:r>
      <w:r w:rsidR="003758D8" w:rsidRPr="005C0B04">
        <w:rPr>
          <w:rFonts w:ascii="GHEA Grapalat" w:hAnsi="GHEA Grapalat" w:cs="Sylfaen"/>
          <w:sz w:val="24"/>
          <w:szCs w:val="24"/>
        </w:rPr>
        <w:t>դեպքով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 w:cs="Sylfaen"/>
          <w:sz w:val="24"/>
          <w:szCs w:val="24"/>
        </w:rPr>
        <w:t>կամ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25.9</w:t>
      </w:r>
      <w:r w:rsidR="003758D8" w:rsidRPr="005C0B04">
        <w:rPr>
          <w:rFonts w:ascii="GHEA Grapalat" w:hAnsi="GHEA Grapalat" w:cs="Sylfaen"/>
          <w:sz w:val="24"/>
          <w:szCs w:val="24"/>
          <w:lang w:val="af-ZA"/>
        </w:rPr>
        <w:t>%-</w:t>
      </w:r>
      <w:r w:rsidR="003758D8" w:rsidRPr="005C0B04">
        <w:rPr>
          <w:rFonts w:ascii="GHEA Grapalat" w:hAnsi="GHEA Grapalat" w:cs="Sylfaen"/>
          <w:sz w:val="24"/>
          <w:szCs w:val="24"/>
        </w:rPr>
        <w:t>ով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: </w:t>
      </w:r>
      <w:r w:rsidR="003758D8" w:rsidRPr="005C0B04">
        <w:rPr>
          <w:rFonts w:ascii="GHEA Grapalat" w:hAnsi="GHEA Grapalat"/>
          <w:sz w:val="24"/>
          <w:szCs w:val="24"/>
        </w:rPr>
        <w:t>Բացահայտման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</w:rPr>
        <w:t>տոկոսը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</w:rPr>
        <w:t>կազմում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</w:rPr>
        <w:t>է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41 /2020</w:t>
      </w:r>
      <w:r w:rsidR="003758D8" w:rsidRPr="005C0B04">
        <w:rPr>
          <w:rFonts w:ascii="GHEA Grapalat" w:hAnsi="GHEA Grapalat"/>
          <w:sz w:val="24"/>
          <w:szCs w:val="24"/>
        </w:rPr>
        <w:t>թ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>.` 43/:</w:t>
      </w:r>
    </w:p>
    <w:p w:rsidR="003758D8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11. </w:t>
      </w:r>
      <w:r w:rsidR="003758D8" w:rsidRPr="005C0B04">
        <w:rPr>
          <w:rFonts w:ascii="GHEA Grapalat" w:hAnsi="GHEA Grapalat"/>
          <w:sz w:val="24"/>
          <w:szCs w:val="24"/>
          <w:lang w:val="ru-RU"/>
        </w:rPr>
        <w:t>Հանցագործության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1544 դեպքերից 529-ը վերաբերել են թմրամիջոցների, </w:t>
      </w:r>
      <w:r w:rsidR="003758D8" w:rsidRPr="005C0B04">
        <w:rPr>
          <w:rFonts w:ascii="GHEA Grapalat" w:hAnsi="GHEA Grapalat" w:cs="Sylfaen"/>
          <w:sz w:val="24"/>
          <w:szCs w:val="24"/>
        </w:rPr>
        <w:t>հոգեմետ</w:t>
      </w:r>
      <w:r w:rsidR="003758D8" w:rsidRPr="005C0B04">
        <w:rPr>
          <w:rFonts w:ascii="GHEA Grapalat" w:hAnsi="GHEA Grapalat" w:cs="Sylfaen"/>
          <w:sz w:val="24"/>
          <w:szCs w:val="24"/>
          <w:lang w:val="af-ZA"/>
        </w:rPr>
        <w:t xml:space="preserve"> /</w:t>
      </w:r>
      <w:r w:rsidR="003758D8" w:rsidRPr="005C0B04">
        <w:rPr>
          <w:rFonts w:ascii="GHEA Grapalat" w:hAnsi="GHEA Grapalat" w:cs="Sylfaen"/>
          <w:sz w:val="24"/>
          <w:szCs w:val="24"/>
        </w:rPr>
        <w:t>հոգեներգործուն</w:t>
      </w:r>
      <w:r w:rsidR="003758D8" w:rsidRPr="005C0B04">
        <w:rPr>
          <w:rFonts w:ascii="GHEA Grapalat" w:hAnsi="GHEA Grapalat" w:cs="Sylfaen"/>
          <w:sz w:val="24"/>
          <w:szCs w:val="24"/>
          <w:lang w:val="af-ZA"/>
        </w:rPr>
        <w:t>/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 w:cs="Sylfaen"/>
          <w:sz w:val="24"/>
          <w:szCs w:val="24"/>
        </w:rPr>
        <w:t>նյութերի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 w:cs="Sylfaen"/>
          <w:sz w:val="24"/>
          <w:szCs w:val="24"/>
        </w:rPr>
        <w:t>և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 w:cs="Sylfaen"/>
          <w:sz w:val="24"/>
          <w:szCs w:val="24"/>
        </w:rPr>
        <w:t>դրանց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 w:cs="Sylfaen"/>
          <w:sz w:val="24"/>
          <w:szCs w:val="24"/>
        </w:rPr>
        <w:t>պրեկուրսորների</w:t>
      </w:r>
      <w:r w:rsidR="003758D8" w:rsidRPr="005C0B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 w:cs="Sylfaen"/>
          <w:sz w:val="24"/>
          <w:szCs w:val="24"/>
        </w:rPr>
        <w:t>ապօրինի</w:t>
      </w:r>
      <w:r w:rsidR="003758D8" w:rsidRPr="005C0B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 w:cs="Sylfaen"/>
          <w:sz w:val="24"/>
          <w:szCs w:val="24"/>
        </w:rPr>
        <w:t>իրացմանը</w:t>
      </w:r>
      <w:r w:rsidR="003758D8" w:rsidRPr="005C0B04">
        <w:rPr>
          <w:rFonts w:ascii="GHEA Grapalat" w:hAnsi="GHEA Grapalat" w:cs="Sylfaen"/>
          <w:sz w:val="24"/>
          <w:szCs w:val="24"/>
          <w:lang w:val="af-ZA"/>
        </w:rPr>
        <w:t xml:space="preserve">, այդպիսով՝ 2020թ. նույն ժամանակահատվածի համեմատ գրանցվել է նվազում 3 իրացման դեպքով կամ 0.5 տոկոսով /2020թ.` 532/: 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12. Նույն ժամանակահատվածում գրանցվել է վարչական իրավախախտումների 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298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դեպք (նախորդ տարի` 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256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): 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Աճ</w:t>
      </w:r>
      <w:r w:rsidR="007C1900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կազմել է 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42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դեպք կամ 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16.4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տոկոս: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sz w:val="24"/>
          <w:szCs w:val="17"/>
        </w:rPr>
        <w:t xml:space="preserve">13. </w:t>
      </w:r>
      <w:r w:rsidR="000C7B2B" w:rsidRPr="005C0B04">
        <w:rPr>
          <w:rFonts w:ascii="GHEA Grapalat" w:eastAsia="Times New Roman" w:hAnsi="GHEA Grapalat" w:cs="Times New Roman"/>
          <w:sz w:val="24"/>
          <w:szCs w:val="17"/>
          <w:lang w:val="ru-RU"/>
        </w:rPr>
        <w:t>Չնայած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այն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հանգամանքին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,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որ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հ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աշվետու ժամանակահատվածում թմրանյութերի հետ կապված հանցագործությ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ունների դեմ պայքարի ցուցանիշներ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ը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աճել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են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,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այնուամենայնիվ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պետք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է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հաշվի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առնել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մի շարք հանգամանքնե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  <w:lang w:val="ru-RU"/>
        </w:rPr>
        <w:t>ր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: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14. 20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20</w:t>
      </w:r>
      <w:r w:rsidR="000C7B2B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-20</w:t>
      </w:r>
      <w:r w:rsidR="00CD7A90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2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1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թթ.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ընթացքում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հայտնաբերված թմրամիջոցների հետ կապված հանցագործությունների վերլուծությունը ցույց է տալիս, որ շարունակում է բարձր մնալ այս հանցատեսակի լատենտայնությունը և հանցավորության ամբողջական պատկերը չի արտացոլվում գրանցված հանցագործությունների քանակական ցուցանիշներում:</w:t>
      </w:r>
    </w:p>
    <w:p w:rsidR="00B5322E" w:rsidRPr="005C0B04" w:rsidRDefault="000C7B2B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15. 20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20</w:t>
      </w:r>
      <w:r w:rsidR="00CD7A90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-202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1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թթ. </w:t>
      </w:r>
      <w:proofErr w:type="gramStart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թմրամիջոցների</w:t>
      </w:r>
      <w:proofErr w:type="gramEnd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, հոգեմետ (հոգեներգործուն) նյութերի և դրանց պրեկուրսորների ապօրինի շրջանառության հետ կապված հանցագործությունների սխեմատիկ պատկերը հետևյալն է.</w:t>
      </w:r>
    </w:p>
    <w:p w:rsidR="00CD7A90" w:rsidRPr="005C0B04" w:rsidRDefault="00CD7A90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</w:p>
    <w:p w:rsidR="00CD7A90" w:rsidRPr="005C0B04" w:rsidRDefault="00CD7A90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17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17"/>
          <w:szCs w:val="17"/>
        </w:rPr>
        <w:t> </w:t>
      </w:r>
    </w:p>
    <w:tbl>
      <w:tblPr>
        <w:tblW w:w="8412" w:type="dxa"/>
        <w:jc w:val="center"/>
        <w:tblInd w:w="2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02"/>
        <w:gridCol w:w="1843"/>
        <w:gridCol w:w="1843"/>
        <w:gridCol w:w="1473"/>
      </w:tblGrid>
      <w:tr w:rsidR="003758D8" w:rsidRPr="005C0B04" w:rsidTr="005A10F1">
        <w:trPr>
          <w:jc w:val="center"/>
        </w:trPr>
        <w:tc>
          <w:tcPr>
            <w:tcW w:w="32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 w:cs="Sylfaen"/>
                <w:b/>
                <w:bCs/>
                <w:iCs/>
                <w:sz w:val="22"/>
                <w:szCs w:val="22"/>
              </w:rPr>
              <w:t>ՀՀ</w:t>
            </w:r>
            <w:r w:rsidRPr="005C0B04">
              <w:rPr>
                <w:rFonts w:ascii="GHEA Grapalat" w:hAnsi="GHEA Grapalat" w:cs="Arial Armenian"/>
                <w:b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5C0B04">
              <w:rPr>
                <w:rFonts w:ascii="GHEA Grapalat" w:hAnsi="GHEA Grapalat" w:cs="Arial Armenian"/>
                <w:b/>
                <w:bCs/>
                <w:iCs/>
                <w:sz w:val="22"/>
                <w:szCs w:val="22"/>
              </w:rPr>
              <w:t>քր</w:t>
            </w:r>
            <w:r w:rsidRPr="005C0B04">
              <w:rPr>
                <w:rFonts w:ascii="GHEA Grapalat" w:hAnsi="GHEA Grapalat" w:cs="Arial Armenian"/>
                <w:b/>
                <w:bCs/>
                <w:iCs/>
                <w:sz w:val="22"/>
                <w:szCs w:val="22"/>
                <w:lang w:val="af-ZA"/>
              </w:rPr>
              <w:t xml:space="preserve">. </w:t>
            </w:r>
            <w:r w:rsidRPr="005C0B04">
              <w:rPr>
                <w:rFonts w:ascii="GHEA Grapalat" w:hAnsi="GHEA Grapalat" w:cs="Arial Armenian"/>
                <w:b/>
                <w:bCs/>
                <w:iCs/>
                <w:sz w:val="22"/>
                <w:szCs w:val="22"/>
              </w:rPr>
              <w:t>օր</w:t>
            </w:r>
            <w:r w:rsidRPr="005C0B04">
              <w:rPr>
                <w:rFonts w:ascii="GHEA Grapalat" w:hAnsi="GHEA Grapalat" w:cs="Arial Armenian"/>
                <w:b/>
                <w:bCs/>
                <w:iCs/>
                <w:sz w:val="22"/>
                <w:szCs w:val="22"/>
                <w:lang w:val="af-ZA"/>
              </w:rPr>
              <w:t>-</w:t>
            </w:r>
            <w:r w:rsidRPr="005C0B04">
              <w:rPr>
                <w:rFonts w:ascii="GHEA Grapalat" w:hAnsi="GHEA Grapalat" w:cs="Arial Armenian"/>
                <w:b/>
                <w:bCs/>
                <w:iCs/>
                <w:sz w:val="22"/>
                <w:szCs w:val="22"/>
              </w:rPr>
              <w:t>ի</w:t>
            </w:r>
            <w:r w:rsidRPr="005C0B04">
              <w:rPr>
                <w:rFonts w:ascii="GHEA Grapalat" w:hAnsi="GHEA Grapalat" w:cs="Arial Armenian"/>
                <w:b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5C0B04">
              <w:rPr>
                <w:rFonts w:ascii="GHEA Grapalat" w:hAnsi="GHEA Grapalat" w:cs="Arial Armenian"/>
                <w:b/>
                <w:bCs/>
                <w:iCs/>
                <w:sz w:val="22"/>
                <w:szCs w:val="22"/>
              </w:rPr>
              <w:t>հոդվածներ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>2020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թ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>2021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թ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 xml:space="preserve">. 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>դեպք +/-</w:t>
            </w:r>
          </w:p>
        </w:tc>
      </w:tr>
      <w:tr w:rsidR="003758D8" w:rsidRPr="005C0B04" w:rsidTr="005A10F1">
        <w:trPr>
          <w:jc w:val="center"/>
        </w:trPr>
        <w:tc>
          <w:tcPr>
            <w:tcW w:w="32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 xml:space="preserve">266-274 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հոդվածներ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1226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1544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+318</w:t>
            </w:r>
          </w:p>
        </w:tc>
      </w:tr>
      <w:tr w:rsidR="003758D8" w:rsidRPr="005C0B04" w:rsidTr="005A10F1">
        <w:trPr>
          <w:jc w:val="center"/>
        </w:trPr>
        <w:tc>
          <w:tcPr>
            <w:tcW w:w="32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 xml:space="preserve">266 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529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-3</w:t>
            </w:r>
          </w:p>
        </w:tc>
      </w:tr>
      <w:tr w:rsidR="003758D8" w:rsidRPr="005C0B04" w:rsidTr="006356F5">
        <w:trPr>
          <w:cantSplit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right="113"/>
              <w:jc w:val="center"/>
              <w:rPr>
                <w:rFonts w:ascii="GHEA Grapalat" w:hAnsi="GHEA Grapalat"/>
                <w:b/>
                <w:bCs/>
                <w:iCs/>
                <w:lang w:val="af-ZA"/>
              </w:rPr>
            </w:pPr>
            <w:r w:rsidRPr="005C0B04">
              <w:rPr>
                <w:rFonts w:ascii="GHEA Grapalat" w:hAnsi="GHEA Grapalat" w:cs="Sylfaen"/>
                <w:b/>
                <w:bCs/>
                <w:iCs/>
                <w:shd w:val="pct5" w:color="000000" w:fill="FFFFFF"/>
              </w:rPr>
              <w:t>Այդ</w:t>
            </w:r>
            <w:r w:rsidRPr="005C0B04">
              <w:rPr>
                <w:rFonts w:ascii="GHEA Grapalat" w:hAnsi="GHEA Grapalat" w:cs="Sylfaen"/>
                <w:b/>
                <w:bCs/>
                <w:iCs/>
                <w:shd w:val="pct5" w:color="000000" w:fill="FFFFFF"/>
                <w:lang w:val="af-ZA"/>
              </w:rPr>
              <w:t xml:space="preserve"> </w:t>
            </w:r>
            <w:r w:rsidRPr="005C0B04">
              <w:rPr>
                <w:rFonts w:ascii="GHEA Grapalat" w:hAnsi="GHEA Grapalat" w:cs="Sylfaen"/>
                <w:b/>
                <w:bCs/>
                <w:iCs/>
                <w:shd w:val="pct5" w:color="000000" w:fill="FFFFFF"/>
              </w:rPr>
              <w:t>թվում՝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266 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</w:rPr>
              <w:t>հոդ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. 1 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</w:rPr>
              <w:t>և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2 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</w:rPr>
              <w:t>մասեր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/>
              </w:rPr>
            </w:pPr>
            <w:r w:rsidRPr="005C0B04">
              <w:rPr>
                <w:rFonts w:ascii="GHEA Grapalat" w:hAnsi="GHEA Grapalat" w:cs="Arial"/>
                <w:lang w:val="af-ZA"/>
              </w:rPr>
              <w:t>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/>
              </w:rPr>
            </w:pPr>
            <w:r w:rsidRPr="005C0B04">
              <w:rPr>
                <w:rFonts w:ascii="GHEA Grapalat" w:hAnsi="GHEA Grapalat" w:cs="Arial"/>
                <w:lang w:val="af-ZA"/>
              </w:rPr>
              <w:t>434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-2</w:t>
            </w:r>
          </w:p>
        </w:tc>
      </w:tr>
      <w:tr w:rsidR="003758D8" w:rsidRPr="005C0B04" w:rsidTr="006356F5">
        <w:trPr>
          <w:cantSplit/>
          <w:jc w:val="center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266 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</w:rPr>
              <w:t>հոդ.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3 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</w:rPr>
              <w:t>մաս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/>
              </w:rPr>
            </w:pPr>
            <w:r w:rsidRPr="005C0B04">
              <w:rPr>
                <w:rFonts w:ascii="GHEA Grapalat" w:hAnsi="GHEA Grapalat" w:cs="Arial"/>
                <w:lang w:val="af-ZA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/>
              </w:rPr>
            </w:pPr>
            <w:r w:rsidRPr="005C0B04">
              <w:rPr>
                <w:rFonts w:ascii="GHEA Grapalat" w:hAnsi="GHEA Grapalat" w:cs="Arial"/>
                <w:lang w:val="af-ZA"/>
              </w:rPr>
              <w:t>90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/>
              </w:rPr>
            </w:pPr>
            <w:r w:rsidRPr="005C0B04">
              <w:rPr>
                <w:rFonts w:ascii="GHEA Grapalat" w:hAnsi="GHEA Grapalat" w:cs="Arial"/>
                <w:lang w:val="af-ZA"/>
              </w:rPr>
              <w:t>+2</w:t>
            </w:r>
          </w:p>
        </w:tc>
      </w:tr>
      <w:tr w:rsidR="003758D8" w:rsidRPr="005C0B04" w:rsidTr="006356F5">
        <w:trPr>
          <w:cantSplit/>
          <w:trHeight w:val="209"/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266 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</w:rPr>
              <w:t>հոդ.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4 </w:t>
            </w:r>
            <w:r w:rsidRPr="005C0B04">
              <w:rPr>
                <w:rFonts w:ascii="GHEA Grapalat" w:hAnsi="GHEA Grapalat"/>
                <w:bCs/>
                <w:iCs/>
                <w:sz w:val="22"/>
                <w:szCs w:val="22"/>
              </w:rPr>
              <w:t>մաս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/>
              </w:rPr>
            </w:pPr>
            <w:r w:rsidRPr="005C0B04">
              <w:rPr>
                <w:rFonts w:ascii="GHEA Grapalat" w:hAnsi="GHEA Grapalat" w:cs="Arial"/>
                <w:lang w:val="af-Z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/>
              </w:rPr>
            </w:pPr>
            <w:r w:rsidRPr="005C0B04">
              <w:rPr>
                <w:rFonts w:ascii="GHEA Grapalat" w:hAnsi="GHEA Grapalat" w:cs="Arial"/>
                <w:lang w:val="af-ZA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/>
              </w:rPr>
            </w:pPr>
            <w:r w:rsidRPr="005C0B04">
              <w:rPr>
                <w:rFonts w:ascii="GHEA Grapalat" w:hAnsi="GHEA Grapalat" w:cs="Arial"/>
                <w:lang w:val="af-ZA"/>
              </w:rPr>
              <w:t>-3</w:t>
            </w:r>
          </w:p>
        </w:tc>
      </w:tr>
      <w:tr w:rsidR="003758D8" w:rsidRPr="005C0B04" w:rsidTr="006356F5">
        <w:trPr>
          <w:cantSplit/>
          <w:trHeight w:val="20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 xml:space="preserve">267 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հոդ.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-32</w:t>
            </w:r>
          </w:p>
        </w:tc>
      </w:tr>
      <w:tr w:rsidR="003758D8" w:rsidRPr="005C0B04" w:rsidTr="006356F5">
        <w:trPr>
          <w:cantSplit/>
          <w:jc w:val="center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 xml:space="preserve"> 267.1 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հոդ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420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+198</w:t>
            </w:r>
          </w:p>
        </w:tc>
      </w:tr>
      <w:tr w:rsidR="003758D8" w:rsidRPr="005C0B04" w:rsidTr="006356F5">
        <w:trPr>
          <w:cantSplit/>
          <w:jc w:val="center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 xml:space="preserve">268 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հոդ.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445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+104</w:t>
            </w:r>
          </w:p>
        </w:tc>
      </w:tr>
      <w:tr w:rsidR="003758D8" w:rsidRPr="005C0B04" w:rsidTr="006356F5">
        <w:trPr>
          <w:cantSplit/>
          <w:jc w:val="center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 xml:space="preserve">269 </w:t>
            </w: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հոդ.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+5</w:t>
            </w:r>
          </w:p>
        </w:tc>
      </w:tr>
      <w:tr w:rsidR="003758D8" w:rsidRPr="005C0B04" w:rsidTr="006356F5">
        <w:trPr>
          <w:cantSplit/>
          <w:jc w:val="center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 xml:space="preserve">270 </w:t>
            </w:r>
            <w:r w:rsidRPr="005C0B04">
              <w:rPr>
                <w:rFonts w:ascii="GHEA Grapalat" w:hAnsi="GHEA Grapalat" w:cs="Sylfaen"/>
                <w:b/>
                <w:bCs/>
                <w:iCs/>
                <w:sz w:val="22"/>
                <w:szCs w:val="22"/>
              </w:rPr>
              <w:t>հոդ.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/>
              </w:rPr>
            </w:pPr>
            <w:r w:rsidRPr="005C0B04">
              <w:rPr>
                <w:rFonts w:ascii="GHEA Grapalat" w:hAnsi="GHEA Grapalat" w:cs="Arial"/>
                <w:b/>
                <w:lang w:val="af-ZA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ing1"/>
              <w:ind w:firstLine="0"/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 w:cs="Arial"/>
                <w:sz w:val="22"/>
                <w:szCs w:val="22"/>
                <w:lang w:val="af-ZA"/>
              </w:rPr>
              <w:t>-</w:t>
            </w:r>
          </w:p>
        </w:tc>
      </w:tr>
      <w:tr w:rsidR="003758D8" w:rsidRPr="005C0B04" w:rsidTr="006356F5">
        <w:trPr>
          <w:cantSplit/>
          <w:jc w:val="center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  <w:t xml:space="preserve">272 </w:t>
            </w:r>
            <w:r w:rsidRPr="005C0B04">
              <w:rPr>
                <w:rFonts w:ascii="GHEA Grapalat" w:hAnsi="GHEA Grapalat" w:cs="Sylfaen"/>
                <w:b/>
                <w:bCs/>
                <w:iCs/>
                <w:sz w:val="22"/>
                <w:szCs w:val="22"/>
              </w:rPr>
              <w:t>հոդ.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</w:rPr>
            </w:pPr>
            <w:r w:rsidRPr="005C0B04">
              <w:rPr>
                <w:rFonts w:ascii="GHEA Grapalat" w:hAnsi="GHEA Grapalat" w:cs="Arial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</w:rPr>
            </w:pPr>
            <w:r w:rsidRPr="005C0B04">
              <w:rPr>
                <w:rFonts w:ascii="GHEA Grapalat" w:hAnsi="GHEA Grapalat" w:cs="Arial"/>
                <w:b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ing1"/>
              <w:ind w:firstLine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C0B04">
              <w:rPr>
                <w:rFonts w:ascii="GHEA Grapalat" w:hAnsi="GHEA Grapalat" w:cs="Arial"/>
                <w:sz w:val="22"/>
                <w:szCs w:val="22"/>
              </w:rPr>
              <w:t>+1</w:t>
            </w:r>
          </w:p>
        </w:tc>
      </w:tr>
      <w:tr w:rsidR="003758D8" w:rsidRPr="005C0B04" w:rsidTr="006356F5">
        <w:trPr>
          <w:cantSplit/>
          <w:jc w:val="center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>273 հոդ.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</w:rPr>
            </w:pPr>
            <w:r w:rsidRPr="005C0B04">
              <w:rPr>
                <w:rFonts w:ascii="GHEA Grapalat" w:hAnsi="GHEA Grapalat" w:cs="Arial"/>
                <w:b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</w:rPr>
            </w:pPr>
            <w:r w:rsidRPr="005C0B04">
              <w:rPr>
                <w:rFonts w:ascii="GHEA Grapalat" w:hAnsi="GHEA Grapalat" w:cs="Arial"/>
                <w:b/>
              </w:rPr>
              <w:t>139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</w:rPr>
            </w:pPr>
            <w:r w:rsidRPr="005C0B04">
              <w:rPr>
                <w:rFonts w:ascii="GHEA Grapalat" w:hAnsi="GHEA Grapalat" w:cs="Arial"/>
                <w:b/>
              </w:rPr>
              <w:t>+45</w:t>
            </w:r>
          </w:p>
        </w:tc>
      </w:tr>
      <w:tr w:rsidR="003758D8" w:rsidRPr="005C0B04" w:rsidTr="006356F5">
        <w:trPr>
          <w:cantSplit/>
          <w:jc w:val="center"/>
        </w:trPr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</w:pPr>
            <w:r w:rsidRPr="005C0B04">
              <w:rPr>
                <w:rFonts w:ascii="GHEA Grapalat" w:hAnsi="GHEA Grapalat"/>
                <w:b/>
                <w:bCs/>
                <w:iCs/>
                <w:sz w:val="22"/>
                <w:szCs w:val="22"/>
              </w:rPr>
              <w:t xml:space="preserve">274 </w:t>
            </w:r>
            <w:r w:rsidRPr="005C0B04">
              <w:rPr>
                <w:rFonts w:ascii="GHEA Grapalat" w:hAnsi="GHEA Grapalat" w:cs="Sylfaen"/>
                <w:b/>
                <w:bCs/>
                <w:iCs/>
                <w:sz w:val="22"/>
                <w:szCs w:val="22"/>
              </w:rPr>
              <w:t>հոդ.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</w:rPr>
            </w:pPr>
            <w:r w:rsidRPr="005C0B04">
              <w:rPr>
                <w:rFonts w:ascii="GHEA Grapalat" w:hAnsi="GHEA Grapalat" w:cs="Arial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</w:rPr>
            </w:pPr>
            <w:r w:rsidRPr="005C0B04">
              <w:rPr>
                <w:rFonts w:ascii="GHEA Grapalat" w:hAnsi="GHEA Grapalat" w:cs="Arial"/>
                <w:b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</w:rPr>
            </w:pPr>
            <w:r w:rsidRPr="005C0B04">
              <w:rPr>
                <w:rFonts w:ascii="GHEA Grapalat" w:hAnsi="GHEA Grapalat" w:cs="Arial"/>
                <w:b/>
              </w:rPr>
              <w:t>-</w:t>
            </w:r>
          </w:p>
        </w:tc>
      </w:tr>
    </w:tbl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17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17"/>
          <w:szCs w:val="17"/>
        </w:rPr>
        <w:t> 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/>
        <w:jc w:val="both"/>
        <w:rPr>
          <w:rFonts w:ascii="GHEA Grapalat" w:eastAsia="Times New Roman" w:hAnsi="GHEA Grapalat" w:cs="Times New Roman"/>
          <w:color w:val="000000"/>
          <w:sz w:val="17"/>
          <w:szCs w:val="17"/>
        </w:rPr>
      </w:pPr>
    </w:p>
    <w:p w:rsidR="003758D8" w:rsidRPr="005C0B04" w:rsidRDefault="00B5322E" w:rsidP="005C0B0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16. </w:t>
      </w:r>
      <w:r w:rsidR="003758D8" w:rsidRPr="005C0B04">
        <w:rPr>
          <w:rFonts w:ascii="GHEA Grapalat" w:hAnsi="GHEA Grapalat"/>
          <w:sz w:val="24"/>
          <w:szCs w:val="24"/>
        </w:rPr>
        <w:t>Նշված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</w:rPr>
        <w:t>դեպքերից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</w:rPr>
        <w:t>չբացահայտված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</w:rPr>
        <w:t>են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</w:rPr>
        <w:t>մնացել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555-</w:t>
      </w:r>
      <w:r w:rsidR="003758D8" w:rsidRPr="005C0B04">
        <w:rPr>
          <w:rFonts w:ascii="GHEA Grapalat" w:hAnsi="GHEA Grapalat"/>
          <w:sz w:val="24"/>
          <w:szCs w:val="24"/>
        </w:rPr>
        <w:t>ը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/2020թ</w:t>
      </w:r>
      <w:proofErr w:type="gramStart"/>
      <w:r w:rsidR="003758D8" w:rsidRPr="005C0B04">
        <w:rPr>
          <w:rFonts w:ascii="GHEA Grapalat" w:hAnsi="GHEA Grapalat"/>
          <w:sz w:val="24"/>
          <w:szCs w:val="24"/>
          <w:lang w:val="af-ZA"/>
        </w:rPr>
        <w:t>.`</w:t>
      </w:r>
      <w:proofErr w:type="gramEnd"/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409/, </w:t>
      </w:r>
      <w:r w:rsidR="003758D8" w:rsidRPr="005C0B04">
        <w:rPr>
          <w:rFonts w:ascii="GHEA Grapalat" w:hAnsi="GHEA Grapalat"/>
          <w:sz w:val="24"/>
          <w:szCs w:val="24"/>
        </w:rPr>
        <w:t>որից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230-</w:t>
      </w:r>
      <w:r w:rsidR="003758D8" w:rsidRPr="005C0B04">
        <w:rPr>
          <w:rFonts w:ascii="GHEA Grapalat" w:hAnsi="GHEA Grapalat"/>
          <w:sz w:val="24"/>
          <w:szCs w:val="24"/>
        </w:rPr>
        <w:t>ը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` </w:t>
      </w:r>
      <w:r w:rsidR="003758D8" w:rsidRPr="005C0B04">
        <w:rPr>
          <w:rFonts w:ascii="GHEA Grapalat" w:hAnsi="GHEA Grapalat"/>
          <w:sz w:val="24"/>
          <w:szCs w:val="24"/>
        </w:rPr>
        <w:t>ՀՀ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</w:rPr>
        <w:t>քր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gramStart"/>
      <w:r w:rsidR="003758D8" w:rsidRPr="005C0B04">
        <w:rPr>
          <w:rFonts w:ascii="GHEA Grapalat" w:hAnsi="GHEA Grapalat"/>
          <w:sz w:val="24"/>
          <w:szCs w:val="24"/>
        </w:rPr>
        <w:t>օր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>-</w:t>
      </w:r>
      <w:r w:rsidR="003758D8" w:rsidRPr="005C0B04">
        <w:rPr>
          <w:rFonts w:ascii="GHEA Grapalat" w:hAnsi="GHEA Grapalat"/>
          <w:sz w:val="24"/>
          <w:szCs w:val="24"/>
        </w:rPr>
        <w:t>ի</w:t>
      </w:r>
      <w:proofErr w:type="gramEnd"/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266-րդ </w:t>
      </w:r>
      <w:r w:rsidR="003758D8" w:rsidRPr="005C0B04">
        <w:rPr>
          <w:rFonts w:ascii="GHEA Grapalat" w:hAnsi="GHEA Grapalat"/>
          <w:sz w:val="24"/>
          <w:szCs w:val="24"/>
        </w:rPr>
        <w:t>հոդվածի, 3-ը՝ 267-րդ, 293-ը՝ 267.1-րդ,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20-</w:t>
      </w:r>
      <w:r w:rsidR="003758D8" w:rsidRPr="005C0B04">
        <w:rPr>
          <w:rFonts w:ascii="GHEA Grapalat" w:hAnsi="GHEA Grapalat"/>
          <w:sz w:val="24"/>
          <w:szCs w:val="24"/>
        </w:rPr>
        <w:t>ը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>` 268-</w:t>
      </w:r>
      <w:r w:rsidR="003758D8" w:rsidRPr="005C0B04">
        <w:rPr>
          <w:rFonts w:ascii="GHEA Grapalat" w:hAnsi="GHEA Grapalat"/>
          <w:sz w:val="24"/>
          <w:szCs w:val="24"/>
          <w:lang w:val="ru-RU"/>
        </w:rPr>
        <w:t>րդ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58D8" w:rsidRPr="005C0B04">
        <w:rPr>
          <w:rFonts w:ascii="GHEA Grapalat" w:hAnsi="GHEA Grapalat"/>
          <w:sz w:val="24"/>
          <w:szCs w:val="24"/>
        </w:rPr>
        <w:t>հոդվածի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 xml:space="preserve">, իսկ մնացածը՝ այլ հոդվածների </w:t>
      </w:r>
      <w:r w:rsidR="003758D8" w:rsidRPr="005C0B04">
        <w:rPr>
          <w:rFonts w:ascii="GHEA Grapalat" w:hAnsi="GHEA Grapalat"/>
          <w:sz w:val="24"/>
          <w:szCs w:val="24"/>
        </w:rPr>
        <w:t>հատկանիշներով</w:t>
      </w:r>
      <w:r w:rsidR="003758D8" w:rsidRPr="005C0B04">
        <w:rPr>
          <w:rFonts w:ascii="GHEA Grapalat" w:hAnsi="GHEA Grapalat"/>
          <w:sz w:val="24"/>
          <w:szCs w:val="24"/>
          <w:lang w:val="af-ZA"/>
        </w:rPr>
        <w:t>:</w:t>
      </w:r>
    </w:p>
    <w:p w:rsidR="00B5322E" w:rsidRPr="005C0B04" w:rsidRDefault="00AF6C68" w:rsidP="005C0B0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17. 20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-20</w:t>
      </w:r>
      <w:r w:rsidR="00576920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3758D8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թթ. </w:t>
      </w:r>
      <w:proofErr w:type="gramStart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թմրամիջոցների</w:t>
      </w:r>
      <w:proofErr w:type="gramEnd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, հոգեմետ /հոգեներգործուն/ նյութերի և դրանց պրեկուրսորների ապօրինի շրջանառության հետ կապված հանցագործություններով պատասխանատվության ենթարկված անձանց սխեմատիկ պատկերը հետևյալն է.</w:t>
      </w:r>
    </w:p>
    <w:p w:rsidR="00F21538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AF6C68"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  </w:t>
      </w:r>
    </w:p>
    <w:p w:rsidR="003758D8" w:rsidRPr="005C0B04" w:rsidRDefault="003758D8" w:rsidP="005C0B04">
      <w:pPr>
        <w:pStyle w:val="Header"/>
        <w:tabs>
          <w:tab w:val="clear" w:pos="4320"/>
          <w:tab w:val="clear" w:pos="8640"/>
          <w:tab w:val="center" w:pos="5321"/>
        </w:tabs>
        <w:spacing w:line="360" w:lineRule="auto"/>
        <w:ind w:firstLine="720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ab/>
      </w: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ab/>
        <w:t>2020</w:t>
      </w:r>
      <w:r w:rsidRPr="005C0B04">
        <w:rPr>
          <w:rFonts w:ascii="GHEA Grapalat" w:hAnsi="GHEA Grapalat" w:cs="Sylfaen"/>
          <w:b/>
          <w:bCs/>
          <w:iCs/>
          <w:sz w:val="22"/>
          <w:szCs w:val="22"/>
        </w:rPr>
        <w:t>թ</w:t>
      </w:r>
      <w:r w:rsidRPr="005C0B04">
        <w:rPr>
          <w:rFonts w:ascii="GHEA Grapalat" w:hAnsi="GHEA Grapalat" w:cs="Arial Armenian"/>
          <w:b/>
          <w:bCs/>
          <w:iCs/>
          <w:sz w:val="22"/>
          <w:szCs w:val="22"/>
          <w:lang w:val="af-ZA"/>
        </w:rPr>
        <w:t xml:space="preserve">.  </w:t>
      </w:r>
      <w:r w:rsidRPr="005C0B04">
        <w:rPr>
          <w:rFonts w:ascii="GHEA Grapalat" w:hAnsi="GHEA Grapalat" w:cs="Sylfaen"/>
          <w:b/>
          <w:bCs/>
          <w:iCs/>
          <w:sz w:val="22"/>
          <w:szCs w:val="22"/>
          <w:lang w:val="af-ZA"/>
        </w:rPr>
        <w:t xml:space="preserve">              </w:t>
      </w:r>
      <w:r w:rsidRPr="005C0B04">
        <w:rPr>
          <w:rFonts w:ascii="GHEA Grapalat" w:hAnsi="GHEA Grapalat" w:cs="Sylfaen"/>
          <w:b/>
          <w:bCs/>
          <w:iCs/>
          <w:sz w:val="22"/>
          <w:szCs w:val="22"/>
          <w:lang w:val="af-ZA"/>
        </w:rPr>
        <w:tab/>
        <w:t xml:space="preserve"> </w:t>
      </w: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>2021</w:t>
      </w:r>
      <w:r w:rsidRPr="005C0B04">
        <w:rPr>
          <w:rFonts w:ascii="GHEA Grapalat" w:hAnsi="GHEA Grapalat" w:cs="Sylfaen"/>
          <w:b/>
          <w:bCs/>
          <w:iCs/>
          <w:sz w:val="22"/>
          <w:szCs w:val="22"/>
        </w:rPr>
        <w:t>թ</w:t>
      </w:r>
      <w:r w:rsidRPr="005C0B04">
        <w:rPr>
          <w:rFonts w:ascii="GHEA Grapalat" w:hAnsi="GHEA Grapalat" w:cs="Arial Armenian"/>
          <w:b/>
          <w:bCs/>
          <w:iCs/>
          <w:sz w:val="22"/>
          <w:szCs w:val="22"/>
          <w:lang w:val="af-ZA"/>
        </w:rPr>
        <w:t xml:space="preserve">. </w:t>
      </w: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ab/>
      </w:r>
    </w:p>
    <w:tbl>
      <w:tblPr>
        <w:tblW w:w="9102" w:type="dxa"/>
        <w:jc w:val="center"/>
        <w:tblInd w:w="-850" w:type="dxa"/>
        <w:tblLook w:val="0000" w:firstRow="0" w:lastRow="0" w:firstColumn="0" w:lastColumn="0" w:noHBand="0" w:noVBand="0"/>
      </w:tblPr>
      <w:tblGrid>
        <w:gridCol w:w="1019"/>
        <w:gridCol w:w="3313"/>
        <w:gridCol w:w="1226"/>
        <w:gridCol w:w="1354"/>
        <w:gridCol w:w="1110"/>
        <w:gridCol w:w="1080"/>
      </w:tblGrid>
      <w:tr w:rsidR="003758D8" w:rsidRPr="005C0B04" w:rsidTr="005A10F1">
        <w:trPr>
          <w:trHeight w:val="300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Courier New" w:hAnsi="Courier New" w:cs="Courier New"/>
                <w:lang w:val="af-ZA" w:eastAsia="ru-R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անձին</w:t>
            </w:r>
            <w:r w:rsidRPr="005C0B04">
              <w:rPr>
                <w:rFonts w:ascii="GHEA Grapalat" w:hAnsi="GHEA Grapalat" w:cs="Arial"/>
                <w:lang w:val="ru-RU" w:eastAsia="ru-RU"/>
              </w:rPr>
              <w:t>ք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տոկոս</w:t>
            </w:r>
            <w:r w:rsidRPr="005C0B04">
              <w:rPr>
                <w:rFonts w:ascii="GHEA Grapalat" w:hAnsi="GHEA Grapalat" w:cs="Arial"/>
                <w:lang w:val="ru-RU" w:eastAsia="ru-RU"/>
              </w:rPr>
              <w:t>ը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անձին</w:t>
            </w:r>
            <w:r w:rsidRPr="005C0B04">
              <w:rPr>
                <w:rFonts w:ascii="GHEA Grapalat" w:hAnsi="GHEA Grapalat" w:cs="Arial"/>
                <w:lang w:val="ru-RU" w:eastAsia="ru-RU"/>
              </w:rPr>
              <w:t>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տոկոս</w:t>
            </w:r>
            <w:r w:rsidRPr="005C0B04">
              <w:rPr>
                <w:rFonts w:ascii="GHEA Grapalat" w:hAnsi="GHEA Grapalat" w:cs="Arial"/>
                <w:lang w:val="ru-RU" w:eastAsia="ru-RU"/>
              </w:rPr>
              <w:t>ը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b/>
                <w:i/>
                <w:lang w:val="af-ZA" w:eastAsia="ru-RU"/>
              </w:rPr>
            </w:pPr>
            <w:r w:rsidRPr="005C0B04">
              <w:rPr>
                <w:rFonts w:ascii="GHEA Grapalat" w:hAnsi="GHEA Grapalat" w:cs="Sylfaen"/>
                <w:b/>
                <w:i/>
                <w:lang w:val="ru-RU" w:eastAsia="ru-RU"/>
              </w:rPr>
              <w:t>Ընդամեն</w:t>
            </w:r>
            <w:r w:rsidRPr="005C0B04">
              <w:rPr>
                <w:rFonts w:ascii="GHEA Grapalat" w:hAnsi="GHEA Grapalat" w:cs="Arial"/>
                <w:b/>
                <w:i/>
                <w:lang w:val="ru-RU" w:eastAsia="ru-RU"/>
              </w:rPr>
              <w:t>ը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b/>
                <w:lang w:val="af-ZA" w:eastAsia="ru-RU"/>
              </w:rPr>
            </w:pPr>
            <w:r w:rsidRPr="005C0B04">
              <w:rPr>
                <w:rFonts w:ascii="GHEA Grapalat" w:hAnsi="GHEA Grapalat" w:cs="Arial"/>
                <w:b/>
                <w:lang w:val="af-ZA" w:eastAsia="ru-RU"/>
              </w:rPr>
              <w:t>490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b/>
                <w:lang w:val="af-ZA" w:eastAsia="ru-RU"/>
              </w:rPr>
            </w:pPr>
            <w:r w:rsidRPr="005C0B04">
              <w:rPr>
                <w:rFonts w:ascii="GHEA Grapalat" w:hAnsi="GHEA Grapalat" w:cs="Arial"/>
                <w:b/>
                <w:lang w:val="af-ZA" w:eastAsia="ru-RU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X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3758D8" w:rsidRPr="005C0B04" w:rsidRDefault="003758D8" w:rsidP="005C0B04">
            <w:pPr>
              <w:spacing w:line="360" w:lineRule="auto"/>
              <w:ind w:left="113" w:right="113"/>
              <w:jc w:val="center"/>
              <w:rPr>
                <w:rFonts w:ascii="GHEA Grapalat" w:hAnsi="GHEA Grapalat" w:cs="Arial"/>
                <w:b/>
                <w:lang w:val="af-ZA" w:eastAsia="ru-RU"/>
              </w:rPr>
            </w:pPr>
            <w:r w:rsidRPr="005C0B04">
              <w:rPr>
                <w:rFonts w:ascii="GHEA Grapalat" w:hAnsi="GHEA Grapalat" w:cs="Arial"/>
                <w:b/>
                <w:lang w:eastAsia="ru-RU"/>
              </w:rPr>
              <w:t>Այդ</w:t>
            </w:r>
            <w:r w:rsidRPr="005C0B04">
              <w:rPr>
                <w:rFonts w:ascii="GHEA Grapalat" w:hAnsi="GHEA Grapalat" w:cs="Arial"/>
                <w:b/>
                <w:lang w:val="af-ZA" w:eastAsia="ru-RU"/>
              </w:rPr>
              <w:t xml:space="preserve"> </w:t>
            </w:r>
            <w:r w:rsidRPr="005C0B04">
              <w:rPr>
                <w:rFonts w:ascii="GHEA Grapalat" w:hAnsi="GHEA Grapalat" w:cs="Arial"/>
                <w:b/>
                <w:lang w:eastAsia="ru-RU"/>
              </w:rPr>
              <w:t>թվում՝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val="af-ZA" w:eastAsia="ru-RU"/>
              </w:rPr>
            </w:pP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կի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21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4.2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4.9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val="af-ZA"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val="af-ZA" w:eastAsia="ru-RU"/>
              </w:rPr>
            </w:pPr>
            <w:r w:rsidRPr="005C0B04">
              <w:rPr>
                <w:rFonts w:ascii="GHEA Grapalat" w:hAnsi="GHEA Grapalat" w:cs="Sylfaen"/>
                <w:i/>
                <w:lang w:val="ru-RU" w:eastAsia="ru-RU"/>
              </w:rPr>
              <w:t>Օտարերկրաց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ի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4.7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3.5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val="af-ZA"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8D8" w:rsidRPr="005C0B04" w:rsidRDefault="003758D8" w:rsidP="005C0B04">
            <w:pPr>
              <w:spacing w:line="360" w:lineRule="auto"/>
              <w:rPr>
                <w:rFonts w:ascii="GHEA Grapalat" w:hAnsi="GHEA Grapalat" w:cs="Arial"/>
                <w:i/>
                <w:lang w:eastAsia="ru-RU"/>
              </w:rPr>
            </w:pPr>
            <w:r w:rsidRPr="005C0B04">
              <w:rPr>
                <w:rFonts w:ascii="GHEA Grapalat" w:hAnsi="GHEA Grapalat" w:cs="Arial"/>
                <w:i/>
                <w:lang w:eastAsia="ru-RU"/>
              </w:rPr>
              <w:t>Նախկինում</w:t>
            </w:r>
            <w:r w:rsidRPr="005C0B04">
              <w:rPr>
                <w:rFonts w:ascii="GHEA Grapalat" w:hAnsi="GHEA Grapalat" w:cs="Arial"/>
                <w:i/>
                <w:lang w:val="af-ZA" w:eastAsia="ru-RU"/>
              </w:rPr>
              <w:t xml:space="preserve"> </w:t>
            </w:r>
            <w:r w:rsidRPr="005C0B04">
              <w:rPr>
                <w:rFonts w:ascii="GHEA Grapalat" w:hAnsi="GHEA Grapalat" w:cs="Arial"/>
                <w:i/>
                <w:lang w:eastAsia="ru-RU"/>
              </w:rPr>
              <w:t>դատապարտված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2.8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eastAsia="ru-RU"/>
              </w:rPr>
            </w:pP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Անչափահա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0.8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1.1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eastAsia="ru-RU"/>
              </w:rPr>
            </w:pPr>
            <w:r w:rsidRPr="005C0B04">
              <w:rPr>
                <w:rFonts w:ascii="GHEA Grapalat" w:hAnsi="GHEA Grapalat" w:cs="Arial"/>
                <w:i/>
                <w:lang w:eastAsia="ru-RU"/>
              </w:rPr>
              <w:t>18-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ից</w:t>
            </w:r>
            <w:r w:rsidRPr="005C0B04">
              <w:rPr>
                <w:rFonts w:ascii="GHEA Grapalat" w:hAnsi="GHEA Grapalat" w:cs="Arial Armenian"/>
                <w:i/>
                <w:lang w:eastAsia="ru-RU"/>
              </w:rPr>
              <w:t xml:space="preserve"> 24 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տարեկա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8.1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8.2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eastAsia="ru-RU"/>
              </w:rPr>
            </w:pPr>
            <w:r w:rsidRPr="005C0B04">
              <w:rPr>
                <w:rFonts w:ascii="GHEA Grapalat" w:hAnsi="GHEA Grapalat" w:cs="Arial"/>
                <w:i/>
                <w:lang w:eastAsia="ru-RU"/>
              </w:rPr>
              <w:t>25-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ից</w:t>
            </w:r>
            <w:r w:rsidRPr="005C0B04">
              <w:rPr>
                <w:rFonts w:ascii="GHEA Grapalat" w:hAnsi="GHEA Grapalat" w:cs="Arial Armenian"/>
                <w:i/>
                <w:lang w:eastAsia="ru-RU"/>
              </w:rPr>
              <w:t xml:space="preserve"> 29 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տարեկա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13.3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11.4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val="ru-RU" w:eastAsia="ru-RU"/>
              </w:rPr>
            </w:pPr>
            <w:r w:rsidRPr="005C0B04">
              <w:rPr>
                <w:rFonts w:ascii="GHEA Grapalat" w:hAnsi="GHEA Grapalat" w:cs="Arial"/>
                <w:i/>
                <w:lang w:val="ru-RU" w:eastAsia="ru-RU"/>
              </w:rPr>
              <w:t>30-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ից</w:t>
            </w:r>
            <w:r w:rsidRPr="005C0B04">
              <w:rPr>
                <w:rFonts w:ascii="GHEA Grapalat" w:hAnsi="GHEA Grapalat" w:cs="Arial Armenian"/>
                <w:i/>
                <w:lang w:val="ru-RU" w:eastAsia="ru-RU"/>
              </w:rPr>
              <w:t xml:space="preserve"> 49 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տարեկա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49.5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val="ru-RU" w:eastAsia="ru-RU"/>
              </w:rPr>
            </w:pPr>
            <w:r w:rsidRPr="005C0B04">
              <w:rPr>
                <w:rFonts w:ascii="GHEA Grapalat" w:hAnsi="GHEA Grapalat" w:cs="Arial"/>
                <w:i/>
                <w:lang w:val="ru-RU" w:eastAsia="ru-RU"/>
              </w:rPr>
              <w:t>49-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ից</w:t>
            </w:r>
            <w:r w:rsidRPr="005C0B04">
              <w:rPr>
                <w:rFonts w:ascii="GHEA Grapalat" w:hAnsi="GHEA Grapalat" w:cs="Arial Armenian"/>
                <w:i/>
                <w:lang w:val="ru-RU" w:eastAsia="ru-RU"/>
              </w:rPr>
              <w:t xml:space="preserve"> 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բարձ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28.8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29.8</w:t>
            </w:r>
          </w:p>
        </w:tc>
      </w:tr>
    </w:tbl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17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17"/>
          <w:szCs w:val="17"/>
        </w:rPr>
        <w:t> 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right"/>
        <w:rPr>
          <w:rFonts w:ascii="GHEA Grapalat" w:eastAsia="Times New Roman" w:hAnsi="GHEA Grapalat" w:cs="Times New Roman"/>
          <w:color w:val="000000"/>
          <w:sz w:val="17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17"/>
          <w:szCs w:val="17"/>
        </w:rPr>
        <w:t> </w:t>
      </w:r>
    </w:p>
    <w:p w:rsidR="00B5322E" w:rsidRPr="005C0B04" w:rsidRDefault="006C4189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18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Հաշվետու ժամանակահատվածում </w:t>
      </w:r>
      <w:r w:rsidR="00ED27BF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իրավապահ մարմինների կողմից </w:t>
      </w:r>
      <w:r w:rsidR="00ED27BF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առողջապահության նախարարության «</w:t>
      </w:r>
      <w:r w:rsidR="0015169D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Կախվածությունների բուժման ազգային կենտրոն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="001D5D15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փակ բաժնետիրական ընկերություն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Հ</w:t>
      </w:r>
      <w:r w:rsidR="001D5D15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այաստանի 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1D5D15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անրապետության 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D5D15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գիտությունների ազգային ակադեմիայի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«Փորձաքննությունների ազգային բյուրո» </w:t>
      </w:r>
      <w:r w:rsidR="001D5D15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ոչ առևտրային կազմակերպություն 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24"/>
        </w:rPr>
        <w:t>փորձաքննության ներկայացված անձանց օրգանիզմներում հայտնաբերված թմրամիջոցները` ըստ խմբերի.</w:t>
      </w:r>
    </w:p>
    <w:p w:rsidR="003758D8" w:rsidRPr="005C0B04" w:rsidRDefault="00B5322E" w:rsidP="005C0B04">
      <w:pPr>
        <w:pStyle w:val="BodyTextIndent3"/>
        <w:rPr>
          <w:rFonts w:ascii="GHEA Grapalat" w:hAnsi="GHEA Grapalat" w:cs="Sylfaen"/>
          <w:b w:val="0"/>
          <w:bCs/>
          <w:i/>
          <w:color w:val="FF0000"/>
          <w:sz w:val="22"/>
          <w:szCs w:val="22"/>
          <w:u w:val="none"/>
          <w:lang w:val="af-ZA"/>
        </w:rPr>
      </w:pPr>
      <w:r w:rsidRPr="005C0B04">
        <w:rPr>
          <w:rFonts w:ascii="Courier New" w:hAnsi="Courier New" w:cs="Courier New"/>
          <w:color w:val="000000"/>
          <w:szCs w:val="24"/>
        </w:rPr>
        <w:t> </w:t>
      </w:r>
    </w:p>
    <w:p w:rsidR="003758D8" w:rsidRPr="005C0B04" w:rsidRDefault="003758D8" w:rsidP="005C0B04">
      <w:pPr>
        <w:pStyle w:val="Header"/>
        <w:tabs>
          <w:tab w:val="clear" w:pos="4320"/>
          <w:tab w:val="clear" w:pos="8640"/>
          <w:tab w:val="center" w:pos="5321"/>
        </w:tabs>
        <w:spacing w:line="360" w:lineRule="auto"/>
        <w:ind w:firstLine="720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 xml:space="preserve">                                                 </w:t>
      </w:r>
      <w:r w:rsidR="00545DEE">
        <w:rPr>
          <w:rFonts w:ascii="GHEA Grapalat" w:hAnsi="GHEA Grapalat"/>
          <w:b/>
          <w:bCs/>
          <w:iCs/>
          <w:sz w:val="22"/>
          <w:szCs w:val="22"/>
          <w:lang w:val="af-ZA"/>
        </w:rPr>
        <w:t xml:space="preserve">                   </w:t>
      </w: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>2020</w:t>
      </w:r>
      <w:r w:rsidRPr="005C0B04">
        <w:rPr>
          <w:rFonts w:ascii="GHEA Grapalat" w:hAnsi="GHEA Grapalat" w:cs="Sylfaen"/>
          <w:b/>
          <w:bCs/>
          <w:iCs/>
          <w:sz w:val="22"/>
          <w:szCs w:val="22"/>
        </w:rPr>
        <w:t>թ</w:t>
      </w:r>
      <w:r w:rsidRPr="005C0B04">
        <w:rPr>
          <w:rFonts w:ascii="GHEA Grapalat" w:hAnsi="GHEA Grapalat" w:cs="Arial Armenian"/>
          <w:b/>
          <w:bCs/>
          <w:iCs/>
          <w:sz w:val="22"/>
          <w:szCs w:val="22"/>
          <w:lang w:val="af-ZA"/>
        </w:rPr>
        <w:t xml:space="preserve">. </w:t>
      </w:r>
      <w:r w:rsidR="00545DEE">
        <w:rPr>
          <w:rFonts w:ascii="GHEA Grapalat" w:hAnsi="GHEA Grapalat" w:cs="Sylfaen"/>
          <w:b/>
          <w:bCs/>
          <w:iCs/>
          <w:sz w:val="22"/>
          <w:szCs w:val="22"/>
          <w:lang w:val="af-ZA"/>
        </w:rPr>
        <w:t xml:space="preserve">                 </w:t>
      </w:r>
      <w:r w:rsidR="00545DEE">
        <w:rPr>
          <w:rFonts w:ascii="GHEA Grapalat" w:hAnsi="GHEA Grapalat" w:cs="Sylfaen"/>
          <w:b/>
          <w:bCs/>
          <w:iCs/>
          <w:sz w:val="22"/>
          <w:szCs w:val="22"/>
          <w:lang w:val="af-ZA"/>
        </w:rPr>
        <w:tab/>
        <w:t xml:space="preserve">      </w:t>
      </w:r>
      <w:r w:rsidRPr="005C0B04">
        <w:rPr>
          <w:rFonts w:ascii="GHEA Grapalat" w:hAnsi="GHEA Grapalat" w:cs="Sylfaen"/>
          <w:b/>
          <w:bCs/>
          <w:iCs/>
          <w:sz w:val="22"/>
          <w:szCs w:val="22"/>
          <w:lang w:val="af-ZA"/>
        </w:rPr>
        <w:t xml:space="preserve">  </w:t>
      </w: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>2021</w:t>
      </w:r>
      <w:r w:rsidRPr="005C0B04">
        <w:rPr>
          <w:rFonts w:ascii="GHEA Grapalat" w:hAnsi="GHEA Grapalat" w:cs="Sylfaen"/>
          <w:b/>
          <w:bCs/>
          <w:iCs/>
          <w:sz w:val="22"/>
          <w:szCs w:val="22"/>
        </w:rPr>
        <w:t>թ</w:t>
      </w:r>
      <w:r w:rsidRPr="005C0B04">
        <w:rPr>
          <w:rFonts w:ascii="GHEA Grapalat" w:hAnsi="GHEA Grapalat" w:cs="Arial Armenian"/>
          <w:b/>
          <w:bCs/>
          <w:iCs/>
          <w:sz w:val="22"/>
          <w:szCs w:val="22"/>
          <w:lang w:val="af-ZA"/>
        </w:rPr>
        <w:t>.</w:t>
      </w: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ab/>
      </w:r>
    </w:p>
    <w:tbl>
      <w:tblPr>
        <w:tblW w:w="9713" w:type="dxa"/>
        <w:jc w:val="center"/>
        <w:tblInd w:w="-850" w:type="dxa"/>
        <w:tblLook w:val="0000" w:firstRow="0" w:lastRow="0" w:firstColumn="0" w:lastColumn="0" w:noHBand="0" w:noVBand="0"/>
      </w:tblPr>
      <w:tblGrid>
        <w:gridCol w:w="3923"/>
        <w:gridCol w:w="1635"/>
        <w:gridCol w:w="1354"/>
        <w:gridCol w:w="1271"/>
        <w:gridCol w:w="1530"/>
      </w:tblGrid>
      <w:tr w:rsidR="003758D8" w:rsidRPr="005C0B04" w:rsidTr="005A10F1">
        <w:trPr>
          <w:trHeight w:val="300"/>
          <w:jc w:val="center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Courier New" w:hAnsi="Courier New" w:cs="Courier New"/>
                <w:lang w:val="af-ZA"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անձին</w:t>
            </w:r>
            <w:r w:rsidRPr="005C0B04">
              <w:rPr>
                <w:rFonts w:ascii="GHEA Grapalat" w:hAnsi="GHEA Grapalat" w:cs="Arial"/>
                <w:lang w:val="ru-RU" w:eastAsia="ru-RU"/>
              </w:rPr>
              <w:t>ք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տոկոս</w:t>
            </w:r>
            <w:r w:rsidRPr="005C0B04">
              <w:rPr>
                <w:rFonts w:ascii="GHEA Grapalat" w:hAnsi="GHEA Grapalat" w:cs="Arial"/>
                <w:lang w:val="ru-RU" w:eastAsia="ru-RU"/>
              </w:rPr>
              <w:t>ը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անձին</w:t>
            </w:r>
            <w:r w:rsidRPr="005C0B04">
              <w:rPr>
                <w:rFonts w:ascii="GHEA Grapalat" w:hAnsi="GHEA Grapalat" w:cs="Arial"/>
                <w:lang w:val="ru-RU" w:eastAsia="ru-RU"/>
              </w:rPr>
              <w:t>ք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տոկոս</w:t>
            </w:r>
            <w:r w:rsidRPr="005C0B04">
              <w:rPr>
                <w:rFonts w:ascii="GHEA Grapalat" w:hAnsi="GHEA Grapalat" w:cs="Arial"/>
                <w:lang w:val="ru-RU" w:eastAsia="ru-RU"/>
              </w:rPr>
              <w:t>ը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i/>
                <w:lang w:val="af-ZA" w:eastAsia="ru-RU"/>
              </w:rPr>
            </w:pPr>
            <w:r w:rsidRPr="005C0B04">
              <w:rPr>
                <w:rFonts w:ascii="GHEA Grapalat" w:hAnsi="GHEA Grapalat" w:cs="Sylfaen"/>
                <w:b/>
                <w:i/>
                <w:lang w:val="ru-RU" w:eastAsia="ru-RU"/>
              </w:rPr>
              <w:t>Ընդամեն</w:t>
            </w:r>
            <w:r w:rsidRPr="005C0B04">
              <w:rPr>
                <w:rFonts w:ascii="GHEA Grapalat" w:hAnsi="GHEA Grapalat" w:cs="Arial"/>
                <w:b/>
                <w:i/>
                <w:lang w:val="ru-RU" w:eastAsia="ru-RU"/>
              </w:rPr>
              <w:t>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 w:eastAsia="ru-RU"/>
              </w:rPr>
            </w:pPr>
            <w:r w:rsidRPr="005C0B04">
              <w:rPr>
                <w:rFonts w:ascii="GHEA Grapalat" w:hAnsi="GHEA Grapalat" w:cs="Arial"/>
                <w:b/>
                <w:lang w:val="af-ZA" w:eastAsia="ru-RU"/>
              </w:rPr>
              <w:t>498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b/>
                <w:lang w:val="af-ZA" w:eastAsia="ru-RU"/>
              </w:rPr>
            </w:pPr>
            <w:r w:rsidRPr="005C0B04">
              <w:rPr>
                <w:rFonts w:ascii="GHEA Grapalat" w:hAnsi="GHEA Grapalat" w:cs="Arial"/>
                <w:b/>
                <w:lang w:val="af-ZA" w:eastAsia="ru-RU"/>
              </w:rPr>
              <w:t>448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X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i/>
                <w:lang w:val="af-ZA" w:eastAsia="ru-RU"/>
              </w:rPr>
            </w:pP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կաննաբիս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379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76.1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74.3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i/>
                <w:lang w:val="af-ZA" w:eastAsia="ru-RU"/>
              </w:rPr>
            </w:pPr>
            <w:r w:rsidRPr="005C0B04">
              <w:rPr>
                <w:rFonts w:ascii="GHEA Grapalat" w:hAnsi="GHEA Grapalat" w:cs="Arial"/>
                <w:i/>
                <w:lang w:val="ru-RU" w:eastAsia="ru-RU"/>
              </w:rPr>
              <w:t>ափիոն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5.6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3.6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i/>
                <w:lang w:val="af-ZA" w:eastAsia="ru-RU"/>
              </w:rPr>
            </w:pPr>
            <w:r w:rsidRPr="005C0B04">
              <w:rPr>
                <w:rFonts w:ascii="GHEA Grapalat" w:hAnsi="GHEA Grapalat" w:cs="Arial"/>
                <w:i/>
                <w:lang w:val="ru-RU" w:eastAsia="ru-RU"/>
              </w:rPr>
              <w:t>սինթետիկ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91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18.3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22.1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i/>
                <w:lang w:val="ru-RU" w:eastAsia="ru-RU"/>
              </w:rPr>
            </w:pPr>
            <w:r w:rsidRPr="005C0B04">
              <w:rPr>
                <w:rFonts w:ascii="GHEA Grapalat" w:hAnsi="GHEA Grapalat" w:cs="Arial"/>
                <w:i/>
                <w:lang w:val="ru-RU" w:eastAsia="ru-RU"/>
              </w:rPr>
              <w:t>կոկաին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after="0"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0</w:t>
            </w:r>
          </w:p>
        </w:tc>
      </w:tr>
    </w:tbl>
    <w:p w:rsidR="003758D8" w:rsidRPr="005C0B04" w:rsidRDefault="003758D8" w:rsidP="005C0B04">
      <w:pPr>
        <w:pStyle w:val="BodyTextIndent3"/>
        <w:ind w:firstLine="0"/>
        <w:rPr>
          <w:rFonts w:ascii="GHEA Grapalat" w:hAnsi="GHEA Grapalat" w:cs="Sylfaen"/>
          <w:b w:val="0"/>
          <w:bCs/>
          <w:i/>
          <w:szCs w:val="24"/>
          <w:u w:val="none"/>
          <w:lang w:val="ru-RU"/>
        </w:rPr>
      </w:pPr>
    </w:p>
    <w:p w:rsidR="003758D8" w:rsidRPr="005C0B04" w:rsidRDefault="003758D8" w:rsidP="005C0B04">
      <w:pPr>
        <w:pStyle w:val="BodyTextIndent3"/>
        <w:rPr>
          <w:rFonts w:ascii="GHEA Grapalat" w:hAnsi="GHEA Grapalat" w:cs="Sylfaen"/>
          <w:b w:val="0"/>
          <w:bCs/>
          <w:i/>
          <w:sz w:val="22"/>
          <w:szCs w:val="22"/>
          <w:u w:val="none"/>
          <w:lang w:val="ru-RU"/>
        </w:rPr>
      </w:pP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  <w:lang w:val="ru-RU"/>
        </w:rPr>
        <w:t>Հիշյալ անձան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</w:rPr>
        <w:t>ց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  <w:lang w:val="ru-RU"/>
        </w:rPr>
        <w:t xml:space="preserve"> 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</w:rPr>
        <w:t>տարիքային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  <w:lang w:val="ru-RU"/>
        </w:rPr>
        <w:t xml:space="preserve"> 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</w:rPr>
        <w:t>կազմը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  <w:lang w:val="ru-RU"/>
        </w:rPr>
        <w:t xml:space="preserve"> 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</w:rPr>
        <w:t>հետևյալն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  <w:lang w:val="ru-RU"/>
        </w:rPr>
        <w:t xml:space="preserve"> 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</w:rPr>
        <w:t>է</w:t>
      </w:r>
      <w:r w:rsidRPr="005C0B04">
        <w:rPr>
          <w:rFonts w:ascii="GHEA Grapalat" w:hAnsi="GHEA Grapalat" w:cs="Sylfaen"/>
          <w:b w:val="0"/>
          <w:bCs/>
          <w:i/>
          <w:sz w:val="22"/>
          <w:szCs w:val="22"/>
          <w:u w:val="none"/>
          <w:lang w:val="ru-RU"/>
        </w:rPr>
        <w:t xml:space="preserve">՝ </w:t>
      </w:r>
    </w:p>
    <w:p w:rsidR="003758D8" w:rsidRPr="005C0B04" w:rsidRDefault="003758D8" w:rsidP="005C0B04">
      <w:pPr>
        <w:pStyle w:val="BodyTextIndent3"/>
        <w:rPr>
          <w:rFonts w:ascii="GHEA Grapalat" w:hAnsi="GHEA Grapalat" w:cs="Sylfaen"/>
          <w:b w:val="0"/>
          <w:bCs/>
          <w:i/>
          <w:sz w:val="22"/>
          <w:szCs w:val="22"/>
          <w:u w:val="none"/>
          <w:lang w:val="ru-RU"/>
        </w:rPr>
      </w:pPr>
    </w:p>
    <w:p w:rsidR="003758D8" w:rsidRPr="005C0B04" w:rsidRDefault="003758D8" w:rsidP="005C0B04">
      <w:pPr>
        <w:pStyle w:val="Header"/>
        <w:tabs>
          <w:tab w:val="clear" w:pos="4320"/>
          <w:tab w:val="clear" w:pos="8640"/>
          <w:tab w:val="center" w:pos="5321"/>
        </w:tabs>
        <w:spacing w:line="360" w:lineRule="auto"/>
        <w:ind w:firstLine="720"/>
        <w:jc w:val="both"/>
        <w:rPr>
          <w:rFonts w:ascii="GHEA Grapalat" w:hAnsi="GHEA Grapalat"/>
          <w:bCs/>
          <w:iCs/>
          <w:sz w:val="22"/>
          <w:szCs w:val="22"/>
          <w:lang w:val="af-ZA"/>
        </w:rPr>
      </w:pPr>
      <w:r w:rsidRPr="005C0B04">
        <w:rPr>
          <w:rFonts w:ascii="GHEA Grapalat" w:hAnsi="GHEA Grapalat"/>
          <w:bCs/>
          <w:iCs/>
          <w:sz w:val="22"/>
          <w:szCs w:val="22"/>
          <w:lang w:val="af-ZA"/>
        </w:rPr>
        <w:t xml:space="preserve">                                                                        </w:t>
      </w:r>
      <w:r w:rsidRPr="005C0B04">
        <w:rPr>
          <w:rFonts w:ascii="GHEA Grapalat" w:hAnsi="GHEA Grapalat"/>
          <w:bCs/>
          <w:iCs/>
          <w:sz w:val="22"/>
          <w:szCs w:val="22"/>
          <w:lang w:val="ru-RU"/>
        </w:rPr>
        <w:t xml:space="preserve">   </w:t>
      </w:r>
      <w:r w:rsidR="00545DEE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>2020</w:t>
      </w:r>
      <w:r w:rsidRPr="005C0B04">
        <w:rPr>
          <w:rFonts w:ascii="GHEA Grapalat" w:hAnsi="GHEA Grapalat" w:cs="Sylfaen"/>
          <w:b/>
          <w:bCs/>
          <w:iCs/>
          <w:sz w:val="22"/>
          <w:szCs w:val="22"/>
        </w:rPr>
        <w:t>թ</w:t>
      </w:r>
      <w:r w:rsidRPr="005C0B04">
        <w:rPr>
          <w:rFonts w:ascii="GHEA Grapalat" w:hAnsi="GHEA Grapalat" w:cs="Arial Armenian"/>
          <w:b/>
          <w:bCs/>
          <w:iCs/>
          <w:sz w:val="22"/>
          <w:szCs w:val="22"/>
          <w:lang w:val="af-ZA"/>
        </w:rPr>
        <w:t xml:space="preserve">. </w:t>
      </w:r>
      <w:r w:rsidRPr="005C0B04">
        <w:rPr>
          <w:rFonts w:ascii="GHEA Grapalat" w:hAnsi="GHEA Grapalat" w:cs="Arial Armenian"/>
          <w:b/>
          <w:bCs/>
          <w:iCs/>
          <w:sz w:val="22"/>
          <w:szCs w:val="22"/>
          <w:lang w:val="af-ZA"/>
        </w:rPr>
        <w:tab/>
        <w:t xml:space="preserve">                    </w:t>
      </w:r>
      <w:r w:rsidRPr="005C0B04">
        <w:rPr>
          <w:rFonts w:ascii="GHEA Grapalat" w:hAnsi="GHEA Grapalat"/>
          <w:b/>
          <w:bCs/>
          <w:iCs/>
          <w:sz w:val="22"/>
          <w:szCs w:val="22"/>
          <w:lang w:val="af-ZA"/>
        </w:rPr>
        <w:t>2021</w:t>
      </w:r>
      <w:r w:rsidRPr="005C0B04">
        <w:rPr>
          <w:rFonts w:ascii="GHEA Grapalat" w:hAnsi="GHEA Grapalat" w:cs="Sylfaen"/>
          <w:b/>
          <w:bCs/>
          <w:iCs/>
          <w:sz w:val="22"/>
          <w:szCs w:val="22"/>
        </w:rPr>
        <w:t>թ</w:t>
      </w:r>
      <w:r w:rsidRPr="005C0B04">
        <w:rPr>
          <w:rFonts w:ascii="GHEA Grapalat" w:hAnsi="GHEA Grapalat" w:cs="Arial Armenian"/>
          <w:b/>
          <w:bCs/>
          <w:iCs/>
          <w:sz w:val="22"/>
          <w:szCs w:val="22"/>
          <w:lang w:val="af-ZA"/>
        </w:rPr>
        <w:t xml:space="preserve">. </w:t>
      </w:r>
    </w:p>
    <w:tbl>
      <w:tblPr>
        <w:tblW w:w="9573" w:type="dxa"/>
        <w:jc w:val="center"/>
        <w:tblInd w:w="-1144" w:type="dxa"/>
        <w:tblLook w:val="0000" w:firstRow="0" w:lastRow="0" w:firstColumn="0" w:lastColumn="0" w:noHBand="0" w:noVBand="0"/>
      </w:tblPr>
      <w:tblGrid>
        <w:gridCol w:w="1313"/>
        <w:gridCol w:w="3313"/>
        <w:gridCol w:w="1226"/>
        <w:gridCol w:w="1354"/>
        <w:gridCol w:w="1110"/>
        <w:gridCol w:w="1257"/>
      </w:tblGrid>
      <w:tr w:rsidR="003758D8" w:rsidRPr="005C0B04" w:rsidTr="005A10F1">
        <w:trPr>
          <w:trHeight w:val="300"/>
          <w:jc w:val="center"/>
        </w:trPr>
        <w:tc>
          <w:tcPr>
            <w:tcW w:w="4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Courier New" w:hAnsi="Courier New" w:cs="Courier New"/>
                <w:lang w:val="af-ZA" w:eastAsia="ru-R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անձին</w:t>
            </w:r>
            <w:r w:rsidRPr="005C0B04">
              <w:rPr>
                <w:rFonts w:ascii="GHEA Grapalat" w:hAnsi="GHEA Grapalat" w:cs="Arial"/>
                <w:lang w:val="ru-RU" w:eastAsia="ru-RU"/>
              </w:rPr>
              <w:t>ք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տոկոս</w:t>
            </w:r>
            <w:r w:rsidRPr="005C0B04">
              <w:rPr>
                <w:rFonts w:ascii="GHEA Grapalat" w:hAnsi="GHEA Grapalat" w:cs="Arial"/>
                <w:lang w:val="ru-RU" w:eastAsia="ru-RU"/>
              </w:rPr>
              <w:t>ը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անձին</w:t>
            </w:r>
            <w:r w:rsidRPr="005C0B04">
              <w:rPr>
                <w:rFonts w:ascii="GHEA Grapalat" w:hAnsi="GHEA Grapalat" w:cs="Arial"/>
                <w:lang w:val="ru-RU" w:eastAsia="ru-RU"/>
              </w:rPr>
              <w:t>ք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Sylfaen"/>
                <w:lang w:val="ru-RU" w:eastAsia="ru-RU"/>
              </w:rPr>
              <w:t>տոկոս</w:t>
            </w:r>
            <w:r w:rsidRPr="005C0B04">
              <w:rPr>
                <w:rFonts w:ascii="GHEA Grapalat" w:hAnsi="GHEA Grapalat" w:cs="Arial"/>
                <w:lang w:val="ru-RU" w:eastAsia="ru-RU"/>
              </w:rPr>
              <w:t>ը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b/>
                <w:i/>
                <w:lang w:val="af-ZA" w:eastAsia="ru-RU"/>
              </w:rPr>
            </w:pPr>
            <w:r w:rsidRPr="005C0B04">
              <w:rPr>
                <w:rFonts w:ascii="GHEA Grapalat" w:hAnsi="GHEA Grapalat" w:cs="Sylfaen"/>
                <w:b/>
                <w:i/>
                <w:lang w:val="ru-RU" w:eastAsia="ru-RU"/>
              </w:rPr>
              <w:t>Ընդամեն</w:t>
            </w:r>
            <w:r w:rsidRPr="005C0B04">
              <w:rPr>
                <w:rFonts w:ascii="GHEA Grapalat" w:hAnsi="GHEA Grapalat" w:cs="Arial"/>
                <w:b/>
                <w:i/>
                <w:lang w:val="ru-RU" w:eastAsia="ru-RU"/>
              </w:rPr>
              <w:t>ը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b/>
                <w:lang w:val="af-ZA" w:eastAsia="ru-RU"/>
              </w:rPr>
            </w:pPr>
            <w:r w:rsidRPr="005C0B04">
              <w:rPr>
                <w:rFonts w:ascii="GHEA Grapalat" w:hAnsi="GHEA Grapalat" w:cs="Arial"/>
                <w:b/>
                <w:lang w:val="af-ZA" w:eastAsia="ru-RU"/>
              </w:rPr>
              <w:t>498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b/>
                <w:lang w:val="af-ZA" w:eastAsia="ru-RU"/>
              </w:rPr>
            </w:pPr>
            <w:r w:rsidRPr="005C0B04">
              <w:rPr>
                <w:rFonts w:ascii="GHEA Grapalat" w:hAnsi="GHEA Grapalat" w:cs="Arial"/>
                <w:b/>
                <w:lang w:val="af-ZA" w:eastAsia="ru-RU"/>
              </w:rPr>
              <w:t>448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X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13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3758D8" w:rsidRPr="005C0B04" w:rsidRDefault="003758D8" w:rsidP="005C0B04">
            <w:pPr>
              <w:spacing w:line="360" w:lineRule="auto"/>
              <w:ind w:left="113" w:right="113"/>
              <w:jc w:val="center"/>
              <w:rPr>
                <w:rFonts w:ascii="GHEA Grapalat" w:hAnsi="GHEA Grapalat" w:cs="Arial"/>
                <w:b/>
                <w:lang w:val="af-ZA" w:eastAsia="ru-RU"/>
              </w:rPr>
            </w:pPr>
            <w:r w:rsidRPr="005C0B04">
              <w:rPr>
                <w:rFonts w:ascii="GHEA Grapalat" w:hAnsi="GHEA Grapalat" w:cs="Arial"/>
                <w:b/>
                <w:lang w:eastAsia="ru-RU"/>
              </w:rPr>
              <w:t>Այդ</w:t>
            </w:r>
            <w:r w:rsidRPr="005C0B04">
              <w:rPr>
                <w:rFonts w:ascii="GHEA Grapalat" w:hAnsi="GHEA Grapalat" w:cs="Arial"/>
                <w:b/>
                <w:lang w:val="af-ZA" w:eastAsia="ru-RU"/>
              </w:rPr>
              <w:t xml:space="preserve"> </w:t>
            </w:r>
            <w:r w:rsidRPr="005C0B04">
              <w:rPr>
                <w:rFonts w:ascii="GHEA Grapalat" w:hAnsi="GHEA Grapalat" w:cs="Arial"/>
                <w:b/>
                <w:lang w:eastAsia="ru-RU"/>
              </w:rPr>
              <w:t>թվում՝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val="af-ZA" w:eastAsia="ru-RU"/>
              </w:rPr>
            </w:pP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կի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1.6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2.2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val="af-ZA" w:eastAsia="ru-RU"/>
              </w:rPr>
            </w:pP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eastAsia="ru-RU"/>
              </w:rPr>
            </w:pPr>
            <w:r w:rsidRPr="005C0B04">
              <w:rPr>
                <w:rFonts w:ascii="GHEA Grapalat" w:hAnsi="GHEA Grapalat" w:cs="Sylfaen"/>
                <w:i/>
                <w:lang w:val="ru-RU" w:eastAsia="ru-RU"/>
              </w:rPr>
              <w:t>օտարերկրաց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ի</w:t>
            </w:r>
            <w:r w:rsidRPr="005C0B04">
              <w:rPr>
                <w:rFonts w:ascii="GHEA Grapalat" w:hAnsi="GHEA Grapalat" w:cs="Arial"/>
                <w:i/>
                <w:lang w:val="af-ZA" w:eastAsia="ru-RU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val="af-ZA" w:eastAsia="ru-RU"/>
              </w:rPr>
            </w:pPr>
            <w:r w:rsidRPr="005C0B04">
              <w:rPr>
                <w:rFonts w:ascii="GHEA Grapalat" w:hAnsi="GHEA Grapalat" w:cs="Arial"/>
                <w:lang w:val="af-ZA" w:eastAsia="ru-RU"/>
              </w:rPr>
              <w:t>0.4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eastAsia="ru-RU"/>
              </w:rPr>
            </w:pPr>
            <w:r w:rsidRPr="005C0B04">
              <w:rPr>
                <w:rFonts w:ascii="GHEA Grapalat" w:hAnsi="GHEA Grapalat" w:cs="Sylfaen"/>
                <w:i/>
                <w:lang w:val="af-ZA" w:eastAsia="ru-RU"/>
              </w:rPr>
              <w:t xml:space="preserve">                 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անչափահա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1.8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eastAsia="ru-RU"/>
              </w:rPr>
            </w:pPr>
            <w:r w:rsidRPr="005C0B04">
              <w:rPr>
                <w:rFonts w:ascii="GHEA Grapalat" w:hAnsi="GHEA Grapalat" w:cs="Arial"/>
                <w:i/>
                <w:lang w:val="ru-RU" w:eastAsia="ru-RU"/>
              </w:rPr>
              <w:t xml:space="preserve">                </w:t>
            </w:r>
            <w:r w:rsidRPr="005C0B04">
              <w:rPr>
                <w:rFonts w:ascii="GHEA Grapalat" w:hAnsi="GHEA Grapalat" w:cs="Arial"/>
                <w:i/>
                <w:lang w:eastAsia="ru-RU"/>
              </w:rPr>
              <w:t>18-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ից</w:t>
            </w:r>
            <w:r w:rsidRPr="005C0B04">
              <w:rPr>
                <w:rFonts w:ascii="GHEA Grapalat" w:hAnsi="GHEA Grapalat" w:cs="Arial Armenian"/>
                <w:i/>
                <w:lang w:eastAsia="ru-RU"/>
              </w:rPr>
              <w:t xml:space="preserve"> 25 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տարեկա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24.8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146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32.5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eastAsia="ru-RU"/>
              </w:rPr>
            </w:pPr>
            <w:r w:rsidRPr="005C0B04">
              <w:rPr>
                <w:rFonts w:ascii="GHEA Grapalat" w:hAnsi="GHEA Grapalat" w:cs="Arial"/>
                <w:i/>
                <w:lang w:val="ru-RU" w:eastAsia="ru-RU"/>
              </w:rPr>
              <w:t xml:space="preserve">               </w:t>
            </w:r>
            <w:r w:rsidRPr="005C0B04">
              <w:rPr>
                <w:rFonts w:ascii="GHEA Grapalat" w:hAnsi="GHEA Grapalat" w:cs="Arial"/>
                <w:i/>
                <w:lang w:eastAsia="ru-RU"/>
              </w:rPr>
              <w:t>2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6</w:t>
            </w:r>
            <w:r w:rsidRPr="005C0B04">
              <w:rPr>
                <w:rFonts w:ascii="GHEA Grapalat" w:hAnsi="GHEA Grapalat" w:cs="Arial"/>
                <w:i/>
                <w:lang w:eastAsia="ru-RU"/>
              </w:rPr>
              <w:t>-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ից</w:t>
            </w:r>
            <w:r w:rsidRPr="005C0B04">
              <w:rPr>
                <w:rFonts w:ascii="GHEA Grapalat" w:hAnsi="GHEA Grapalat" w:cs="Arial Armenian"/>
                <w:i/>
                <w:lang w:eastAsia="ru-RU"/>
              </w:rPr>
              <w:t xml:space="preserve"> </w:t>
            </w:r>
            <w:r w:rsidRPr="005C0B04">
              <w:rPr>
                <w:rFonts w:ascii="GHEA Grapalat" w:hAnsi="GHEA Grapalat" w:cs="Arial Armenian"/>
                <w:i/>
                <w:lang w:val="ru-RU" w:eastAsia="ru-RU"/>
              </w:rPr>
              <w:t xml:space="preserve">35 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տարեկա</w:t>
            </w:r>
            <w:r w:rsidRPr="005C0B04">
              <w:rPr>
                <w:rFonts w:ascii="GHEA Grapalat" w:hAnsi="GHEA Grapalat" w:cs="Arial"/>
                <w:i/>
                <w:lang w:val="ru-RU" w:eastAsia="ru-RU"/>
              </w:rPr>
              <w:t>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30.2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132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29.5</w:t>
            </w:r>
          </w:p>
        </w:tc>
      </w:tr>
      <w:tr w:rsidR="003758D8" w:rsidRPr="005C0B04" w:rsidTr="005A10F1">
        <w:trPr>
          <w:trHeight w:val="300"/>
          <w:jc w:val="center"/>
        </w:trPr>
        <w:tc>
          <w:tcPr>
            <w:tcW w:w="4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i/>
                <w:lang w:val="ru-RU" w:eastAsia="ru-RU"/>
              </w:rPr>
            </w:pPr>
            <w:r w:rsidRPr="005C0B04">
              <w:rPr>
                <w:rFonts w:ascii="GHEA Grapalat" w:hAnsi="GHEA Grapalat" w:cs="Arial"/>
                <w:i/>
                <w:lang w:val="ru-RU" w:eastAsia="ru-RU"/>
              </w:rPr>
              <w:t>35-</w:t>
            </w:r>
            <w:r w:rsidRPr="005C0B04">
              <w:rPr>
                <w:rFonts w:ascii="GHEA Grapalat" w:hAnsi="GHEA Grapalat" w:cs="Sylfaen"/>
                <w:i/>
                <w:lang w:val="ru-RU" w:eastAsia="ru-RU"/>
              </w:rPr>
              <w:t>ից</w:t>
            </w:r>
            <w:r w:rsidRPr="005C0B04">
              <w:rPr>
                <w:rFonts w:ascii="GHEA Grapalat" w:hAnsi="GHEA Grapalat" w:cs="Arial Armenian"/>
                <w:i/>
                <w:lang w:val="ru-RU" w:eastAsia="ru-RU"/>
              </w:rPr>
              <w:t xml:space="preserve"> բարձր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214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162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8D8" w:rsidRPr="005C0B04" w:rsidRDefault="003758D8" w:rsidP="005C0B04">
            <w:pPr>
              <w:spacing w:line="360" w:lineRule="auto"/>
              <w:jc w:val="center"/>
              <w:rPr>
                <w:rFonts w:ascii="GHEA Grapalat" w:hAnsi="GHEA Grapalat" w:cs="Arial"/>
                <w:lang w:eastAsia="ru-RU"/>
              </w:rPr>
            </w:pPr>
            <w:r w:rsidRPr="005C0B04">
              <w:rPr>
                <w:rFonts w:ascii="GHEA Grapalat" w:hAnsi="GHEA Grapalat" w:cs="Arial"/>
                <w:lang w:eastAsia="ru-RU"/>
              </w:rPr>
              <w:t>36.2</w:t>
            </w:r>
          </w:p>
        </w:tc>
      </w:tr>
    </w:tbl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48A" w:rsidRPr="005C0B04" w:rsidRDefault="006C4189" w:rsidP="005C0B04">
      <w:pPr>
        <w:pStyle w:val="Header"/>
        <w:tabs>
          <w:tab w:val="clear" w:pos="4320"/>
          <w:tab w:val="clear" w:pos="8640"/>
        </w:tabs>
        <w:spacing w:line="360" w:lineRule="auto"/>
        <w:ind w:right="-72" w:firstLine="720"/>
        <w:jc w:val="both"/>
        <w:rPr>
          <w:rFonts w:ascii="GHEA Grapalat" w:hAnsi="GHEA Grapalat"/>
          <w:color w:val="FF0000"/>
          <w:szCs w:val="24"/>
        </w:rPr>
      </w:pPr>
      <w:r w:rsidRPr="005C0B04">
        <w:rPr>
          <w:rFonts w:ascii="GHEA Grapalat" w:hAnsi="GHEA Grapalat"/>
          <w:color w:val="000000"/>
          <w:szCs w:val="24"/>
        </w:rPr>
        <w:lastRenderedPageBreak/>
        <w:t>19</w:t>
      </w:r>
      <w:r w:rsidR="00B5322E" w:rsidRPr="005C0B04">
        <w:rPr>
          <w:rFonts w:ascii="GHEA Grapalat" w:hAnsi="GHEA Grapalat"/>
          <w:color w:val="000000"/>
          <w:szCs w:val="24"/>
        </w:rPr>
        <w:t xml:space="preserve">. </w:t>
      </w:r>
      <w:r w:rsidR="0070248A" w:rsidRPr="005C0B04">
        <w:rPr>
          <w:rFonts w:ascii="GHEA Grapalat" w:hAnsi="GHEA Grapalat"/>
          <w:bCs/>
          <w:szCs w:val="24"/>
          <w:lang w:val="ru-RU"/>
        </w:rPr>
        <w:t>Հ</w:t>
      </w:r>
      <w:r w:rsidR="0070248A" w:rsidRPr="005C0B04">
        <w:rPr>
          <w:rFonts w:ascii="GHEA Grapalat" w:hAnsi="GHEA Grapalat"/>
          <w:bCs/>
          <w:szCs w:val="24"/>
        </w:rPr>
        <w:t>ամաձայն</w:t>
      </w:r>
      <w:r w:rsidR="0070248A" w:rsidRPr="005C0B04">
        <w:rPr>
          <w:rFonts w:ascii="GHEA Grapalat" w:hAnsi="GHEA Grapalat"/>
          <w:bCs/>
          <w:szCs w:val="24"/>
          <w:lang w:val="af-ZA"/>
        </w:rPr>
        <w:t xml:space="preserve"> </w:t>
      </w:r>
      <w:r w:rsidR="00ED27BF" w:rsidRPr="005C0B04">
        <w:rPr>
          <w:rFonts w:ascii="GHEA Grapalat" w:hAnsi="GHEA Grapalat"/>
          <w:color w:val="000000"/>
          <w:szCs w:val="24"/>
        </w:rPr>
        <w:t>Հայաստանի Հանրապետության</w:t>
      </w:r>
      <w:r w:rsidR="0070248A" w:rsidRPr="005C0B04">
        <w:rPr>
          <w:rFonts w:ascii="GHEA Grapalat" w:hAnsi="GHEA Grapalat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առողջապահության</w:t>
      </w:r>
      <w:r w:rsidR="0070248A" w:rsidRPr="005C0B04">
        <w:rPr>
          <w:rFonts w:ascii="GHEA Grapalat" w:hAnsi="GHEA Grapalat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նախարարության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&lt;&lt;</w:t>
      </w:r>
      <w:r w:rsidR="0070248A" w:rsidRPr="005C0B04">
        <w:rPr>
          <w:rFonts w:ascii="GHEA Grapalat" w:hAnsi="GHEA Grapalat" w:cs="Sylfaen"/>
          <w:bCs/>
          <w:szCs w:val="24"/>
          <w:lang w:val="ru-RU"/>
        </w:rPr>
        <w:t>Կախվածությունների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  <w:lang w:val="ru-RU"/>
        </w:rPr>
        <w:t>բուժման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  <w:lang w:val="ru-RU"/>
        </w:rPr>
        <w:t>ազգային</w:t>
      </w:r>
      <w:r w:rsidR="0070248A" w:rsidRPr="005C0B04">
        <w:rPr>
          <w:rFonts w:ascii="GHEA Grapalat" w:hAnsi="GHEA Grapalat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կենտրոն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>&gt;&gt;</w:t>
      </w:r>
      <w:r w:rsidR="0070248A" w:rsidRPr="005C0B04">
        <w:rPr>
          <w:rFonts w:ascii="GHEA Grapalat" w:hAnsi="GHEA Grapalat"/>
          <w:bCs/>
          <w:szCs w:val="24"/>
          <w:lang w:val="af-ZA"/>
        </w:rPr>
        <w:t xml:space="preserve"> </w:t>
      </w:r>
      <w:r w:rsidR="002F2D94" w:rsidRPr="005C0B04">
        <w:rPr>
          <w:rFonts w:ascii="GHEA Grapalat" w:hAnsi="GHEA Grapalat" w:cs="Sylfaen"/>
          <w:bCs/>
          <w:szCs w:val="24"/>
        </w:rPr>
        <w:t>փակ բաժնետիրական ընկերության</w:t>
      </w:r>
      <w:r w:rsidR="0070248A" w:rsidRPr="005C0B04">
        <w:rPr>
          <w:rFonts w:ascii="GHEA Grapalat" w:hAnsi="GHEA Grapalat" w:cs="Arial Armenia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կողմից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ներկայաց</w:t>
      </w:r>
      <w:r w:rsidR="0070248A" w:rsidRPr="005C0B04">
        <w:rPr>
          <w:rFonts w:ascii="GHEA Grapalat" w:hAnsi="GHEA Grapalat" w:cs="Sylfaen"/>
          <w:bCs/>
          <w:szCs w:val="24"/>
          <w:lang w:val="ru-RU"/>
        </w:rPr>
        <w:t>ր</w:t>
      </w:r>
      <w:r w:rsidR="0070248A" w:rsidRPr="005C0B04">
        <w:rPr>
          <w:rFonts w:ascii="GHEA Grapalat" w:hAnsi="GHEA Grapalat" w:cs="Sylfaen"/>
          <w:bCs/>
          <w:szCs w:val="24"/>
        </w:rPr>
        <w:t>ած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տվյալների</w:t>
      </w:r>
      <w:r w:rsidR="002F2D94" w:rsidRPr="005C0B04">
        <w:rPr>
          <w:rFonts w:ascii="GHEA Grapalat" w:hAnsi="GHEA Grapalat" w:cs="Sylfaen"/>
          <w:bCs/>
          <w:szCs w:val="24"/>
        </w:rPr>
        <w:t xml:space="preserve"> 2021 թվականի հունվարի 1-ի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դրությամբ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&lt;&lt;</w:t>
      </w:r>
      <w:r w:rsidR="0070248A" w:rsidRPr="005C0B04">
        <w:rPr>
          <w:rFonts w:ascii="GHEA Grapalat" w:hAnsi="GHEA Grapalat" w:cs="Sylfaen"/>
          <w:bCs/>
          <w:szCs w:val="24"/>
        </w:rPr>
        <w:t>թմրամոլ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&gt;&gt; </w:t>
      </w:r>
      <w:r w:rsidR="0070248A" w:rsidRPr="005C0B04">
        <w:rPr>
          <w:rFonts w:ascii="GHEA Grapalat" w:hAnsi="GHEA Grapalat" w:cs="Sylfaen"/>
          <w:bCs/>
          <w:szCs w:val="24"/>
        </w:rPr>
        <w:t>ախտորոշմամբ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հաշվառման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մեջ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</w:rPr>
        <w:t>են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7</w:t>
      </w:r>
      <w:r w:rsidR="003758D8" w:rsidRPr="005C0B04">
        <w:rPr>
          <w:rFonts w:ascii="GHEA Grapalat" w:hAnsi="GHEA Grapalat" w:cs="Sylfaen"/>
          <w:bCs/>
          <w:szCs w:val="24"/>
          <w:lang w:val="af-ZA"/>
        </w:rPr>
        <w:t>392</w:t>
      </w:r>
      <w:r w:rsidR="0070248A" w:rsidRPr="005C0B04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70248A" w:rsidRPr="005C0B04">
        <w:rPr>
          <w:rFonts w:ascii="GHEA Grapalat" w:hAnsi="GHEA Grapalat" w:cs="Sylfaen"/>
          <w:bCs/>
          <w:szCs w:val="24"/>
          <w:lang w:val="ru-RU"/>
        </w:rPr>
        <w:t>անձ</w:t>
      </w:r>
      <w:r w:rsidR="003758D8" w:rsidRPr="005C0B04">
        <w:rPr>
          <w:rFonts w:ascii="GHEA Grapalat" w:hAnsi="GHEA Grapalat" w:cs="Sylfaen"/>
          <w:bCs/>
          <w:szCs w:val="24"/>
          <w:lang w:val="af-ZA"/>
        </w:rPr>
        <w:t>:</w:t>
      </w:r>
    </w:p>
    <w:p w:rsidR="00522022" w:rsidRPr="005C0B04" w:rsidRDefault="00522022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17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17"/>
          <w:szCs w:val="17"/>
        </w:rPr>
        <w:t> </w:t>
      </w:r>
    </w:p>
    <w:p w:rsidR="00B5322E" w:rsidRPr="005C0B04" w:rsidRDefault="00466EEA" w:rsidP="005C0B04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C0B04">
        <w:rPr>
          <w:rFonts w:ascii="GHEA Grapalat" w:eastAsia="Times New Roman" w:hAnsi="GHEA Grapalat" w:cs="Times New Roman"/>
          <w:b/>
          <w:bCs/>
          <w:sz w:val="24"/>
          <w:szCs w:val="24"/>
        </w:rPr>
        <w:t>3</w:t>
      </w:r>
      <w:r w:rsidR="00B5322E" w:rsidRPr="005C0B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ԾՐԱԳՐԻ </w:t>
      </w:r>
      <w:r w:rsidR="006356F5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</w:t>
      </w:r>
      <w:r w:rsidR="00B5322E" w:rsidRPr="005C0B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ԽՆԴԻՐՆԵՐԸ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Courier New" w:eastAsia="Times New Roman" w:hAnsi="Courier New" w:cs="Courier New"/>
          <w:sz w:val="24"/>
          <w:szCs w:val="24"/>
        </w:rPr>
        <w:t> </w:t>
      </w:r>
    </w:p>
    <w:p w:rsidR="00B5322E" w:rsidRPr="005C0B04" w:rsidRDefault="003758D8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>20</w:t>
      </w:r>
      <w:r w:rsidR="00B5322E" w:rsidRPr="005C0B04">
        <w:rPr>
          <w:rFonts w:ascii="GHEA Grapalat" w:eastAsia="Times New Roman" w:hAnsi="GHEA Grapalat" w:cs="Times New Roman"/>
          <w:sz w:val="24"/>
          <w:szCs w:val="24"/>
        </w:rPr>
        <w:t>. Սույն ծրագրով սահմանված են բազմապիսի նպատակներ, որոնք հասցեագրված են թմրամոլության և թմրամիջոցների ապօրինի շրջանառության դեմ պայքարի բոլոր ոլորտներին և ներառում են նախորդ տարեկան ծրագրերով սահմանված ուղղությունները:</w:t>
      </w:r>
    </w:p>
    <w:p w:rsidR="00B5322E" w:rsidRPr="005C0B04" w:rsidRDefault="006C4189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>2</w:t>
      </w:r>
      <w:r w:rsidR="003758D8" w:rsidRPr="005C0B04">
        <w:rPr>
          <w:rFonts w:ascii="GHEA Grapalat" w:eastAsia="Times New Roman" w:hAnsi="GHEA Grapalat" w:cs="Times New Roman"/>
          <w:sz w:val="24"/>
          <w:szCs w:val="24"/>
        </w:rPr>
        <w:t>1</w:t>
      </w:r>
      <w:r w:rsidR="00B5322E" w:rsidRPr="005C0B04">
        <w:rPr>
          <w:rFonts w:ascii="GHEA Grapalat" w:eastAsia="Times New Roman" w:hAnsi="GHEA Grapalat" w:cs="Times New Roman"/>
          <w:sz w:val="24"/>
          <w:szCs w:val="24"/>
        </w:rPr>
        <w:t>. Սույն ծրագրում ներկայացված գործողություններն ուղղված են Հայաստանի Հանրապետությունում թմրամոլության և թմրամիջոցների ապօրինի շրջանառության դեմ պայքարի արդյունավետ կազմակերպմանը և իրականացվում են պահպանելով «Թմրամիջոցների և հոգեմետ (հոգեներգործուն) նյութերի մասին» օրենքի</w:t>
      </w:r>
      <w:r w:rsidR="00B5322E" w:rsidRPr="005C0B04">
        <w:rPr>
          <w:rFonts w:ascii="Courier New" w:eastAsia="Times New Roman" w:hAnsi="Courier New" w:cs="Courier New"/>
          <w:sz w:val="24"/>
          <w:szCs w:val="24"/>
        </w:rPr>
        <w:t> </w:t>
      </w:r>
      <w:hyperlink r:id="rId6" w:history="1">
        <w:r w:rsidR="00B5322E" w:rsidRPr="005C0B04">
          <w:rPr>
            <w:rFonts w:ascii="GHEA Grapalat" w:eastAsia="Times New Roman" w:hAnsi="GHEA Grapalat" w:cs="Times New Roman"/>
            <w:sz w:val="24"/>
            <w:szCs w:val="24"/>
          </w:rPr>
          <w:t>6-րդ հոդվածով</w:t>
        </w:r>
      </w:hyperlink>
      <w:r w:rsidR="00B5322E" w:rsidRPr="005C0B04">
        <w:rPr>
          <w:rFonts w:ascii="Courier New" w:eastAsia="Times New Roman" w:hAnsi="Courier New" w:cs="Courier New"/>
          <w:sz w:val="24"/>
          <w:szCs w:val="24"/>
        </w:rPr>
        <w:t> </w:t>
      </w:r>
      <w:r w:rsidR="00B5322E" w:rsidRPr="005C0B04">
        <w:rPr>
          <w:rFonts w:ascii="GHEA Grapalat" w:eastAsia="Times New Roman" w:hAnsi="GHEA Grapalat" w:cs="Times New Roman"/>
          <w:sz w:val="24"/>
          <w:szCs w:val="24"/>
        </w:rPr>
        <w:t>սահմանված սկզբունքները:</w:t>
      </w:r>
    </w:p>
    <w:p w:rsidR="00B5322E" w:rsidRPr="005C0B04" w:rsidRDefault="003758D8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>22</w:t>
      </w:r>
      <w:r w:rsidR="00B5322E" w:rsidRPr="005C0B04">
        <w:rPr>
          <w:rFonts w:ascii="GHEA Grapalat" w:eastAsia="Times New Roman" w:hAnsi="GHEA Grapalat" w:cs="Times New Roman"/>
          <w:sz w:val="24"/>
          <w:szCs w:val="24"/>
        </w:rPr>
        <w:t xml:space="preserve">. Ելնելով Հայաստանի Հանրապետությունում թմրամոլության և թմրամիջոցների ապօրինի շրջանառության դեմ պայքարի ազգային ռազմավարության դրույթներից` Հայաստանի Հանրապետությունում թմրամոլության և թմրամիջոցների ապօրինի </w:t>
      </w:r>
      <w:r w:rsidR="00522022" w:rsidRPr="005C0B04">
        <w:rPr>
          <w:rFonts w:ascii="GHEA Grapalat" w:eastAsia="Times New Roman" w:hAnsi="GHEA Grapalat" w:cs="Times New Roman"/>
          <w:sz w:val="24"/>
          <w:szCs w:val="24"/>
        </w:rPr>
        <w:t>շրջանառության դեմ պայքարի 202</w:t>
      </w:r>
      <w:r w:rsidRPr="005C0B04">
        <w:rPr>
          <w:rFonts w:ascii="GHEA Grapalat" w:eastAsia="Times New Roman" w:hAnsi="GHEA Grapalat" w:cs="Times New Roman"/>
          <w:sz w:val="24"/>
          <w:szCs w:val="24"/>
        </w:rPr>
        <w:t>3</w:t>
      </w:r>
      <w:r w:rsidR="00B5322E" w:rsidRPr="005C0B04">
        <w:rPr>
          <w:rFonts w:ascii="GHEA Grapalat" w:eastAsia="Times New Roman" w:hAnsi="GHEA Grapalat" w:cs="Times New Roman"/>
          <w:sz w:val="24"/>
          <w:szCs w:val="24"/>
        </w:rPr>
        <w:t xml:space="preserve"> թվականի ծրագրի հիմնական նպատակներ են`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թմրամիջոցների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>, հոգեմետ նյութերի և դրանց պրեկուրսորների ապօրինի շրջանառության հետ կապված հանցավորության նվազեցման համար անհրաժեշտ պայմանների ստեղծումը.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թմրամոլության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>, թմրամիջոցների հոգեմետ (հոգեներգործուն) նյութերի և դրանց պրեկուրսորների ապօրինի շրջանառությանը նպաստող պայմանների և ծնող պատճառների վերացումը.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թմրամոլության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և թմրամիջոցների ապօրինի շրջանառության նախականխումն ու բացահայտումը, այդ նպատակով իրավապահ մարմինների և այլ կազմակերպությունների համակարգված գործունեության ապահովումը.</w:t>
      </w:r>
    </w:p>
    <w:p w:rsidR="00522022" w:rsidRPr="005C0B04" w:rsidRDefault="00522022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4)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նվազեցնել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7D0067" w:rsidRPr="005C0B04">
        <w:rPr>
          <w:rFonts w:ascii="GHEA Grapalat" w:eastAsia="Times New Roman" w:hAnsi="GHEA Grapalat" w:cs="Times New Roman"/>
          <w:sz w:val="24"/>
          <w:szCs w:val="24"/>
        </w:rPr>
        <w:t>արդյունքում բացառել</w:t>
      </w: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անչափահասների և երիտասարդության շրջանում թմրամիջոցների գործածումը:</w:t>
      </w:r>
    </w:p>
    <w:p w:rsidR="00B5322E" w:rsidRPr="005C0B04" w:rsidRDefault="003758D8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>23</w:t>
      </w:r>
      <w:r w:rsidR="00B5322E" w:rsidRPr="005C0B04">
        <w:rPr>
          <w:rFonts w:ascii="GHEA Grapalat" w:eastAsia="Times New Roman" w:hAnsi="GHEA Grapalat" w:cs="Times New Roman"/>
          <w:sz w:val="24"/>
          <w:szCs w:val="24"/>
        </w:rPr>
        <w:t>. Ծրագրի հիմնական խնդիրներն են`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թմրամիջոցների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>, հոգեմետ նյութերի և դրանց պրեկուրսորների ապօրինի շրջանառության և դրա հետ կապված հանցագործությունների նախականխման և բացահայտման ուղղությամբ պետական մարմինների համագործակցության արդյունավետության բարձրացում.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օրենսդրական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դաշտի կատարելագործում և կիրառելիության ապահովում, մասնավորապես` թմրամոլության և թմրամիջոցների ապօրինի շրջանառության դեմ պայքարը կանոնակարգող Հայաստանի Հանրապետության օրենքների և այլ իրավական ակտերի համակողմանի վերլուծություն, դրանց կատարելագործում, համապատասխանեցում Հայաստանի Հանրապետության միջազգային պայմանագրերի պահանջներին.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թմրամոլության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առաջնային կանխարգելում, թմրամոլության նվազեցում` դրա կանխման և արդյունավետ բուժման իրականացման միջոցով.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թմրամիջոցների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>, հոգեմետ (հոգեներգործուն) նյութերի և դրանց պրեկուրսորների ապօրինի շրջանառության ծավալի նվազեցում.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թմրամիջոցներից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կախում ունեցող անձանց բուժման արդյունավետ կազմակերպում, նարկոլոգ</w:t>
      </w:r>
      <w:r w:rsidR="003046E4" w:rsidRPr="005C0B04">
        <w:rPr>
          <w:rFonts w:ascii="GHEA Grapalat" w:eastAsia="Times New Roman" w:hAnsi="GHEA Grapalat" w:cs="Times New Roman"/>
          <w:sz w:val="24"/>
          <w:szCs w:val="24"/>
        </w:rPr>
        <w:t>իական ծառայության արդիականացում</w:t>
      </w: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և սոցիալական վերականգման համակարգի ներդրում.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թմրամոլության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և թմրամիջոցների ապօրինի շրջանառության դեմ պայքարի ոլորտում միջազգային, ինչպես նաև միջգերատեսչական համագործակցության զարգացում և ամրապնդում.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7)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թմրամիջոցների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և հոգեմետ (հոգեներգործուն) նյութերի ապօրինի օգտագործման վտանգի վերաբերյալ բնակչության իրազեկվածության բարձրացում.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8)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պրեկուրսորների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մեծածախ առևտրի նկատմամբ վերահսկողության, ապօրինի առևտրի կամ ընդհատակյա լաբորատորիաների հայտնաբերմանն ուղղված քայլերի ապահովում.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9) </w:t>
      </w:r>
      <w:proofErr w:type="gramStart"/>
      <w:r w:rsidRPr="005C0B04">
        <w:rPr>
          <w:rFonts w:ascii="GHEA Grapalat" w:eastAsia="Times New Roman" w:hAnsi="GHEA Grapalat" w:cs="Times New Roman"/>
          <w:sz w:val="24"/>
          <w:szCs w:val="24"/>
        </w:rPr>
        <w:t>թմրամոլության</w:t>
      </w:r>
      <w:proofErr w:type="gramEnd"/>
      <w:r w:rsidRPr="005C0B04">
        <w:rPr>
          <w:rFonts w:ascii="GHEA Grapalat" w:eastAsia="Times New Roman" w:hAnsi="GHEA Grapalat" w:cs="Times New Roman"/>
          <w:sz w:val="24"/>
          <w:szCs w:val="24"/>
        </w:rPr>
        <w:t xml:space="preserve"> և դրա հասցրած վնասի մասին անչափահասների իրազեկվածության բարձրացում, քանի որ աշխարհի բազում երկրներում որպես ապօրինի թմրամիջոցների և </w:t>
      </w:r>
      <w:r w:rsidRPr="005C0B04">
        <w:rPr>
          <w:rFonts w:ascii="GHEA Grapalat" w:eastAsia="Times New Roman" w:hAnsi="GHEA Grapalat" w:cs="Times New Roman"/>
          <w:sz w:val="24"/>
          <w:szCs w:val="24"/>
        </w:rPr>
        <w:lastRenderedPageBreak/>
        <w:t>հոգեմետ նյութերի սպառող օգտագործ</w:t>
      </w:r>
      <w:r w:rsidR="00E01691" w:rsidRPr="005C0B04">
        <w:rPr>
          <w:rFonts w:ascii="GHEA Grapalat" w:eastAsia="Times New Roman" w:hAnsi="GHEA Grapalat" w:cs="Times New Roman"/>
          <w:sz w:val="24"/>
          <w:szCs w:val="24"/>
        </w:rPr>
        <w:t>վում են երեխաները, ինչն իրենից ահռել</w:t>
      </w:r>
      <w:r w:rsidRPr="005C0B04">
        <w:rPr>
          <w:rFonts w:ascii="GHEA Grapalat" w:eastAsia="Times New Roman" w:hAnsi="GHEA Grapalat" w:cs="Times New Roman"/>
          <w:sz w:val="24"/>
          <w:szCs w:val="24"/>
        </w:rPr>
        <w:t>ի վտանգ է ներկայացնում:</w:t>
      </w:r>
    </w:p>
    <w:p w:rsidR="00B5322E" w:rsidRPr="005C0B04" w:rsidRDefault="003758D8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>24</w:t>
      </w:r>
      <w:r w:rsidR="00B5322E" w:rsidRPr="005C0B04">
        <w:rPr>
          <w:rFonts w:ascii="GHEA Grapalat" w:eastAsia="Times New Roman" w:hAnsi="GHEA Grapalat" w:cs="Times New Roman"/>
          <w:sz w:val="24"/>
          <w:szCs w:val="24"/>
        </w:rPr>
        <w:t>. Սույն ծրագրով սահմանված նպատակներից և խնդիրներից ելնելով` Հայաստանի Հանրապետության իրավապահ մարմիններն ակտիվորեն մասնակցում և իրականացնում են տարբեր միջոցառումներ: Մասնավորապես`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>1) Հայաստանի Հանրապետության տարածք մաքսանենգ ճանապարհով թմրամիջոցների, հոգեմետ նյութերի և դրանց պրեկուրսորների ներմուծումը կանխելու և հայտնաբերելու նպատակով Հայաստանի Հանրապետության իրավապահ մարմինները ակտիվորեն մասնակցում են Հավաքական անվտանգության մասին պայմանագրի կազմակերպության անդամ պետությունների շրջանակներում մշտապես անցկացվող «Կանալ» հակաթմրանյութային գործողությանը.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C0B04">
        <w:rPr>
          <w:rFonts w:ascii="GHEA Grapalat" w:eastAsia="Times New Roman" w:hAnsi="GHEA Grapalat" w:cs="Times New Roman"/>
          <w:sz w:val="24"/>
          <w:szCs w:val="24"/>
        </w:rPr>
        <w:t>2) Յուրաքանչյուր տարի Հայաստանի Հանրապետության ամբողջ տարածքում իրականացվում է նաև «կանեփ-կակաչ» համալիր օպերատիվ-կանխարգելիչ միջոցառումը, որին ներգրավվում են Հայաստանի Հանրապետության ոստիկանության, Հայաստանի Հանրապետության պաշտպանության նախարարության ստորաբաժանումների ծառայողները, տեղական ինքնակառավարման մարմինների և զանգվածային լրատվության միջոցների ներկայացուցիչները:</w:t>
      </w:r>
    </w:p>
    <w:p w:rsidR="00E01691" w:rsidRPr="005C0B04" w:rsidRDefault="00E01691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17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17"/>
          <w:szCs w:val="17"/>
        </w:rPr>
        <w:t> </w:t>
      </w:r>
    </w:p>
    <w:p w:rsidR="00B5322E" w:rsidRPr="005C0B04" w:rsidRDefault="00232D8B" w:rsidP="005C0B04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>4</w:t>
      </w:r>
      <w:r w:rsidR="00B5322E"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 xml:space="preserve">. </w:t>
      </w:r>
      <w:r w:rsidR="00545DEE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>ԲՆԱԿՉՈՒԹՅԱՆ ՇՐՋԱՆՈՒՄ ՀԱՏԿԱՊԵՍ ԵՐԻՏԱՍԱՐԴՆԵՐԻ ԵՎ ԴԵՌԱՀԱՍՆԵՐԻ</w:t>
      </w:r>
      <w:r w:rsidR="00867A23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 xml:space="preserve"> ՇՐՋԱՆՈՒՄ</w:t>
      </w:r>
      <w:r w:rsidR="00545DEE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></w:t>
      </w:r>
      <w:r w:rsidR="00867A23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 xml:space="preserve"> ԹՄՐԱՄՈԼՈՒԹՅԱՆ ԴԵՄ ՊԱՅՔԱՐԻՙ ԹՄՐԱՄՈԼՈՒԹՅԱՆ ԿԱՆԽԱՐԳԵԼՄԱՆՙ ՀԱԿԱԹՄՐԱՄՈԼԱՅԻՆ ՔԱՐՈԶՉՈՒԹՅԱՆ ԻՐԱԿԱՆԱՑՄԱՆ ՈՒՂՂՈՒԹՅԱՄԲ ՆԱԽԱՏԵՍՎՈՂ ՄԻՋՈՑԱՌՈՒՄՆԵՐ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17"/>
        </w:rPr>
        <w:t> </w:t>
      </w:r>
    </w:p>
    <w:p w:rsidR="00B5322E" w:rsidRPr="005C0B04" w:rsidRDefault="003758D8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25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. Թմրամոլության, թմրամիջոցների, հոգեմետ նյութերի և դրանց պրեկուրսորների ապօրինի շրջանառության դեմ պայքարն առավել արդյուն</w:t>
      </w:r>
      <w:r w:rsidR="00E01691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ավետ կազմակերպելու նպատակով 202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3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թվականի ընթացքում նպատակահարմար է իրականացնել մի շարք միջոցառումներ հետևյալ ուղղություններով`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1) կատարելագործել Հայաստանի Հանրապետության ներպետական իրավական ակտերը և դրանք համապատասխանեցնել միջազգային պայմանագրերին` միաժամանակ 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lastRenderedPageBreak/>
        <w:t>ապահովելով դրանց կիրառելիությունը: Այս նպատակով անհրաժեշտ է իրականացնել Հայաստանի Հանրապետության ներպետական իրավական ակտերի համակարգային շարունակական վերլուծություն, անհրաժեշտության դեպքում դրանցում փոփոխություններ և լրացումներ կատարելու վերաբերյալ առաջարկությունների ներկայացում` ՄԱԿ-ի 1961թ., 1971 թ., և 1988 թ. կոնվենցիաների և միջազգային փաստաթղթերի դրույթներին համապատասխան.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2)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թմրամոլության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, թմրամիջոցների, հոգեմետ նյութերի և դրանց պրեկուրսորների դեմ պայքարում անցկացնել օպերատիվ-կանխարգելիչ և հատուկ միջոցառումներ: Այս ուղղությամբ անհրաժեշտ է Հայաստանի Հանրապետության</w:t>
      </w:r>
      <w:r w:rsidR="00326E2C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պետական սահմանի անցման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կետերում և մաքսային հսկողության գոտիներում ուժեղացնել հսկողությունը թմրամիջոցների, հոգեմետ նյութերի և դրանց պրեկուրսորների մաքսանենգ ճանապարհով փոխադրումների նկատմամբ, ապահովել սահմանային արդյունավետ վերահսկողություն.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3)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զարգացնել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զինվորականների շրջանում թմրամոլության դեմ պայքարի արդյունավետությունը` համագործակցել զինվորականների շրջանում թմրամիջոցի հայտնաբերման յուրաքանչյուր դեպքի համակողմանի և ամբողջական բացահայտման աշխատանքներում.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4)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ինտենսիվացնել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լրատվամիջոցներով թմրամոլության հասցրած վնասների և հետևանքների վերաբերյալ հաղորդումները, դրանց մասնակից դարձնել համապատասխան մասնագետների` բժիշկների, հոգեբանների, մանկավարժների.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5)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բարձրացնել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բնակչության իրազեկվածությունը թմրամոլության և թմրամիջոցների ապօրինի շրջանառության հետ կապված հասցրած վնասի վերաբերյալ: Այս ուղղությամբ անհրաժեշտ է շարունակել բնակչության իրազեկման և տեղեկացվածության բարձրացման աշխատանքները թմրամոլության և թմրամիջոցների ապօրինի շրջանառության դեմ պայքարի վերաբերյալ` հատկապես ռիսկային խմբերում.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6)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ուսումնասիրել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թմրամիջոցների տարածման դեմ պայքարի առաջավոր միջազգային փորձը, այդ թվում` կազմակերպել տվյալ ոլորտում ներգրավված ծառայողների մասնագիտական վերապատրաստում Անկախ պետությունների համագործակցության</w:t>
      </w:r>
      <w:r w:rsidR="00326E2C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մասնակից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, Հավաքական անվտանգության պայմանագրի կազմակերպության</w:t>
      </w:r>
      <w:r w:rsidR="00326E2C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անդամ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և եվրոպական այլ պետությունների իրավապահ մարմինների ուսումնական 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lastRenderedPageBreak/>
        <w:t>հաստատություններում, Հայաստանի Հանրապետությունում միջազգային փորձը ներդնելու նպատակով անցկացնել սեմինարներ, խորհրդակցություններ.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7)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իրականացնել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թմրամիջոցներ կամ հոգեմետ նյութեր գործածող անձանց բուժման և վերականգնողական միջոցառումներ.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այս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ուղղությամբ նպատակային կլինի արդիականացնել նարկոլոգիական ծառայությունները, ապահովել բնակչության և թմրամիջոցներ գործածող անձանց շրջանում կանխարգելման ծրագրեր իրականացնող հասարակական կազմակերպությունների և նարկոլոգիական բժշկական օգնություն և </w:t>
      </w:r>
      <w:r w:rsidR="00B840CC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սպասարկում իրականացնող</w:t>
      </w: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բժշկական հաստատությունների միջև սերտ համագործակցությունը, ապահովել նարկոլոգիական ծառայությունում հաշվառված անձանց զբաղվածությունը.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8)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անչափահասների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և երիտասարդության շրջանում իրականացնել առողջ ապրելակերպին նվիրված միջոցառումներ.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այս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նպատակով անհրաժեշտ կլինի կազմակերպել և անցկացնել սպորտային-առողջարարական և զանգվածային մարզական միջոցառումներ, թմրամոլության դեմ պայքարի թեմաներով սեմինարներ, էլեկտրոնային և զանգվածային լրատվական միջոցներով իրականացնել քարոզչություն` անչափահասների զբաղվածությունն ապահովվելու և նրանց կողմից թմրամիջոցների կամ հոգեմետ նյութերի հավանական գործածումը կանխելու նպատակով:</w:t>
      </w:r>
    </w:p>
    <w:p w:rsidR="00E01691" w:rsidRPr="005C0B04" w:rsidRDefault="00E01691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17"/>
        </w:rPr>
        <w:t> </w:t>
      </w:r>
    </w:p>
    <w:p w:rsidR="00B5322E" w:rsidRPr="005C0B04" w:rsidRDefault="00874CF1" w:rsidP="005C0B04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>5</w:t>
      </w:r>
      <w:r w:rsidR="00B5322E"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>. ԾՐԱԳՐԻ ՖԻՆԱՆՍԱՎՈՐՈՒՄԸ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17"/>
        </w:rPr>
        <w:t> </w:t>
      </w:r>
    </w:p>
    <w:p w:rsidR="00B5322E" w:rsidRPr="005C0B04" w:rsidRDefault="003758D8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26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. Ծրագրով նախատեսված միջոցառումների իրագործման համար պահանջվող ֆինանսական ծախսերը նախատեսվում է իրականացնել հետևյալ աղբյուրներից`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1) Հայաստանի Հանրապետության պետական բյուջեով համապատասխան պետական մարմնին տվյալ տարվա համար հատկացված գումարներ.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2)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միջազգային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կազմակերպությունների, ինչպես նաև տեխնիկական և խորհրդատվական գծով դոնոր-պետությունների միջոցներ.</w:t>
      </w:r>
    </w:p>
    <w:p w:rsidR="00E01691" w:rsidRPr="005C0B04" w:rsidRDefault="00E01691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3) Հայաստանի Հանրապետության օրենսդրությամբ չարգելված միջոցներ. 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17"/>
        </w:rPr>
        <w:t> </w:t>
      </w:r>
    </w:p>
    <w:p w:rsidR="00B5322E" w:rsidRPr="005C0B04" w:rsidRDefault="00874CF1" w:rsidP="005C0B04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>6</w:t>
      </w:r>
      <w:r w:rsidR="00B5322E" w:rsidRPr="005C0B04">
        <w:rPr>
          <w:rFonts w:ascii="GHEA Grapalat" w:eastAsia="Times New Roman" w:hAnsi="GHEA Grapalat" w:cs="Times New Roman"/>
          <w:b/>
          <w:bCs/>
          <w:color w:val="000000"/>
          <w:sz w:val="24"/>
          <w:szCs w:val="17"/>
        </w:rPr>
        <w:t>. ԾՐԱԳՐԻ ԻՐԱԳՈՐԾՈՒՄԻՑ ԱԿՆԿԱԼՎՈՂ ԱՐԴՅՈՒՆՔՆԵՐԸ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Courier New" w:eastAsia="Times New Roman" w:hAnsi="Courier New" w:cs="Courier New"/>
          <w:color w:val="000000"/>
          <w:sz w:val="24"/>
          <w:szCs w:val="17"/>
        </w:rPr>
        <w:lastRenderedPageBreak/>
        <w:t> </w:t>
      </w:r>
    </w:p>
    <w:p w:rsidR="00B5322E" w:rsidRPr="005C0B04" w:rsidRDefault="003758D8" w:rsidP="005C0B04">
      <w:pPr>
        <w:shd w:val="clear" w:color="auto" w:fill="FFFFFF"/>
        <w:spacing w:after="0" w:line="360" w:lineRule="auto"/>
        <w:ind w:right="115" w:firstLine="720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27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. Ծրագրի շրջանակներում իրականացվելիք միջոցառումներն իրենց դրական անդրադարձը կունենան թմրամոլության և թմրամիջոցների ապօրինի շրջանառության կանխարգելման գործում: Մասնավորապես, ծրագրի իրագործումից ակնկալվող արդյունքներն են`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1)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թմրամոլության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և թմրամիջոցների ապօրինի շրջանառության դեմ պայքարի համար անհրաժեշտ օրենսդրական բազայի կատարելագործումը` այն համապատասխանեցնելով Հայաստանի Հանրապետության միջազգային հանձնառություններին,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2)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բնակչության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շրջանում թմրամոլության և թմրամիջոցների ապօրինի շրջանառության հետ կապված հասցրած վնասի վերաբերյալ տեղեկատվության մակարդակի բարձրացումը, դրա դեմ պայքարելու հնարավորությունների մասին իրազեկվածությունը,</w:t>
      </w:r>
    </w:p>
    <w:p w:rsidR="00B5322E" w:rsidRPr="005C0B04" w:rsidRDefault="00B5322E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3)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թմրամոլության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և թմրամիջոցների ապօրինի շրջանառության դեմ պայքարի, այդ թվում` սահմանային մաքսակետերով թմրամիջոցների, հոգեմետ (հոգեներգործուն) նյութերի և դրանց պրեկուրսորների` մաքսանենգությունների նկատմամբ հսկողության ուժեղացումը,</w:t>
      </w:r>
    </w:p>
    <w:p w:rsidR="00367C45" w:rsidRPr="005C0B04" w:rsidRDefault="00367C45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4) </w:t>
      </w:r>
      <w:proofErr w:type="gramStart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միջազգային</w:t>
      </w:r>
      <w:proofErr w:type="gramEnd"/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համագործակցության ամրապնդում և կապերի սերտացում,</w:t>
      </w:r>
    </w:p>
    <w:p w:rsidR="00B5322E" w:rsidRPr="005C0B04" w:rsidRDefault="00367C45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5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) </w:t>
      </w:r>
      <w:proofErr w:type="gramStart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թմրամիջոցների</w:t>
      </w:r>
      <w:proofErr w:type="gramEnd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, հոգեմետ նյութերի և դրանց պրեկուրսորների առաջարկի և պահանջարկի նվազեցումը,</w:t>
      </w:r>
    </w:p>
    <w:p w:rsidR="00B5322E" w:rsidRPr="005C0B04" w:rsidRDefault="00367C45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6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) </w:t>
      </w:r>
      <w:proofErr w:type="gramStart"/>
      <w:r w:rsidR="007738B2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թմրամոլությամբ</w:t>
      </w:r>
      <w:proofErr w:type="gramEnd"/>
      <w:r w:rsidR="007738B2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հիվանդների բուժման որակի և արդյունավետության բարձրացումը,</w:t>
      </w:r>
    </w:p>
    <w:p w:rsidR="00B5322E" w:rsidRPr="005C0B04" w:rsidRDefault="00367C45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7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) </w:t>
      </w:r>
      <w:proofErr w:type="gramStart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թմրամոլության</w:t>
      </w:r>
      <w:proofErr w:type="gramEnd"/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 xml:space="preserve"> և թմրամիջոցների ապօրինի շրջանառության դեմ պայքարի ոլորտում իրավապահ մարմինների գործունեության և համագործակցության արդյունավետության բարձրացումն ու ամրապնդումը,</w:t>
      </w:r>
    </w:p>
    <w:p w:rsidR="00B5322E" w:rsidRPr="005C0B04" w:rsidRDefault="00367C45" w:rsidP="005C0B04">
      <w:pPr>
        <w:shd w:val="clear" w:color="auto" w:fill="FFFFFF"/>
        <w:spacing w:after="0" w:line="360" w:lineRule="auto"/>
        <w:ind w:right="115" w:firstLine="346"/>
        <w:jc w:val="both"/>
        <w:rPr>
          <w:rFonts w:ascii="GHEA Grapalat" w:eastAsia="Times New Roman" w:hAnsi="GHEA Grapalat" w:cs="Times New Roman"/>
          <w:color w:val="000000"/>
          <w:sz w:val="24"/>
          <w:szCs w:val="17"/>
        </w:rPr>
      </w:pPr>
      <w:r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8</w:t>
      </w:r>
      <w:r w:rsidR="00B5322E" w:rsidRPr="005C0B04">
        <w:rPr>
          <w:rFonts w:ascii="GHEA Grapalat" w:eastAsia="Times New Roman" w:hAnsi="GHEA Grapalat" w:cs="Times New Roman"/>
          <w:color w:val="000000"/>
          <w:sz w:val="24"/>
          <w:szCs w:val="17"/>
        </w:rPr>
        <w:t>) նյութատեխնիկական բազայի վերազինումը կնպաստի ի հայտ եկած նոր թմրամիջոցների, հոգեմետ (հոգեներգործուն) նյութերի և դրանց պրեկուրսորների հետազոտման և նույնացման օպերատիվությանը, մասնավորապես` ծխախառնուրդներում` սփայսերում, սինթետիկ կաննաբինոիդների հայտնաբերմանը, քանի որ առկա տեխնիկան շատ հնամաշ է և հետագա օգտագործման համար գրեթե անպիտան:</w:t>
      </w:r>
    </w:p>
    <w:p w:rsidR="00F72065" w:rsidRPr="005C0B04" w:rsidRDefault="00F72065" w:rsidP="005C0B04">
      <w:pPr>
        <w:spacing w:line="360" w:lineRule="auto"/>
        <w:rPr>
          <w:rFonts w:ascii="GHEA Grapalat" w:hAnsi="GHEA Grapalat"/>
        </w:rPr>
      </w:pPr>
    </w:p>
    <w:sectPr w:rsidR="00F72065" w:rsidRPr="005C0B04" w:rsidSect="005B0D08">
      <w:pgSz w:w="12240" w:h="15840"/>
      <w:pgMar w:top="630" w:right="850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sdemona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5322E"/>
    <w:rsid w:val="000C7B2B"/>
    <w:rsid w:val="0015138D"/>
    <w:rsid w:val="0015169D"/>
    <w:rsid w:val="001932DD"/>
    <w:rsid w:val="001D5D15"/>
    <w:rsid w:val="0021201B"/>
    <w:rsid w:val="00232D8B"/>
    <w:rsid w:val="002F2D94"/>
    <w:rsid w:val="003046E4"/>
    <w:rsid w:val="00326E2C"/>
    <w:rsid w:val="00367C45"/>
    <w:rsid w:val="003758D8"/>
    <w:rsid w:val="00466EEA"/>
    <w:rsid w:val="004E1A60"/>
    <w:rsid w:val="004F2CC7"/>
    <w:rsid w:val="00522022"/>
    <w:rsid w:val="00522291"/>
    <w:rsid w:val="00545DEE"/>
    <w:rsid w:val="00576920"/>
    <w:rsid w:val="00585F32"/>
    <w:rsid w:val="00592830"/>
    <w:rsid w:val="005B0D08"/>
    <w:rsid w:val="005C0B04"/>
    <w:rsid w:val="006130C6"/>
    <w:rsid w:val="006356F5"/>
    <w:rsid w:val="00646226"/>
    <w:rsid w:val="0065181E"/>
    <w:rsid w:val="00683730"/>
    <w:rsid w:val="006C4189"/>
    <w:rsid w:val="0070248A"/>
    <w:rsid w:val="007644F3"/>
    <w:rsid w:val="007738B2"/>
    <w:rsid w:val="007C1900"/>
    <w:rsid w:val="007D0067"/>
    <w:rsid w:val="007E491A"/>
    <w:rsid w:val="00856980"/>
    <w:rsid w:val="00867A23"/>
    <w:rsid w:val="00874CF1"/>
    <w:rsid w:val="00912285"/>
    <w:rsid w:val="009C2691"/>
    <w:rsid w:val="00A019AC"/>
    <w:rsid w:val="00A80606"/>
    <w:rsid w:val="00AF6C68"/>
    <w:rsid w:val="00B5322E"/>
    <w:rsid w:val="00B840CC"/>
    <w:rsid w:val="00BA33CF"/>
    <w:rsid w:val="00BD1A8C"/>
    <w:rsid w:val="00BD23F6"/>
    <w:rsid w:val="00C60E63"/>
    <w:rsid w:val="00CA1DEE"/>
    <w:rsid w:val="00CD7A90"/>
    <w:rsid w:val="00D13F5E"/>
    <w:rsid w:val="00D410FA"/>
    <w:rsid w:val="00D71EA8"/>
    <w:rsid w:val="00DC36B0"/>
    <w:rsid w:val="00DE6355"/>
    <w:rsid w:val="00E01691"/>
    <w:rsid w:val="00E114B4"/>
    <w:rsid w:val="00ED27BF"/>
    <w:rsid w:val="00F110C0"/>
    <w:rsid w:val="00F21538"/>
    <w:rsid w:val="00F43C98"/>
    <w:rsid w:val="00F72065"/>
    <w:rsid w:val="00F8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55"/>
  </w:style>
  <w:style w:type="paragraph" w:styleId="Heading1">
    <w:name w:val="heading 1"/>
    <w:basedOn w:val="Normal"/>
    <w:next w:val="Normal"/>
    <w:link w:val="Heading1Char"/>
    <w:qFormat/>
    <w:rsid w:val="00CD7A90"/>
    <w:pPr>
      <w:keepNext/>
      <w:spacing w:after="0" w:line="360" w:lineRule="auto"/>
      <w:ind w:firstLine="720"/>
      <w:jc w:val="both"/>
      <w:outlineLvl w:val="0"/>
    </w:pPr>
    <w:rPr>
      <w:rFonts w:ascii="Times Armenian" w:eastAsia="Times New Roman" w:hAnsi="Times Armeni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B5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Normal"/>
    <w:rsid w:val="00B5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changed">
    <w:name w:val="unchanged"/>
    <w:basedOn w:val="Normal"/>
    <w:rsid w:val="00B5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2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322E"/>
    <w:rPr>
      <w:color w:val="0000FF"/>
      <w:u w:val="single"/>
    </w:rPr>
  </w:style>
  <w:style w:type="paragraph" w:customStyle="1" w:styleId="tablestyle">
    <w:name w:val="tablestyle"/>
    <w:basedOn w:val="Normal"/>
    <w:rsid w:val="00B5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2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2E"/>
    <w:rPr>
      <w:rFonts w:ascii="Tahoma" w:hAnsi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D7A90"/>
    <w:rPr>
      <w:rFonts w:ascii="Times Armenian" w:eastAsia="Times New Roman" w:hAnsi="Times Armenian" w:cs="Times New Roman"/>
      <w:b/>
      <w:sz w:val="24"/>
      <w:szCs w:val="20"/>
    </w:rPr>
  </w:style>
  <w:style w:type="paragraph" w:styleId="Header">
    <w:name w:val="header"/>
    <w:basedOn w:val="Normal"/>
    <w:link w:val="HeaderChar"/>
    <w:unhideWhenUsed/>
    <w:rsid w:val="00CD7A90"/>
    <w:pPr>
      <w:tabs>
        <w:tab w:val="center" w:pos="4320"/>
        <w:tab w:val="right" w:pos="8640"/>
      </w:tabs>
      <w:spacing w:after="0" w:line="240" w:lineRule="auto"/>
    </w:pPr>
    <w:rPr>
      <w:rFonts w:ascii="Desdemona" w:eastAsia="Times New Roman" w:hAnsi="Desdemon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D7A90"/>
    <w:rPr>
      <w:rFonts w:ascii="Desdemona" w:eastAsia="Times New Roman" w:hAnsi="Desdemona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3758D8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/>
      <w:sz w:val="24"/>
      <w:szCs w:val="20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758D8"/>
    <w:rPr>
      <w:rFonts w:ascii="Times Armenian" w:eastAsia="Times New Roman" w:hAnsi="Times Armeni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rtek.am/views/act.aspx?aid=1518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9813-6865-4841-978F-084B053A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KHDPGV</dc:creator>
  <cp:keywords>https://mul2-police.gov.am/tasks/1353323/oneclick/CRAGIR.docx?token=9cfcbfe6489b83d1ba18cc7ee9fe189f</cp:keywords>
  <dc:description/>
  <cp:lastModifiedBy>Avoyan</cp:lastModifiedBy>
  <cp:revision>57</cp:revision>
  <cp:lastPrinted>2022-08-31T12:11:00Z</cp:lastPrinted>
  <dcterms:created xsi:type="dcterms:W3CDTF">2020-04-21T08:54:00Z</dcterms:created>
  <dcterms:modified xsi:type="dcterms:W3CDTF">2022-09-02T09:16:00Z</dcterms:modified>
</cp:coreProperties>
</file>