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45AB6" w14:textId="77777777" w:rsidR="005F58DD" w:rsidRPr="008A3278" w:rsidRDefault="005F58DD" w:rsidP="008A3278">
      <w:pPr>
        <w:spacing w:line="360" w:lineRule="auto"/>
        <w:jc w:val="right"/>
        <w:rPr>
          <w:u w:val="single"/>
          <w:lang w:val="hy-AM"/>
        </w:rPr>
      </w:pPr>
      <w:r w:rsidRPr="008A3278">
        <w:rPr>
          <w:u w:val="single"/>
          <w:lang w:val="hy-AM"/>
        </w:rPr>
        <w:t>ՆԱԽԱԳԻԾ</w:t>
      </w:r>
    </w:p>
    <w:p w14:paraId="1978F8FF" w14:textId="77777777" w:rsidR="004A76A0" w:rsidRPr="008A3278" w:rsidRDefault="006710AA" w:rsidP="008A3278">
      <w:pPr>
        <w:spacing w:line="360" w:lineRule="auto"/>
        <w:jc w:val="center"/>
        <w:rPr>
          <w:b/>
          <w:lang w:val="hy-AM"/>
        </w:rPr>
      </w:pPr>
      <w:r w:rsidRPr="008A3278">
        <w:rPr>
          <w:b/>
          <w:lang w:val="hy-AM"/>
        </w:rPr>
        <w:t xml:space="preserve">ՀԱՅԱՍՏԱՆԻ </w:t>
      </w:r>
      <w:r w:rsidR="00FF40B6" w:rsidRPr="008A3278">
        <w:rPr>
          <w:b/>
          <w:lang w:val="hy-AM"/>
        </w:rPr>
        <w:t>ՀԱՆՐԱՊԵՏՈՒԹՅԱ</w:t>
      </w:r>
      <w:r w:rsidRPr="008A3278">
        <w:rPr>
          <w:b/>
          <w:lang w:val="hy-AM"/>
        </w:rPr>
        <w:t>Ն ՕՐԵՆՔԸ</w:t>
      </w:r>
    </w:p>
    <w:p w14:paraId="50F5124C" w14:textId="77777777" w:rsidR="006710AA" w:rsidRPr="008A3278" w:rsidRDefault="006710AA" w:rsidP="008A3278">
      <w:pPr>
        <w:spacing w:line="360" w:lineRule="auto"/>
        <w:rPr>
          <w:b/>
          <w:lang w:val="hy-AM"/>
        </w:rPr>
      </w:pPr>
    </w:p>
    <w:p w14:paraId="64CBC845" w14:textId="77777777" w:rsidR="005F58DD" w:rsidRPr="008A3278" w:rsidRDefault="005F58DD" w:rsidP="008A3278">
      <w:pPr>
        <w:spacing w:line="360" w:lineRule="auto"/>
        <w:jc w:val="center"/>
        <w:rPr>
          <w:b/>
          <w:lang w:val="hy-AM"/>
        </w:rPr>
      </w:pPr>
      <w:r w:rsidRPr="008A3278">
        <w:rPr>
          <w:b/>
          <w:lang w:val="hy-AM"/>
        </w:rPr>
        <w:t>«ԿՈՒՏԱԿԱՅԻՆ ԿԵՆՍԱԹՈՇԱԿՆԵՐԻ ՄԱՍԻՆ» ՕՐԵՆՔՈՒՄ ՓՈՓՈԽՈՒԹՅՈՒՆՆԵՐ ԵՎ ԼՐԱՑՈՒՄ</w:t>
      </w:r>
      <w:r w:rsidR="002E4831" w:rsidRPr="008A3278">
        <w:rPr>
          <w:b/>
          <w:lang w:val="hy-AM"/>
        </w:rPr>
        <w:t>ՆԵՐ</w:t>
      </w:r>
      <w:r w:rsidRPr="008A3278">
        <w:rPr>
          <w:b/>
          <w:lang w:val="hy-AM"/>
        </w:rPr>
        <w:t xml:space="preserve"> ԿԱՏԱՐԵԼՈՒ ՄԱՍԻՆ</w:t>
      </w:r>
    </w:p>
    <w:p w14:paraId="78CEF706" w14:textId="77777777" w:rsidR="006710AA" w:rsidRPr="008A3278" w:rsidRDefault="006710AA" w:rsidP="008A3278">
      <w:pPr>
        <w:spacing w:line="360" w:lineRule="auto"/>
        <w:jc w:val="both"/>
        <w:rPr>
          <w:rFonts w:cs="Calibri"/>
          <w:color w:val="000000"/>
          <w:shd w:val="clear" w:color="auto" w:fill="FFFFFF"/>
          <w:lang w:val="hy-AM"/>
        </w:rPr>
      </w:pPr>
      <w:r w:rsidRPr="008A3278">
        <w:rPr>
          <w:b/>
          <w:lang w:val="hy-AM"/>
        </w:rPr>
        <w:t>Հոդված 1.</w:t>
      </w:r>
      <w:r w:rsidRPr="008A3278">
        <w:rPr>
          <w:lang w:val="hy-AM"/>
        </w:rPr>
        <w:t xml:space="preserve"> </w:t>
      </w:r>
      <w:r w:rsidRPr="008A3278">
        <w:rPr>
          <w:color w:val="000000"/>
          <w:shd w:val="clear" w:color="auto" w:fill="FFFFFF"/>
          <w:lang w:val="hy-AM"/>
        </w:rPr>
        <w:t>«Կուտակային կենսաթոշակների մասին» 2010 թվականի դեկտեմբերի 22-ի ՀՕ-244-Ն օրենքի</w:t>
      </w:r>
      <w:r w:rsidR="00FF40B6" w:rsidRPr="008A3278">
        <w:rPr>
          <w:color w:val="000000"/>
          <w:shd w:val="clear" w:color="auto" w:fill="FFFFFF"/>
          <w:lang w:val="hy-AM"/>
        </w:rPr>
        <w:t xml:space="preserve"> (այսուհետ՝</w:t>
      </w:r>
      <w:r w:rsidR="00BA5BDB" w:rsidRPr="008A3278">
        <w:rPr>
          <w:color w:val="000000"/>
          <w:shd w:val="clear" w:color="auto" w:fill="FFFFFF"/>
          <w:lang w:val="hy-AM"/>
        </w:rPr>
        <w:t xml:space="preserve"> </w:t>
      </w:r>
      <w:r w:rsidR="00FF40B6" w:rsidRPr="008A3278">
        <w:rPr>
          <w:color w:val="000000"/>
          <w:shd w:val="clear" w:color="auto" w:fill="FFFFFF"/>
          <w:lang w:val="hy-AM"/>
        </w:rPr>
        <w:t>Օրենք)</w:t>
      </w:r>
      <w:r w:rsidRPr="008A3278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5B390D" w:rsidRPr="008A3278">
        <w:rPr>
          <w:rFonts w:cs="Calibri"/>
          <w:color w:val="000000"/>
          <w:shd w:val="clear" w:color="auto" w:fill="FFFFFF"/>
          <w:lang w:val="hy-AM"/>
        </w:rPr>
        <w:t>12</w:t>
      </w:r>
      <w:r w:rsidR="00BA5BDB" w:rsidRPr="008A3278">
        <w:rPr>
          <w:rFonts w:cs="Calibri"/>
          <w:color w:val="000000"/>
          <w:shd w:val="clear" w:color="auto" w:fill="FFFFFF"/>
          <w:lang w:val="hy-AM"/>
        </w:rPr>
        <w:t>-</w:t>
      </w:r>
      <w:r w:rsidR="005B390D" w:rsidRPr="008A3278">
        <w:rPr>
          <w:rFonts w:cs="Calibri"/>
          <w:color w:val="000000"/>
          <w:shd w:val="clear" w:color="auto" w:fill="FFFFFF"/>
          <w:lang w:val="hy-AM"/>
        </w:rPr>
        <w:t>րդ հոդվածում՝</w:t>
      </w:r>
    </w:p>
    <w:p w14:paraId="36E799F7" w14:textId="3E9956A7" w:rsidR="005B390D" w:rsidRPr="008A3278" w:rsidRDefault="005B390D" w:rsidP="008A3278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noProof/>
          <w:lang w:val="hy-AM"/>
        </w:rPr>
      </w:pPr>
      <w:r w:rsidRPr="008A3278">
        <w:rPr>
          <w:rFonts w:cs="Calibri"/>
          <w:color w:val="000000"/>
          <w:shd w:val="clear" w:color="auto" w:fill="FFFFFF"/>
          <w:lang w:val="hy-AM"/>
        </w:rPr>
        <w:t>2-րդ</w:t>
      </w:r>
      <w:r w:rsidR="00C6258C" w:rsidRPr="008A3278">
        <w:rPr>
          <w:rFonts w:cs="Calibri"/>
          <w:color w:val="000000"/>
          <w:shd w:val="clear" w:color="auto" w:fill="FFFFFF"/>
          <w:lang w:val="hy-AM"/>
        </w:rPr>
        <w:t>, 2</w:t>
      </w:r>
      <w:r w:rsidR="00C6258C" w:rsidRPr="008A3278">
        <w:rPr>
          <w:rFonts w:ascii="MS Gothic" w:eastAsia="MS Gothic" w:hAnsi="MS Gothic" w:cs="MS Gothic" w:hint="eastAsia"/>
          <w:color w:val="000000"/>
          <w:shd w:val="clear" w:color="auto" w:fill="FFFFFF"/>
          <w:lang w:val="hy-AM"/>
        </w:rPr>
        <w:t>․</w:t>
      </w:r>
      <w:r w:rsidR="00C6258C" w:rsidRPr="008A3278">
        <w:rPr>
          <w:rFonts w:cs="Calibri"/>
          <w:color w:val="000000"/>
          <w:shd w:val="clear" w:color="auto" w:fill="FFFFFF"/>
          <w:lang w:val="hy-AM"/>
        </w:rPr>
        <w:t>1-րդ և 2</w:t>
      </w:r>
      <w:r w:rsidR="00C6258C" w:rsidRPr="008A3278">
        <w:rPr>
          <w:rFonts w:ascii="MS Gothic" w:eastAsia="MS Gothic" w:hAnsi="MS Gothic" w:cs="MS Gothic" w:hint="eastAsia"/>
          <w:color w:val="000000"/>
          <w:shd w:val="clear" w:color="auto" w:fill="FFFFFF"/>
          <w:lang w:val="hy-AM"/>
        </w:rPr>
        <w:t>․</w:t>
      </w:r>
      <w:r w:rsidR="00C6258C" w:rsidRPr="008A3278">
        <w:rPr>
          <w:rFonts w:eastAsia="MS Gothic" w:cs="MS Gothic"/>
          <w:color w:val="000000"/>
          <w:shd w:val="clear" w:color="auto" w:fill="FFFFFF"/>
          <w:lang w:val="hy-AM"/>
        </w:rPr>
        <w:t>2-րդ</w:t>
      </w:r>
      <w:r w:rsidRPr="008A3278">
        <w:rPr>
          <w:rFonts w:cs="Calibri"/>
          <w:color w:val="000000"/>
          <w:shd w:val="clear" w:color="auto" w:fill="FFFFFF"/>
          <w:lang w:val="hy-AM"/>
        </w:rPr>
        <w:t xml:space="preserve"> մաս</w:t>
      </w:r>
      <w:r w:rsidR="00C6258C" w:rsidRPr="008A3278">
        <w:rPr>
          <w:rFonts w:cs="Calibri"/>
          <w:color w:val="000000"/>
          <w:shd w:val="clear" w:color="auto" w:fill="FFFFFF"/>
          <w:lang w:val="hy-AM"/>
        </w:rPr>
        <w:t>եր</w:t>
      </w:r>
      <w:r w:rsidRPr="008A3278">
        <w:rPr>
          <w:rFonts w:cs="Calibri"/>
          <w:color w:val="000000"/>
          <w:shd w:val="clear" w:color="auto" w:fill="FFFFFF"/>
          <w:lang w:val="hy-AM"/>
        </w:rPr>
        <w:t xml:space="preserve">ը շարադրել </w:t>
      </w:r>
      <w:proofErr w:type="spellStart"/>
      <w:r w:rsidRPr="008A3278">
        <w:rPr>
          <w:rFonts w:cs="Calibri"/>
          <w:color w:val="000000"/>
          <w:shd w:val="clear" w:color="auto" w:fill="FFFFFF"/>
          <w:lang w:val="hy-AM"/>
        </w:rPr>
        <w:t>հետևյալ</w:t>
      </w:r>
      <w:proofErr w:type="spellEnd"/>
      <w:r w:rsidRPr="008A3278">
        <w:rPr>
          <w:rFonts w:cs="Calibri"/>
          <w:color w:val="000000"/>
          <w:shd w:val="clear" w:color="auto" w:fill="FFFFFF"/>
          <w:lang w:val="hy-AM"/>
        </w:rPr>
        <w:t xml:space="preserve"> խմբագրությամբ</w:t>
      </w:r>
      <w:r w:rsidRPr="008A3278">
        <w:rPr>
          <w:rFonts w:ascii="MS Gothic" w:eastAsia="MS Gothic" w:hAnsi="MS Gothic" w:cs="MS Gothic" w:hint="eastAsia"/>
          <w:color w:val="000000"/>
          <w:shd w:val="clear" w:color="auto" w:fill="FFFFFF"/>
          <w:lang w:val="hy-AM"/>
        </w:rPr>
        <w:t>․</w:t>
      </w:r>
    </w:p>
    <w:p w14:paraId="6E0A6B13" w14:textId="2632B8CD" w:rsidR="007627C4" w:rsidRPr="008A3278" w:rsidRDefault="005B390D" w:rsidP="008A3278">
      <w:pPr>
        <w:spacing w:line="360" w:lineRule="auto"/>
        <w:jc w:val="both"/>
        <w:rPr>
          <w:noProof/>
          <w:lang w:val="hy-AM"/>
        </w:rPr>
      </w:pPr>
      <w:r w:rsidRPr="008A3278">
        <w:rPr>
          <w:rFonts w:cs="Calibri"/>
          <w:color w:val="000000"/>
          <w:shd w:val="clear" w:color="auto" w:fill="FFFFFF"/>
          <w:lang w:val="hy-AM"/>
        </w:rPr>
        <w:t>«</w:t>
      </w:r>
      <w:r w:rsidRPr="008A3278">
        <w:rPr>
          <w:noProof/>
          <w:lang w:val="hy-AM"/>
        </w:rPr>
        <w:t xml:space="preserve">2.  Սույն հոդվածի 1-ին մասում նշված տեղեկատվությունն անձին </w:t>
      </w:r>
      <w:r w:rsidR="008A60DA" w:rsidRPr="008A3278">
        <w:rPr>
          <w:noProof/>
          <w:lang w:val="hy-AM"/>
        </w:rPr>
        <w:t xml:space="preserve">տրամադրվում </w:t>
      </w:r>
      <w:r w:rsidRPr="008A3278">
        <w:rPr>
          <w:noProof/>
          <w:lang w:val="hy-AM"/>
        </w:rPr>
        <w:t xml:space="preserve">է մասնակիցների ռեեստրը վարողին ներկայացված որևէ դիմումում նշված </w:t>
      </w:r>
      <w:r w:rsidR="00657AD3" w:rsidRPr="008A3278">
        <w:rPr>
          <w:noProof/>
          <w:lang w:val="hy-AM"/>
        </w:rPr>
        <w:t xml:space="preserve">կամ այլ կերպ տրամադրված </w:t>
      </w:r>
      <w:r w:rsidRPr="008A3278">
        <w:rPr>
          <w:noProof/>
          <w:lang w:val="hy-AM"/>
        </w:rPr>
        <w:t>էլեկտրոնային փոստի հասցեով:</w:t>
      </w:r>
    </w:p>
    <w:p w14:paraId="340AEE97" w14:textId="4B301F36" w:rsidR="005B390D" w:rsidRPr="008A3278" w:rsidRDefault="005B390D" w:rsidP="008A3278">
      <w:pPr>
        <w:spacing w:line="360" w:lineRule="auto"/>
        <w:jc w:val="both"/>
        <w:rPr>
          <w:noProof/>
          <w:lang w:val="hy-AM"/>
        </w:rPr>
      </w:pPr>
      <w:r w:rsidRPr="008A3278">
        <w:rPr>
          <w:noProof/>
          <w:lang w:val="hy-AM"/>
        </w:rPr>
        <w:t>2.1. Եթե անձը ցանկանում է դադարեցնել սույն հոդվածի 1-ին մասում նշված տեղեկատվության ստացումը, ապա սույն հոդվածի 7-րդ մասով սահմանված կարգով դիմում է ներկայացնում մասնակիցների ռեեստրը վարողին:</w:t>
      </w:r>
    </w:p>
    <w:p w14:paraId="226FF3EB" w14:textId="77777777" w:rsidR="005B390D" w:rsidRPr="008A3278" w:rsidRDefault="005B390D" w:rsidP="008A3278">
      <w:pPr>
        <w:spacing w:line="360" w:lineRule="auto"/>
        <w:jc w:val="both"/>
        <w:rPr>
          <w:noProof/>
          <w:lang w:val="hy-AM"/>
        </w:rPr>
      </w:pPr>
      <w:r w:rsidRPr="008A3278">
        <w:rPr>
          <w:noProof/>
          <w:lang w:val="hy-AM"/>
        </w:rPr>
        <w:t>2.2. Եթե մասնակիցների ռեեստրը վարողի մոտ առկա չէ տվյալ անձի տրամադրած էլեկտրոնային փոստի հասցե, ապա սույն հոդվածի 1-ին մասում նշված տեղեկատվությունը անձին կարող է ներկայացվել «Ինտերնետով հրապարակային և անհատական ծանուցման մասին» Հայաստանի Հանրապետության օրենքով սահմանված՝ անձի պաշտոնական էլեկտրոնային փոստի հասցեով (առկայության դեպքում):»,</w:t>
      </w:r>
    </w:p>
    <w:p w14:paraId="3BED48C7" w14:textId="05D04916" w:rsidR="005B390D" w:rsidRPr="008A3278" w:rsidRDefault="005B390D" w:rsidP="008A3278">
      <w:pPr>
        <w:pStyle w:val="ListParagraph"/>
        <w:numPr>
          <w:ilvl w:val="0"/>
          <w:numId w:val="3"/>
        </w:numPr>
        <w:spacing w:line="360" w:lineRule="auto"/>
        <w:rPr>
          <w:noProof/>
          <w:lang w:val="hy-AM"/>
        </w:rPr>
      </w:pPr>
      <w:r w:rsidRPr="008A3278">
        <w:rPr>
          <w:noProof/>
          <w:lang w:val="hy-AM"/>
        </w:rPr>
        <w:t xml:space="preserve">3-րդ և 8-րդ </w:t>
      </w:r>
      <w:r w:rsidR="00E479F9" w:rsidRPr="008A3278">
        <w:rPr>
          <w:noProof/>
          <w:lang w:val="hy-AM"/>
        </w:rPr>
        <w:t>մասերն</w:t>
      </w:r>
      <w:r w:rsidRPr="008A3278">
        <w:rPr>
          <w:noProof/>
          <w:lang w:val="hy-AM"/>
        </w:rPr>
        <w:t xml:space="preserve"> </w:t>
      </w:r>
      <w:r w:rsidR="003178B6" w:rsidRPr="008A3278">
        <w:rPr>
          <w:noProof/>
          <w:lang w:val="hy-AM"/>
        </w:rPr>
        <w:t>ուժը կորցրած ճանաչել</w:t>
      </w:r>
      <w:r w:rsidRPr="008A3278">
        <w:rPr>
          <w:noProof/>
          <w:lang w:val="hy-AM"/>
        </w:rPr>
        <w:t>։</w:t>
      </w:r>
    </w:p>
    <w:p w14:paraId="190DBBEF" w14:textId="77777777" w:rsidR="00FF40B6" w:rsidRPr="008A3278" w:rsidRDefault="005B390D" w:rsidP="008A3278">
      <w:pPr>
        <w:spacing w:line="360" w:lineRule="auto"/>
        <w:rPr>
          <w:noProof/>
          <w:lang w:val="hy-AM"/>
        </w:rPr>
      </w:pPr>
      <w:r w:rsidRPr="008A3278">
        <w:rPr>
          <w:b/>
          <w:noProof/>
          <w:lang w:val="hy-AM"/>
        </w:rPr>
        <w:t>Հոդված 2</w:t>
      </w:r>
      <w:r w:rsidRPr="008A3278">
        <w:rPr>
          <w:rFonts w:ascii="MS Gothic" w:eastAsia="MS Gothic" w:hAnsi="MS Gothic" w:cs="MS Gothic" w:hint="eastAsia"/>
          <w:b/>
          <w:noProof/>
          <w:lang w:val="hy-AM"/>
        </w:rPr>
        <w:t>․</w:t>
      </w:r>
      <w:r w:rsidR="00FF40B6" w:rsidRPr="008A3278">
        <w:rPr>
          <w:b/>
          <w:noProof/>
          <w:lang w:val="hy-AM"/>
        </w:rPr>
        <w:t xml:space="preserve"> </w:t>
      </w:r>
      <w:r w:rsidR="00FF40B6" w:rsidRPr="008A3278">
        <w:rPr>
          <w:noProof/>
          <w:lang w:val="hy-AM"/>
        </w:rPr>
        <w:t>Օրենքի 34-րդ հոդվածի 2-րդ մասը շարադրել հետևյալ խմբագրությամբ</w:t>
      </w:r>
      <w:r w:rsidR="00FF40B6" w:rsidRPr="008A3278">
        <w:rPr>
          <w:rFonts w:ascii="MS Gothic" w:eastAsia="MS Gothic" w:hAnsi="MS Gothic" w:cs="MS Gothic" w:hint="eastAsia"/>
          <w:noProof/>
          <w:lang w:val="hy-AM"/>
        </w:rPr>
        <w:t>․</w:t>
      </w:r>
    </w:p>
    <w:p w14:paraId="3EEF77CC" w14:textId="75531466" w:rsidR="00FF40B6" w:rsidRPr="008A3278" w:rsidRDefault="00FF40B6" w:rsidP="008A327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noProof/>
          <w:color w:val="000000"/>
          <w:lang w:val="hy-AM"/>
        </w:rPr>
      </w:pPr>
      <w:r w:rsidRPr="008A3278">
        <w:rPr>
          <w:rFonts w:eastAsia="Times New Roman" w:cs="Times New Roman"/>
          <w:noProof/>
          <w:color w:val="000000"/>
          <w:lang w:val="hy-AM"/>
        </w:rPr>
        <w:t xml:space="preserve">«2. Եթե անձը չի ներկայացրել կենսաթոշակային ֆոնդի ընտրության դիմում, ապա մասնակիցների ռեեստրը վարողը տվյալ անձի անունից կենսաթոշակային ֆոնդի կառավարչի և կենսաթոշակային ֆոնդի ընտրությունից հետո՝ 10 աշխատանքային օրվա ընթացքում, այդ մասին  տեղեկացում է ուղարկում տվյալ անձին մասնակիցների ռեեստրը վարողին ներկայացված որևէ դիմումում նշված </w:t>
      </w:r>
      <w:r w:rsidR="00657AD3" w:rsidRPr="008A3278">
        <w:rPr>
          <w:noProof/>
          <w:lang w:val="hy-AM"/>
        </w:rPr>
        <w:t>կամ այլ կերպ տրամադրված</w:t>
      </w:r>
      <w:r w:rsidR="00657AD3" w:rsidRPr="008A3278">
        <w:rPr>
          <w:rFonts w:eastAsia="Times New Roman" w:cs="Times New Roman"/>
          <w:noProof/>
          <w:color w:val="000000"/>
          <w:lang w:val="hy-AM"/>
        </w:rPr>
        <w:t xml:space="preserve"> </w:t>
      </w:r>
      <w:r w:rsidRPr="008A3278">
        <w:rPr>
          <w:rFonts w:eastAsia="Times New Roman" w:cs="Times New Roman"/>
          <w:noProof/>
          <w:color w:val="000000"/>
          <w:lang w:val="hy-AM"/>
        </w:rPr>
        <w:t>էլեկտրոնային փոստի հասցեով</w:t>
      </w:r>
      <w:r w:rsidR="003C335A" w:rsidRPr="008A3278">
        <w:rPr>
          <w:rFonts w:eastAsia="Times New Roman" w:cs="Times New Roman"/>
          <w:noProof/>
          <w:color w:val="000000"/>
          <w:lang w:val="hy-AM"/>
        </w:rPr>
        <w:t xml:space="preserve">, </w:t>
      </w:r>
      <w:r w:rsidRPr="008A3278">
        <w:rPr>
          <w:rFonts w:eastAsia="Times New Roman" w:cs="Times New Roman"/>
          <w:noProof/>
          <w:color w:val="000000"/>
          <w:lang w:val="hy-AM"/>
        </w:rPr>
        <w:t xml:space="preserve">բացառությամբ այն դեպքի, երբ անձը ներկայացրել է սույն օրենքի 13-րդ հոդվածի 3-րդ մասով նախատեսված դիմում: Ընդ որում, սույն մասի առաջին նախադասությամբ նախատեսված տեղեկացումը պետք է պարունակի Կենտրոնական </w:t>
      </w:r>
      <w:r w:rsidRPr="008A3278">
        <w:rPr>
          <w:rFonts w:eastAsia="Times New Roman" w:cs="Times New Roman"/>
          <w:noProof/>
          <w:color w:val="000000"/>
          <w:lang w:val="hy-AM"/>
        </w:rPr>
        <w:lastRenderedPageBreak/>
        <w:t xml:space="preserve">բանկի նորմատիվ իրավական ակտով սահմանված տեղեկությունները: </w:t>
      </w:r>
      <w:r w:rsidRPr="008A3278">
        <w:rPr>
          <w:noProof/>
          <w:lang w:val="hy-AM"/>
        </w:rPr>
        <w:t xml:space="preserve">Եթե մասնակիցների ռեեստրը վարողի մոտ առկա չէ տվյալ անձի տրամադրած էլեկտրոնային փոստի հասցե, ապա սույն մասում նշված </w:t>
      </w:r>
      <w:r w:rsidR="00FB3E9D" w:rsidRPr="008A3278">
        <w:rPr>
          <w:noProof/>
          <w:lang w:val="hy-AM"/>
        </w:rPr>
        <w:t>տեղեկատվությունն</w:t>
      </w:r>
      <w:r w:rsidRPr="008A3278">
        <w:rPr>
          <w:noProof/>
          <w:lang w:val="hy-AM"/>
        </w:rPr>
        <w:t xml:space="preserve"> անձին կարող է </w:t>
      </w:r>
      <w:r w:rsidR="003C335A" w:rsidRPr="008A3278">
        <w:rPr>
          <w:noProof/>
          <w:lang w:val="hy-AM"/>
        </w:rPr>
        <w:t>տրամադր</w:t>
      </w:r>
      <w:r w:rsidRPr="008A3278">
        <w:rPr>
          <w:noProof/>
          <w:lang w:val="hy-AM"/>
        </w:rPr>
        <w:t>վել «Ինտերնետով հրապարակային և անհատական ծանուցման մասին» Հայաստանի Հանրապետության օրենքով սահմանված՝ անձի պաշտոնական էլեկտրոնային փոստի հասցեով (առկայության դեպքում):»։</w:t>
      </w:r>
    </w:p>
    <w:p w14:paraId="03D39AE4" w14:textId="77777777" w:rsidR="00D95FA1" w:rsidRPr="008A3278" w:rsidRDefault="00D95FA1" w:rsidP="008A3278">
      <w:pPr>
        <w:spacing w:line="360" w:lineRule="auto"/>
        <w:jc w:val="both"/>
        <w:rPr>
          <w:rFonts w:cs="Calibri"/>
          <w:b/>
          <w:color w:val="000000"/>
          <w:shd w:val="clear" w:color="auto" w:fill="FFFFFF"/>
          <w:lang w:val="hy-AM"/>
        </w:rPr>
      </w:pPr>
    </w:p>
    <w:p w14:paraId="67E9BEC5" w14:textId="70FB02C8" w:rsidR="005B390D" w:rsidRPr="008A3278" w:rsidRDefault="00FF40B6" w:rsidP="008A3278">
      <w:pPr>
        <w:spacing w:line="360" w:lineRule="auto"/>
        <w:jc w:val="both"/>
        <w:rPr>
          <w:rFonts w:cs="Courier New"/>
          <w:b/>
          <w:color w:val="000000"/>
          <w:shd w:val="clear" w:color="auto" w:fill="FFFFFF"/>
          <w:lang w:val="hy-AM"/>
        </w:rPr>
      </w:pPr>
      <w:r w:rsidRPr="008A3278">
        <w:rPr>
          <w:rFonts w:cs="Calibri"/>
          <w:b/>
          <w:color w:val="000000"/>
          <w:shd w:val="clear" w:color="auto" w:fill="FFFFFF"/>
          <w:lang w:val="hy-AM"/>
        </w:rPr>
        <w:t>Հոդված 3</w:t>
      </w:r>
      <w:r w:rsidRPr="008A3278">
        <w:rPr>
          <w:rFonts w:ascii="MS Gothic" w:eastAsia="MS Gothic" w:hAnsi="MS Gothic" w:cs="MS Gothic" w:hint="eastAsia"/>
          <w:b/>
          <w:color w:val="000000"/>
          <w:shd w:val="clear" w:color="auto" w:fill="FFFFFF"/>
          <w:lang w:val="hy-AM"/>
        </w:rPr>
        <w:t>․</w:t>
      </w:r>
      <w:r w:rsidRPr="008A3278">
        <w:rPr>
          <w:rFonts w:cs="Courier New"/>
          <w:color w:val="000000"/>
          <w:shd w:val="clear" w:color="auto" w:fill="FFFFFF"/>
          <w:lang w:val="hy-AM"/>
        </w:rPr>
        <w:t xml:space="preserve">Օրենքի 37-րդ հոդվածի 1-ին մասի 2-րդ </w:t>
      </w:r>
      <w:proofErr w:type="spellStart"/>
      <w:r w:rsidR="00D95FA1" w:rsidRPr="008A3278">
        <w:rPr>
          <w:rFonts w:cs="Courier New"/>
          <w:color w:val="000000"/>
          <w:shd w:val="clear" w:color="auto" w:fill="FFFFFF"/>
          <w:lang w:val="hy-AM"/>
        </w:rPr>
        <w:t>կետ</w:t>
      </w:r>
      <w:r w:rsidR="008A60DA" w:rsidRPr="008A3278">
        <w:rPr>
          <w:rFonts w:cs="Courier New"/>
          <w:color w:val="000000"/>
          <w:shd w:val="clear" w:color="auto" w:fill="FFFFFF"/>
          <w:lang w:val="hy-AM"/>
        </w:rPr>
        <w:t>ում</w:t>
      </w:r>
      <w:proofErr w:type="spellEnd"/>
      <w:r w:rsidRPr="008A3278">
        <w:rPr>
          <w:rFonts w:cs="Courier New"/>
          <w:color w:val="000000"/>
          <w:shd w:val="clear" w:color="auto" w:fill="FFFFFF"/>
          <w:lang w:val="hy-AM"/>
        </w:rPr>
        <w:t xml:space="preserve"> «25» թիվը փոխարինել «35» թվով։</w:t>
      </w:r>
      <w:r w:rsidRPr="008A3278">
        <w:rPr>
          <w:rFonts w:cs="Courier New"/>
          <w:b/>
          <w:color w:val="000000"/>
          <w:shd w:val="clear" w:color="auto" w:fill="FFFFFF"/>
          <w:lang w:val="hy-AM"/>
        </w:rPr>
        <w:t xml:space="preserve"> </w:t>
      </w:r>
    </w:p>
    <w:p w14:paraId="0D487046" w14:textId="77777777" w:rsidR="00D95FA1" w:rsidRPr="008A3278" w:rsidRDefault="00D95FA1" w:rsidP="008A3278">
      <w:pPr>
        <w:spacing w:line="360" w:lineRule="auto"/>
        <w:jc w:val="both"/>
        <w:rPr>
          <w:rFonts w:cs="Courier New"/>
          <w:b/>
          <w:color w:val="000000"/>
          <w:shd w:val="clear" w:color="auto" w:fill="FFFFFF"/>
          <w:lang w:val="hy-AM"/>
        </w:rPr>
      </w:pPr>
      <w:r w:rsidRPr="008A3278">
        <w:rPr>
          <w:rFonts w:cs="Courier New"/>
          <w:b/>
          <w:color w:val="000000"/>
          <w:shd w:val="clear" w:color="auto" w:fill="FFFFFF"/>
          <w:lang w:val="hy-AM"/>
        </w:rPr>
        <w:t>Հոդված 4</w:t>
      </w:r>
      <w:r w:rsidRPr="008A3278">
        <w:rPr>
          <w:rFonts w:ascii="MS Gothic" w:eastAsia="MS Gothic" w:hAnsi="MS Gothic" w:cs="MS Gothic" w:hint="eastAsia"/>
          <w:b/>
          <w:color w:val="000000"/>
          <w:shd w:val="clear" w:color="auto" w:fill="FFFFFF"/>
          <w:lang w:val="hy-AM"/>
        </w:rPr>
        <w:t>․</w:t>
      </w:r>
      <w:r w:rsidRPr="008A3278">
        <w:rPr>
          <w:rFonts w:cs="Courier New"/>
          <w:b/>
          <w:color w:val="000000"/>
          <w:shd w:val="clear" w:color="auto" w:fill="FFFFFF"/>
          <w:lang w:val="hy-AM"/>
        </w:rPr>
        <w:t xml:space="preserve"> </w:t>
      </w:r>
      <w:r w:rsidRPr="008A3278">
        <w:rPr>
          <w:rFonts w:cs="Courier New"/>
          <w:color w:val="000000"/>
          <w:shd w:val="clear" w:color="auto" w:fill="FFFFFF"/>
          <w:lang w:val="hy-AM"/>
        </w:rPr>
        <w:t xml:space="preserve">Օրենքի 38-րդ </w:t>
      </w:r>
      <w:r w:rsidR="00FB42EE" w:rsidRPr="008A3278">
        <w:rPr>
          <w:rFonts w:cs="Courier New"/>
          <w:color w:val="000000"/>
          <w:shd w:val="clear" w:color="auto" w:fill="FFFFFF"/>
          <w:lang w:val="hy-AM"/>
        </w:rPr>
        <w:t>հոդվածի՝</w:t>
      </w:r>
    </w:p>
    <w:p w14:paraId="2F07E5B4" w14:textId="77777777" w:rsidR="00FB42EE" w:rsidRPr="008A3278" w:rsidRDefault="002E4831" w:rsidP="008A327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3-րդ մասի 2</w:t>
      </w:r>
      <w:r w:rsidR="00FB42EE"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-րդ կետը շարադրել </w:t>
      </w:r>
      <w:proofErr w:type="spellStart"/>
      <w:r w:rsidR="00FB42EE" w:rsidRPr="008A3278">
        <w:rPr>
          <w:rFonts w:ascii="GHEA Grapalat" w:hAnsi="GHEA Grapalat"/>
          <w:color w:val="000000"/>
          <w:sz w:val="22"/>
          <w:szCs w:val="22"/>
          <w:lang w:val="hy-AM"/>
        </w:rPr>
        <w:t>հետևյալ</w:t>
      </w:r>
      <w:proofErr w:type="spellEnd"/>
      <w:r w:rsidR="00FB42EE"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 խմբագրությամբ</w:t>
      </w:r>
      <w:r w:rsidR="00FB42EE" w:rsidRPr="008A3278">
        <w:rPr>
          <w:rFonts w:ascii="MS Gothic" w:eastAsia="MS Gothic" w:hAnsi="MS Gothic" w:cs="MS Gothic" w:hint="eastAsia"/>
          <w:color w:val="000000"/>
          <w:sz w:val="22"/>
          <w:szCs w:val="22"/>
          <w:lang w:val="hy-AM"/>
        </w:rPr>
        <w:t>․</w:t>
      </w:r>
    </w:p>
    <w:p w14:paraId="7B55ED1B" w14:textId="718576AB" w:rsidR="00D95FA1" w:rsidRPr="008A3278" w:rsidRDefault="00D95FA1" w:rsidP="008A32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2E4831" w:rsidRPr="008A3278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) </w:t>
      </w:r>
      <w:r w:rsidR="002E4831" w:rsidRPr="008A3278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Հանրապետության, Հայաստանի Հանրապետության համայնքների, Կենտրոնական բանկի թողարկած կամ ամբողջությամբ երաշխավորած արժեթղթերում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,</w:t>
      </w:r>
      <w:r w:rsidR="00FB42EE" w:rsidRPr="008A3278">
        <w:rPr>
          <w:rFonts w:ascii="GHEA Grapalat" w:hAnsi="GHEA Grapalat"/>
          <w:color w:val="000000"/>
          <w:sz w:val="22"/>
          <w:szCs w:val="22"/>
          <w:lang w:val="hy-AM"/>
        </w:rPr>
        <w:t>»,</w:t>
      </w:r>
    </w:p>
    <w:p w14:paraId="2A761BB9" w14:textId="09CFD7C2" w:rsidR="00C235D0" w:rsidRPr="008A3278" w:rsidRDefault="00C235D0" w:rsidP="008A327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lang w:val="hy-AM"/>
        </w:rPr>
        <w:t xml:space="preserve"> 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3-րդ մասը լրացնել </w:t>
      </w:r>
      <w:proofErr w:type="spellStart"/>
      <w:r w:rsidR="004A1C58" w:rsidRPr="008A3278">
        <w:rPr>
          <w:rFonts w:ascii="GHEA Grapalat" w:hAnsi="GHEA Grapalat"/>
          <w:color w:val="000000"/>
          <w:sz w:val="22"/>
          <w:szCs w:val="22"/>
          <w:lang w:val="hy-AM"/>
        </w:rPr>
        <w:t>հետևյալ</w:t>
      </w:r>
      <w:proofErr w:type="spellEnd"/>
      <w:r w:rsidR="004A1C58"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 բովանդակությամբ 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6-րդ կետով.</w:t>
      </w:r>
    </w:p>
    <w:p w14:paraId="101245E0" w14:textId="552AE8AF" w:rsidR="00D95FA1" w:rsidRPr="008A3278" w:rsidRDefault="00C235D0" w:rsidP="008A327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8A3278">
        <w:rPr>
          <w:rFonts w:eastAsia="Times New Roman" w:cs="Times New Roman"/>
          <w:color w:val="000000"/>
          <w:lang w:val="hy-AM"/>
        </w:rPr>
        <w:t>«</w:t>
      </w:r>
      <w:r w:rsidR="00D95FA1" w:rsidRPr="008A3278">
        <w:rPr>
          <w:rFonts w:eastAsia="Times New Roman" w:cs="Times New Roman"/>
          <w:color w:val="000000"/>
          <w:lang w:val="hy-AM"/>
        </w:rPr>
        <w:t xml:space="preserve">6) </w:t>
      </w:r>
      <w:r w:rsidR="00BC5922" w:rsidRPr="008A3278">
        <w:rPr>
          <w:rFonts w:eastAsia="Times New Roman" w:cs="Times New Roman"/>
          <w:color w:val="000000"/>
          <w:lang w:val="hy-AM"/>
        </w:rPr>
        <w:t>սույն մ</w:t>
      </w:r>
      <w:r w:rsidR="001E1680" w:rsidRPr="008A3278">
        <w:rPr>
          <w:rFonts w:eastAsia="Times New Roman" w:cs="Times New Roman"/>
          <w:color w:val="000000"/>
          <w:lang w:val="hy-AM"/>
        </w:rPr>
        <w:t>ասի 1-5-րդ կետերում</w:t>
      </w:r>
      <w:r w:rsidR="005229B1" w:rsidRPr="008A3278">
        <w:rPr>
          <w:rFonts w:eastAsia="Times New Roman" w:cs="Times New Roman"/>
          <w:color w:val="000000"/>
          <w:lang w:val="hy-AM"/>
        </w:rPr>
        <w:t xml:space="preserve"> չնշված</w:t>
      </w:r>
      <w:r w:rsidR="00AE61D5" w:rsidRPr="008A3278">
        <w:rPr>
          <w:rFonts w:eastAsia="Times New Roman" w:cs="Times New Roman"/>
          <w:color w:val="000000"/>
          <w:lang w:val="hy-AM"/>
        </w:rPr>
        <w:t xml:space="preserve"> այլ ֆինանսական </w:t>
      </w:r>
      <w:proofErr w:type="spellStart"/>
      <w:r w:rsidR="00AE61D5" w:rsidRPr="008A3278">
        <w:rPr>
          <w:rFonts w:eastAsia="Times New Roman" w:cs="Times New Roman"/>
          <w:color w:val="000000"/>
          <w:lang w:val="hy-AM"/>
        </w:rPr>
        <w:t>գործիքներում</w:t>
      </w:r>
      <w:proofErr w:type="spellEnd"/>
      <w:r w:rsidR="00D95FA1" w:rsidRPr="008A3278">
        <w:rPr>
          <w:rFonts w:eastAsia="Times New Roman" w:cs="Times New Roman"/>
          <w:color w:val="000000"/>
          <w:lang w:val="hy-AM"/>
        </w:rPr>
        <w:t>:»։</w:t>
      </w:r>
    </w:p>
    <w:p w14:paraId="38FB6A41" w14:textId="6DB7952A" w:rsidR="00695176" w:rsidRPr="008A3278" w:rsidRDefault="00695176" w:rsidP="008A327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lang w:val="hy-AM"/>
        </w:rPr>
      </w:pPr>
      <w:r w:rsidRPr="008A3278">
        <w:rPr>
          <w:rFonts w:eastAsia="Times New Roman" w:cs="Times New Roman"/>
          <w:color w:val="000000"/>
          <w:lang w:val="hy-AM"/>
        </w:rPr>
        <w:t xml:space="preserve">4-րդ մասը շարադրել </w:t>
      </w:r>
      <w:proofErr w:type="spellStart"/>
      <w:r w:rsidRPr="008A3278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Pr="008A3278">
        <w:rPr>
          <w:rFonts w:eastAsia="Times New Roman" w:cs="Times New Roman"/>
          <w:color w:val="000000"/>
          <w:lang w:val="hy-AM"/>
        </w:rPr>
        <w:t xml:space="preserve"> խմբագրությամբ. </w:t>
      </w:r>
    </w:p>
    <w:p w14:paraId="11BA099E" w14:textId="007E40A6" w:rsidR="00695176" w:rsidRPr="008A3278" w:rsidRDefault="00695176" w:rsidP="008A3278">
      <w:pPr>
        <w:pStyle w:val="ListParagraph"/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lang w:val="hy-AM"/>
        </w:rPr>
      </w:pPr>
      <w:r w:rsidRPr="008A3278">
        <w:rPr>
          <w:color w:val="000000"/>
          <w:shd w:val="clear" w:color="auto" w:fill="FFFFFF"/>
          <w:lang w:val="hy-AM"/>
        </w:rPr>
        <w:t>«</w:t>
      </w:r>
      <w:r w:rsidR="00291436" w:rsidRPr="008A3278">
        <w:rPr>
          <w:color w:val="000000"/>
          <w:shd w:val="clear" w:color="auto" w:fill="FFFFFF"/>
          <w:lang w:val="hy-AM"/>
        </w:rPr>
        <w:t xml:space="preserve">4. Կենտրոնական բանկի նորմատիվ իրավական ակտերով կարող են սահմանվել թողարկողների (ներառյալ` բանկերի` բանկային ավանդների մասով) և (կամ) դրանց թողարկած արժեթղթերի, սույն հոդվածի 3-րդ մասի 6-րդ կետով նախատեսված ֆինանսական գործիքների, այդ արժեթղթերով և ֆինանսական գործիքներով գործարքների, </w:t>
      </w:r>
      <w:proofErr w:type="spellStart"/>
      <w:r w:rsidR="00291436" w:rsidRPr="008A3278">
        <w:rPr>
          <w:color w:val="000000"/>
          <w:shd w:val="clear" w:color="auto" w:fill="FFFFFF"/>
          <w:lang w:val="hy-AM"/>
        </w:rPr>
        <w:t>ռեպո</w:t>
      </w:r>
      <w:proofErr w:type="spellEnd"/>
      <w:r w:rsidR="00291436" w:rsidRPr="008A3278">
        <w:rPr>
          <w:color w:val="000000"/>
          <w:shd w:val="clear" w:color="auto" w:fill="FFFFFF"/>
          <w:lang w:val="hy-AM"/>
        </w:rPr>
        <w:t xml:space="preserve"> (հակադարձ </w:t>
      </w:r>
      <w:proofErr w:type="spellStart"/>
      <w:r w:rsidR="00291436" w:rsidRPr="008A3278">
        <w:rPr>
          <w:color w:val="000000"/>
          <w:shd w:val="clear" w:color="auto" w:fill="FFFFFF"/>
          <w:lang w:val="hy-AM"/>
        </w:rPr>
        <w:t>ռեպո</w:t>
      </w:r>
      <w:proofErr w:type="spellEnd"/>
      <w:r w:rsidR="00291436" w:rsidRPr="008A3278">
        <w:rPr>
          <w:color w:val="000000"/>
          <w:shd w:val="clear" w:color="auto" w:fill="FFFFFF"/>
          <w:lang w:val="hy-AM"/>
        </w:rPr>
        <w:t>) գործարքների նկատմամբ նվազագույն չափանիշներ և պայմաններ, ինչպես նաև պարտադիր կենսաթոշակային ֆոնդի հաշվին ածանցյալ ֆինանսական գործիքներով կնքվող գործարքների պայմաններ (այդ թվում՝ տեսակները, գործարքի կողմերը):</w:t>
      </w:r>
      <w:r w:rsidR="001224BA" w:rsidRPr="008A3278">
        <w:rPr>
          <w:color w:val="000000"/>
          <w:shd w:val="clear" w:color="auto" w:fill="FFFFFF"/>
          <w:lang w:val="hy-AM"/>
        </w:rPr>
        <w:t>»</w:t>
      </w:r>
    </w:p>
    <w:p w14:paraId="280F68A9" w14:textId="77777777" w:rsidR="00D95FA1" w:rsidRPr="008A3278" w:rsidRDefault="00D95FA1" w:rsidP="008A32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722EDD67" w14:textId="77777777" w:rsidR="00FB42EE" w:rsidRPr="008A3278" w:rsidRDefault="00D95FA1" w:rsidP="008A3278">
      <w:pPr>
        <w:spacing w:line="360" w:lineRule="auto"/>
        <w:jc w:val="both"/>
        <w:rPr>
          <w:color w:val="000000"/>
          <w:lang w:val="hy-AM"/>
        </w:rPr>
      </w:pPr>
      <w:r w:rsidRPr="008A3278">
        <w:rPr>
          <w:b/>
          <w:color w:val="000000"/>
          <w:lang w:val="hy-AM"/>
        </w:rPr>
        <w:t>Հոդված 5</w:t>
      </w:r>
      <w:r w:rsidRPr="008A3278">
        <w:rPr>
          <w:rFonts w:ascii="MS Gothic" w:eastAsia="MS Gothic" w:hAnsi="MS Gothic" w:cs="MS Gothic" w:hint="eastAsia"/>
          <w:b/>
          <w:color w:val="000000"/>
          <w:lang w:val="hy-AM"/>
        </w:rPr>
        <w:t>․</w:t>
      </w:r>
      <w:r w:rsidRPr="008A3278">
        <w:rPr>
          <w:b/>
          <w:color w:val="000000"/>
          <w:lang w:val="hy-AM"/>
        </w:rPr>
        <w:t xml:space="preserve"> </w:t>
      </w:r>
      <w:r w:rsidR="00FB42EE" w:rsidRPr="008A3278">
        <w:rPr>
          <w:color w:val="000000"/>
          <w:lang w:val="hy-AM"/>
        </w:rPr>
        <w:t>Օրենքի 39-րդ հոդվածի</w:t>
      </w:r>
      <w:r w:rsidR="00160624" w:rsidRPr="008A3278">
        <w:rPr>
          <w:color w:val="000000"/>
          <w:lang w:val="hy-AM"/>
        </w:rPr>
        <w:t>՝</w:t>
      </w:r>
    </w:p>
    <w:p w14:paraId="37B149A9" w14:textId="77777777" w:rsidR="005A0AA1" w:rsidRDefault="00FB42EE" w:rsidP="008A32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5-րդ մաս</w:t>
      </w:r>
      <w:r w:rsidR="005A0AA1">
        <w:rPr>
          <w:rFonts w:ascii="GHEA Grapalat" w:hAnsi="GHEA Grapalat"/>
          <w:color w:val="000000"/>
          <w:sz w:val="22"/>
          <w:szCs w:val="22"/>
          <w:lang w:val="hy-AM"/>
        </w:rPr>
        <w:t xml:space="preserve">ը շարադրել </w:t>
      </w:r>
      <w:proofErr w:type="spellStart"/>
      <w:r w:rsidR="005A0AA1">
        <w:rPr>
          <w:rFonts w:ascii="GHEA Grapalat" w:hAnsi="GHEA Grapalat"/>
          <w:color w:val="000000"/>
          <w:sz w:val="22"/>
          <w:szCs w:val="22"/>
          <w:lang w:val="hy-AM"/>
        </w:rPr>
        <w:t>հետևյալ</w:t>
      </w:r>
      <w:proofErr w:type="spellEnd"/>
      <w:r w:rsidR="005A0AA1">
        <w:rPr>
          <w:rFonts w:ascii="GHEA Grapalat" w:hAnsi="GHEA Grapalat"/>
          <w:color w:val="000000"/>
          <w:sz w:val="22"/>
          <w:szCs w:val="22"/>
          <w:lang w:val="hy-AM"/>
        </w:rPr>
        <w:t xml:space="preserve"> խմբագրությամբ.</w:t>
      </w:r>
    </w:p>
    <w:p w14:paraId="0AF0B999" w14:textId="1A457290" w:rsidR="00D95FA1" w:rsidRPr="008A3278" w:rsidRDefault="005A0AA1" w:rsidP="000567D4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0567D4">
        <w:rPr>
          <w:rFonts w:ascii="GHEA Grapalat" w:hAnsi="GHEA Grapalat"/>
          <w:color w:val="000000"/>
          <w:sz w:val="22"/>
          <w:szCs w:val="22"/>
          <w:lang w:val="hy-AM"/>
        </w:rPr>
        <w:t>«5.</w:t>
      </w:r>
      <w:r w:rsidRPr="000567D4">
        <w:rPr>
          <w:lang w:val="hy-AM"/>
        </w:rPr>
        <w:t xml:space="preserve"> </w:t>
      </w:r>
      <w:r w:rsidRPr="000567D4">
        <w:rPr>
          <w:rFonts w:ascii="GHEA Grapalat" w:hAnsi="GHEA Grapalat"/>
          <w:color w:val="000000"/>
          <w:sz w:val="22"/>
          <w:szCs w:val="22"/>
          <w:lang w:val="hy-AM"/>
        </w:rPr>
        <w:t xml:space="preserve">Արտասահմանյան պետությունների կամ այդ պետությունների կենտրոնական բանկերի կողմից թողարկված կամ ամբողջությամբ երաշխավորված արժեթղթերում կատարվող ներդրումների ընդհանուր ծավալը չի կարող գերազանցել տվյալ պարտադիր կենսաթոշակային ֆոնդի ակտիվների 40 տոկոսը, ընդ որում, մեկ </w:t>
      </w:r>
      <w:proofErr w:type="spellStart"/>
      <w:r w:rsidRPr="000567D4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թողարկումում</w:t>
      </w:r>
      <w:proofErr w:type="spellEnd"/>
      <w:r w:rsidRPr="000567D4">
        <w:rPr>
          <w:rFonts w:ascii="GHEA Grapalat" w:hAnsi="GHEA Grapalat"/>
          <w:color w:val="000000"/>
          <w:sz w:val="22"/>
          <w:szCs w:val="22"/>
          <w:lang w:val="hy-AM"/>
        </w:rPr>
        <w:t xml:space="preserve"> (</w:t>
      </w:r>
      <w:proofErr w:type="spellStart"/>
      <w:r w:rsidRPr="000567D4">
        <w:rPr>
          <w:rFonts w:ascii="GHEA Grapalat" w:hAnsi="GHEA Grapalat"/>
          <w:color w:val="000000"/>
          <w:sz w:val="22"/>
          <w:szCs w:val="22"/>
          <w:lang w:val="hy-AM"/>
        </w:rPr>
        <w:t>տրանշում</w:t>
      </w:r>
      <w:proofErr w:type="spellEnd"/>
      <w:r w:rsidRPr="000567D4">
        <w:rPr>
          <w:rFonts w:ascii="GHEA Grapalat" w:hAnsi="GHEA Grapalat"/>
          <w:color w:val="000000"/>
          <w:sz w:val="22"/>
          <w:szCs w:val="22"/>
          <w:lang w:val="hy-AM"/>
        </w:rPr>
        <w:t xml:space="preserve">) ներդրումների արժեքը չի կարող գերազանցել ֆոնդի ակտիվների </w:t>
      </w:r>
      <w:r w:rsidR="00FC5E1F" w:rsidRPr="000567D4">
        <w:rPr>
          <w:rFonts w:ascii="GHEA Grapalat" w:hAnsi="GHEA Grapalat"/>
          <w:color w:val="000000"/>
          <w:sz w:val="22"/>
          <w:szCs w:val="22"/>
          <w:lang w:val="hy-AM"/>
        </w:rPr>
        <w:t>20</w:t>
      </w:r>
      <w:r w:rsidRPr="000567D4">
        <w:rPr>
          <w:rFonts w:ascii="GHEA Grapalat" w:hAnsi="GHEA Grapalat"/>
          <w:color w:val="000000"/>
          <w:sz w:val="22"/>
          <w:szCs w:val="22"/>
          <w:lang w:val="hy-AM"/>
        </w:rPr>
        <w:t xml:space="preserve"> տոկոսը</w:t>
      </w:r>
      <w:r w:rsidR="006F77F1" w:rsidRPr="000567D4">
        <w:rPr>
          <w:rFonts w:ascii="GHEA Grapalat" w:hAnsi="GHEA Grapalat"/>
          <w:color w:val="000000"/>
          <w:sz w:val="22"/>
          <w:szCs w:val="22"/>
          <w:lang w:val="hy-AM"/>
        </w:rPr>
        <w:t xml:space="preserve">, եթե այլ բան նախատեսված չէ </w:t>
      </w:r>
      <w:r w:rsidR="00C02595" w:rsidRPr="000567D4">
        <w:rPr>
          <w:rFonts w:ascii="GHEA Grapalat" w:hAnsi="GHEA Grapalat"/>
          <w:color w:val="000000"/>
          <w:sz w:val="22"/>
          <w:szCs w:val="22"/>
          <w:lang w:val="hy-AM"/>
        </w:rPr>
        <w:t>սույն հոդվածի 16-րդ մասով</w:t>
      </w:r>
      <w:r w:rsidRPr="000567D4">
        <w:rPr>
          <w:rFonts w:ascii="GHEA Grapalat" w:hAnsi="GHEA Grapalat"/>
          <w:color w:val="000000"/>
          <w:sz w:val="22"/>
          <w:szCs w:val="22"/>
          <w:lang w:val="hy-AM"/>
        </w:rPr>
        <w:t>:»</w:t>
      </w:r>
      <w:r w:rsidR="00C02595" w:rsidRPr="000567D4">
        <w:rPr>
          <w:rFonts w:ascii="GHEA Grapalat" w:hAnsi="GHEA Grapalat"/>
          <w:color w:val="000000"/>
          <w:sz w:val="22"/>
          <w:szCs w:val="22"/>
          <w:lang w:val="hy-AM"/>
        </w:rPr>
        <w:t>,</w:t>
      </w:r>
      <w:r w:rsidR="0082179D" w:rsidRPr="000567D4">
        <w:rPr>
          <w:rFonts w:ascii="GHEA Grapalat" w:hAnsi="GHEA Grapalat"/>
          <w:color w:val="000000"/>
          <w:sz w:val="22"/>
          <w:szCs w:val="22"/>
          <w:lang w:val="hy-AM"/>
        </w:rPr>
        <w:t>,</w:t>
      </w:r>
    </w:p>
    <w:p w14:paraId="500CDBC0" w14:textId="77777777" w:rsidR="00FB42EE" w:rsidRPr="008A3278" w:rsidRDefault="00FB42EE" w:rsidP="008A32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7-րդ մասում «հիմնադրամների» բառը փոխարինել «ֆոնդերի»</w:t>
      </w:r>
      <w:r w:rsidR="0082179D"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 բառով,</w:t>
      </w:r>
    </w:p>
    <w:p w14:paraId="5B4F482C" w14:textId="06B9E7F9" w:rsidR="009660DA" w:rsidRPr="008A3278" w:rsidRDefault="009660DA" w:rsidP="008A32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9-րդ մասում «պարտադիր կենսաթոշակային ֆոնդի ակտիվների 10 տոկոսը</w:t>
      </w:r>
      <w:r w:rsidR="00F52127" w:rsidRPr="008A3278">
        <w:rPr>
          <w:rFonts w:ascii="GHEA Grapalat" w:hAnsi="GHEA Grapalat"/>
          <w:color w:val="000000"/>
          <w:sz w:val="22"/>
          <w:szCs w:val="22"/>
          <w:lang w:val="hy-AM"/>
        </w:rPr>
        <w:t>» բառերը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 փոխարինել «սույն հոդվածի 9.1-րդ մասով սահմանված սահմանաչափը</w:t>
      </w:r>
      <w:r w:rsidR="00F52127" w:rsidRPr="008A3278">
        <w:rPr>
          <w:rFonts w:ascii="GHEA Grapalat" w:hAnsi="GHEA Grapalat"/>
          <w:color w:val="000000"/>
          <w:sz w:val="22"/>
          <w:szCs w:val="22"/>
          <w:lang w:val="hy-AM"/>
        </w:rPr>
        <w:t>» բառերով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,</w:t>
      </w:r>
    </w:p>
    <w:p w14:paraId="1857454C" w14:textId="06B58118" w:rsidR="005F58DD" w:rsidRPr="008A3278" w:rsidRDefault="005F58DD" w:rsidP="008A32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9-րդ մասից հետո լրացնել </w:t>
      </w:r>
      <w:proofErr w:type="spellStart"/>
      <w:r w:rsidR="0081201B" w:rsidRPr="008A3278">
        <w:rPr>
          <w:rFonts w:ascii="GHEA Grapalat" w:hAnsi="GHEA Grapalat"/>
          <w:color w:val="000000"/>
          <w:sz w:val="22"/>
          <w:szCs w:val="22"/>
          <w:lang w:val="hy-AM"/>
        </w:rPr>
        <w:t>հետևյալ</w:t>
      </w:r>
      <w:proofErr w:type="spellEnd"/>
      <w:r w:rsidR="0081201B"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 բովանդակությամբ 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9</w:t>
      </w:r>
      <w:r w:rsidRPr="008A3278">
        <w:rPr>
          <w:rFonts w:ascii="MS Gothic" w:eastAsia="MS Gothic" w:hAnsi="MS Gothic" w:cs="MS Gothic" w:hint="eastAsia"/>
          <w:color w:val="000000"/>
          <w:sz w:val="22"/>
          <w:szCs w:val="22"/>
          <w:lang w:val="hy-AM"/>
        </w:rPr>
        <w:t>․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1 </w:t>
      </w:r>
      <w:r w:rsidRPr="008A3278">
        <w:rPr>
          <w:rFonts w:ascii="GHEA Grapalat" w:hAnsi="GHEA Grapalat" w:cs="GHEA Grapalat"/>
          <w:color w:val="000000"/>
          <w:sz w:val="22"/>
          <w:szCs w:val="22"/>
          <w:lang w:val="hy-AM"/>
        </w:rPr>
        <w:t>մասով</w:t>
      </w:r>
      <w:r w:rsidRPr="008A3278">
        <w:rPr>
          <w:rFonts w:ascii="MS Gothic" w:eastAsia="MS Gothic" w:hAnsi="MS Gothic" w:cs="MS Gothic" w:hint="eastAsia"/>
          <w:color w:val="000000"/>
          <w:sz w:val="22"/>
          <w:szCs w:val="22"/>
          <w:lang w:val="hy-AM"/>
        </w:rPr>
        <w:t>․</w:t>
      </w:r>
    </w:p>
    <w:p w14:paraId="670A2157" w14:textId="6A497578" w:rsidR="005F58DD" w:rsidRPr="008A3278" w:rsidRDefault="005F58DD" w:rsidP="008A3278">
      <w:pPr>
        <w:shd w:val="clear" w:color="auto" w:fill="FFFFFF"/>
        <w:spacing w:after="0" w:line="360" w:lineRule="auto"/>
        <w:ind w:firstLine="375"/>
        <w:jc w:val="both"/>
        <w:rPr>
          <w:color w:val="000000"/>
          <w:lang w:val="hy-AM"/>
        </w:rPr>
      </w:pPr>
      <w:r w:rsidRPr="008A3278">
        <w:rPr>
          <w:rFonts w:eastAsia="MS Gothic" w:cs="MS Gothic"/>
          <w:color w:val="000000"/>
          <w:lang w:val="hy-AM"/>
        </w:rPr>
        <w:t>«</w:t>
      </w:r>
      <w:r w:rsidRPr="008A3278">
        <w:rPr>
          <w:color w:val="000000"/>
          <w:lang w:val="hy-AM"/>
        </w:rPr>
        <w:t xml:space="preserve">9.1. Սույն օրենքի 38-րդ հոդվածի 3-րդ մասի 6-րդ կետով սահմանված </w:t>
      </w:r>
      <w:r w:rsidR="00AE61D5" w:rsidRPr="008A3278">
        <w:rPr>
          <w:color w:val="000000"/>
          <w:lang w:val="hy-AM"/>
        </w:rPr>
        <w:t xml:space="preserve">ֆինանսական </w:t>
      </w:r>
      <w:proofErr w:type="spellStart"/>
      <w:r w:rsidR="00AE61D5" w:rsidRPr="008A3278">
        <w:rPr>
          <w:color w:val="000000"/>
          <w:lang w:val="hy-AM"/>
        </w:rPr>
        <w:t>գործիքներում</w:t>
      </w:r>
      <w:proofErr w:type="spellEnd"/>
      <w:r w:rsidR="00AE61D5" w:rsidRPr="008A3278">
        <w:rPr>
          <w:color w:val="000000"/>
          <w:lang w:val="hy-AM"/>
        </w:rPr>
        <w:t xml:space="preserve"> </w:t>
      </w:r>
      <w:r w:rsidRPr="008A3278">
        <w:rPr>
          <w:color w:val="000000"/>
          <w:lang w:val="hy-AM"/>
        </w:rPr>
        <w:t>և սույն հոդվածի 9-րդ մասի 1-ին և 2-րդ կետերով սահմանված ներդրումային ֆոնդեր</w:t>
      </w:r>
      <w:r w:rsidR="009660DA" w:rsidRPr="008A3278">
        <w:rPr>
          <w:color w:val="000000"/>
          <w:lang w:val="hy-AM"/>
        </w:rPr>
        <w:t>ի թողարկած արժեթղթերում</w:t>
      </w:r>
      <w:r w:rsidRPr="008A3278">
        <w:rPr>
          <w:color w:val="000000"/>
          <w:lang w:val="hy-AM"/>
        </w:rPr>
        <w:t xml:space="preserve"> կատարվող ներդրումները չպետք է գերազանցեն տվյալ պարտադիր կենսաթոշակային ֆոնդի ակտիվների 10 տոկոսը:</w:t>
      </w:r>
      <w:r w:rsidR="005229B1" w:rsidRPr="008A3278">
        <w:rPr>
          <w:color w:val="000000"/>
          <w:lang w:val="hy-AM"/>
        </w:rPr>
        <w:t xml:space="preserve"> Սույն մասով սահմանված սահմանաչափը չի տարածվում </w:t>
      </w:r>
      <w:r w:rsidR="001E1680" w:rsidRPr="008A3278">
        <w:rPr>
          <w:color w:val="000000"/>
          <w:lang w:val="hy-AM"/>
        </w:rPr>
        <w:t xml:space="preserve">սույն </w:t>
      </w:r>
      <w:r w:rsidR="005229B1" w:rsidRPr="008A3278">
        <w:rPr>
          <w:color w:val="000000"/>
          <w:lang w:val="hy-AM"/>
        </w:rPr>
        <w:t>հոդվածի 24-րդ մաս</w:t>
      </w:r>
      <w:r w:rsidR="008D66A8" w:rsidRPr="008A3278">
        <w:rPr>
          <w:color w:val="000000"/>
          <w:lang w:val="hy-AM"/>
        </w:rPr>
        <w:t>ով</w:t>
      </w:r>
      <w:r w:rsidR="00896EA6" w:rsidRPr="008A3278">
        <w:rPr>
          <w:color w:val="000000"/>
          <w:lang w:val="hy-AM"/>
        </w:rPr>
        <w:t xml:space="preserve"> </w:t>
      </w:r>
      <w:r w:rsidR="005229B1" w:rsidRPr="008A3278">
        <w:rPr>
          <w:color w:val="000000"/>
          <w:lang w:val="hy-AM"/>
        </w:rPr>
        <w:t>սահմանված արժեթղթերի վրա</w:t>
      </w:r>
      <w:r w:rsidR="008D66A8" w:rsidRPr="008A3278">
        <w:rPr>
          <w:color w:val="000000"/>
          <w:lang w:val="hy-AM"/>
        </w:rPr>
        <w:t xml:space="preserve">, բացառությամբ այն դեպքի, երբ </w:t>
      </w:r>
      <w:r w:rsidR="008D66A8" w:rsidRPr="008A3278">
        <w:rPr>
          <w:rFonts w:eastAsia="Times New Roman" w:cs="Times New Roman"/>
          <w:noProof/>
          <w:color w:val="000000"/>
          <w:lang w:val="hy-AM"/>
        </w:rPr>
        <w:t xml:space="preserve">թողարկմանը հաջորդող 12 ամսվա ընթացքում </w:t>
      </w:r>
      <w:r w:rsidR="008D66A8" w:rsidRPr="008A3278">
        <w:rPr>
          <w:color w:val="000000"/>
          <w:lang w:val="hy-AM"/>
        </w:rPr>
        <w:t>դրանք</w:t>
      </w:r>
      <w:r w:rsidR="008D66A8" w:rsidRPr="008A3278">
        <w:rPr>
          <w:rFonts w:eastAsia="Times New Roman" w:cs="Times New Roman"/>
          <w:noProof/>
          <w:color w:val="000000"/>
          <w:lang w:val="hy-AM"/>
        </w:rPr>
        <w:t xml:space="preserve"> չեն թույլատրվում կարգավորվող շուկայում առևտրին</w:t>
      </w:r>
      <w:r w:rsidR="005229B1" w:rsidRPr="008A3278">
        <w:rPr>
          <w:color w:val="000000"/>
          <w:lang w:val="hy-AM"/>
        </w:rPr>
        <w:t>:</w:t>
      </w:r>
      <w:r w:rsidRPr="008A3278">
        <w:rPr>
          <w:color w:val="000000"/>
          <w:lang w:val="hy-AM"/>
        </w:rPr>
        <w:t>»,</w:t>
      </w:r>
    </w:p>
    <w:p w14:paraId="0AADF14F" w14:textId="77777777" w:rsidR="0082179D" w:rsidRPr="008A3278" w:rsidRDefault="0082179D" w:rsidP="008A32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16-րդ մասը շարադրել </w:t>
      </w:r>
      <w:proofErr w:type="spellStart"/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>հետևյալ</w:t>
      </w:r>
      <w:proofErr w:type="spellEnd"/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 խմբագրությամբ</w:t>
      </w:r>
      <w:r w:rsidRPr="008A3278">
        <w:rPr>
          <w:rFonts w:ascii="MS Gothic" w:eastAsia="MS Gothic" w:hAnsi="MS Gothic" w:cs="MS Gothic" w:hint="eastAsia"/>
          <w:color w:val="000000"/>
          <w:sz w:val="22"/>
          <w:szCs w:val="22"/>
          <w:lang w:val="hy-AM"/>
        </w:rPr>
        <w:t>․</w:t>
      </w:r>
    </w:p>
    <w:p w14:paraId="1EF42B74" w14:textId="672EC566" w:rsidR="0082179D" w:rsidRPr="008A3278" w:rsidRDefault="0082179D" w:rsidP="008A327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8A3278">
        <w:rPr>
          <w:rFonts w:eastAsia="Times New Roman" w:cs="Times New Roman"/>
          <w:color w:val="000000"/>
          <w:lang w:val="hy-AM"/>
        </w:rPr>
        <w:t>«16.</w:t>
      </w:r>
      <w:r w:rsidR="00091C2C" w:rsidRPr="008A3278">
        <w:rPr>
          <w:rFonts w:eastAsia="Times New Roman" w:cs="Times New Roman"/>
          <w:color w:val="000000"/>
          <w:lang w:val="hy-AM"/>
        </w:rPr>
        <w:t xml:space="preserve"> </w:t>
      </w:r>
      <w:r w:rsidRPr="008A3278">
        <w:rPr>
          <w:rFonts w:eastAsia="Times New Roman" w:cs="Times New Roman"/>
          <w:color w:val="000000"/>
          <w:lang w:val="hy-AM"/>
        </w:rPr>
        <w:t>Մեկ արտասահմանյան պետությունում կատարվող ներդրումները չեն կարող գերազանցել տվյալ պարտադիր կենսաթոշակային ֆոնդի ակտիվների 15 տոկոսը:</w:t>
      </w:r>
      <w:r w:rsidR="00091C2C" w:rsidRPr="008A3278">
        <w:rPr>
          <w:rFonts w:eastAsia="Times New Roman" w:cs="Times New Roman"/>
          <w:color w:val="000000"/>
          <w:lang w:val="hy-AM"/>
        </w:rPr>
        <w:t xml:space="preserve"> </w:t>
      </w:r>
      <w:r w:rsidRPr="008A3278">
        <w:rPr>
          <w:rFonts w:eastAsia="Times New Roman" w:cs="Times New Roman"/>
          <w:color w:val="000000"/>
          <w:lang w:val="hy-AM"/>
        </w:rPr>
        <w:t xml:space="preserve">Կենտրոնական բանկն իր նորմատիվ իրավական ակտերով կարող է </w:t>
      </w:r>
      <w:r w:rsidR="00751631" w:rsidRPr="008A3278">
        <w:rPr>
          <w:rFonts w:eastAsia="Times New Roman" w:cs="Times New Roman"/>
          <w:color w:val="000000"/>
          <w:lang w:val="hy-AM"/>
        </w:rPr>
        <w:t xml:space="preserve">սահմանել կոնկրետ պետության մասնակցության աստիճանի որոշման կարգ, ինչպես նաև </w:t>
      </w:r>
      <w:r w:rsidRPr="008A3278">
        <w:rPr>
          <w:rFonts w:eastAsia="Times New Roman" w:cs="Times New Roman"/>
          <w:color w:val="000000"/>
          <w:lang w:val="hy-AM"/>
        </w:rPr>
        <w:t>որոշ արտասահմանյան պետություններում ներդրումների համար</w:t>
      </w:r>
      <w:r w:rsidR="001319AE" w:rsidRPr="008A3278">
        <w:rPr>
          <w:rFonts w:eastAsia="Times New Roman" w:cs="Times New Roman"/>
          <w:color w:val="000000"/>
          <w:lang w:val="hy-AM"/>
        </w:rPr>
        <w:t xml:space="preserve"> </w:t>
      </w:r>
      <w:r w:rsidRPr="008A3278">
        <w:rPr>
          <w:rFonts w:eastAsia="Times New Roman" w:cs="Times New Roman"/>
          <w:color w:val="000000"/>
          <w:lang w:val="hy-AM"/>
        </w:rPr>
        <w:t>ավելի բարձր սահմանաչափ (սակայն ոչ ավել, քան ֆոնդի ակտիվների 30 տոկոս)՝ հաշվի առնելով տվյալ պետության վարկանիշը և(կամ) ֆինանսական համակարգի զարգացվածության աստիճանը։»:</w:t>
      </w:r>
    </w:p>
    <w:p w14:paraId="1285447F" w14:textId="77777777" w:rsidR="00FB42EE" w:rsidRPr="008A3278" w:rsidRDefault="00FB42EE" w:rsidP="008A32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FF0000"/>
          <w:sz w:val="22"/>
          <w:szCs w:val="22"/>
          <w:lang w:val="hy-AM"/>
        </w:rPr>
      </w:pPr>
    </w:p>
    <w:p w14:paraId="1DA17622" w14:textId="55402EE3" w:rsidR="0082179D" w:rsidRPr="008A3278" w:rsidRDefault="0082179D" w:rsidP="008A32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A3278">
        <w:rPr>
          <w:rFonts w:ascii="GHEA Grapalat" w:hAnsi="GHEA Grapalat"/>
          <w:b/>
          <w:sz w:val="22"/>
          <w:szCs w:val="22"/>
          <w:lang w:val="hy-AM"/>
        </w:rPr>
        <w:t>Հոդված 6</w:t>
      </w:r>
      <w:r w:rsidRPr="008A3278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8A3278">
        <w:rPr>
          <w:rFonts w:ascii="GHEA Grapalat" w:hAnsi="GHEA Grapalat"/>
          <w:sz w:val="22"/>
          <w:szCs w:val="22"/>
          <w:lang w:val="hy-AM"/>
        </w:rPr>
        <w:t xml:space="preserve"> </w:t>
      </w:r>
      <w:r w:rsidR="00BA5BDB" w:rsidRPr="008A3278">
        <w:rPr>
          <w:rFonts w:ascii="GHEA Grapalat" w:hAnsi="GHEA Grapalat"/>
          <w:sz w:val="22"/>
          <w:szCs w:val="22"/>
          <w:lang w:val="hy-AM"/>
        </w:rPr>
        <w:t xml:space="preserve">Սույն օրենքն ուժի մեջ է մտնում  պաշտոնական </w:t>
      </w:r>
      <w:r w:rsidR="00DC2504" w:rsidRPr="008A3278">
        <w:rPr>
          <w:rFonts w:ascii="GHEA Grapalat" w:hAnsi="GHEA Grapalat"/>
          <w:sz w:val="22"/>
          <w:szCs w:val="22"/>
          <w:lang w:val="hy-AM"/>
        </w:rPr>
        <w:t>հրապարակման</w:t>
      </w:r>
      <w:r w:rsidR="004C65CA" w:rsidRPr="008A3278">
        <w:rPr>
          <w:rFonts w:ascii="GHEA Grapalat" w:hAnsi="GHEA Grapalat"/>
          <w:sz w:val="22"/>
          <w:szCs w:val="22"/>
          <w:lang w:val="hy-AM"/>
        </w:rPr>
        <w:t xml:space="preserve"> օրվան</w:t>
      </w:r>
      <w:r w:rsidR="00DC2504" w:rsidRPr="008A3278">
        <w:rPr>
          <w:rFonts w:ascii="GHEA Grapalat" w:hAnsi="GHEA Grapalat"/>
          <w:sz w:val="22"/>
          <w:szCs w:val="22"/>
          <w:lang w:val="hy-AM"/>
        </w:rPr>
        <w:t xml:space="preserve"> հաջորդող </w:t>
      </w:r>
      <w:r w:rsidR="004C65CA" w:rsidRPr="008A3278">
        <w:rPr>
          <w:rFonts w:ascii="GHEA Grapalat" w:hAnsi="GHEA Grapalat"/>
          <w:sz w:val="22"/>
          <w:szCs w:val="22"/>
          <w:lang w:val="hy-AM"/>
        </w:rPr>
        <w:t>տասներո</w:t>
      </w:r>
      <w:r w:rsidR="00DC2504" w:rsidRPr="008A3278">
        <w:rPr>
          <w:rFonts w:ascii="GHEA Grapalat" w:hAnsi="GHEA Grapalat"/>
          <w:sz w:val="22"/>
          <w:szCs w:val="22"/>
          <w:lang w:val="hy-AM"/>
        </w:rPr>
        <w:t>րդ օրը</w:t>
      </w:r>
      <w:r w:rsidR="00BA5BDB" w:rsidRPr="008A3278">
        <w:rPr>
          <w:rFonts w:ascii="GHEA Grapalat" w:hAnsi="GHEA Grapalat"/>
          <w:sz w:val="22"/>
          <w:szCs w:val="22"/>
          <w:lang w:val="hy-AM"/>
        </w:rPr>
        <w:t>։</w:t>
      </w:r>
    </w:p>
    <w:p w14:paraId="563DC074" w14:textId="77777777" w:rsidR="00BA5BDB" w:rsidRPr="008A3278" w:rsidRDefault="00BA5BDB" w:rsidP="008A32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1A0D14A2" w14:textId="77777777" w:rsidR="00BA5BDB" w:rsidRPr="008A3278" w:rsidRDefault="00BA5BDB" w:rsidP="008A3278">
      <w:pPr>
        <w:pStyle w:val="NormalWeb"/>
        <w:shd w:val="clear" w:color="auto" w:fill="FFFFFF"/>
        <w:tabs>
          <w:tab w:val="left" w:pos="5628"/>
        </w:tabs>
        <w:spacing w:before="0" w:beforeAutospacing="0" w:after="0" w:afterAutospacing="0" w:line="360" w:lineRule="auto"/>
        <w:rPr>
          <w:rFonts w:ascii="GHEA Grapalat" w:hAnsi="GHEA Grapalat"/>
          <w:color w:val="000000"/>
          <w:sz w:val="22"/>
          <w:szCs w:val="22"/>
          <w:lang w:val="hy-AM"/>
        </w:rPr>
      </w:pP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Հայաստանի Հանրապետության 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ab/>
        <w:t xml:space="preserve">           </w:t>
      </w:r>
      <w:r w:rsidR="00A373DC" w:rsidRPr="008A3278">
        <w:rPr>
          <w:rFonts w:ascii="GHEA Grapalat" w:hAnsi="GHEA Grapalat"/>
          <w:color w:val="000000"/>
          <w:sz w:val="22"/>
          <w:szCs w:val="22"/>
          <w:lang w:val="hy-AM"/>
        </w:rPr>
        <w:t>Վահագն Խաչատուրյան նախագահ</w:t>
      </w:r>
      <w:r w:rsidRPr="008A3278">
        <w:rPr>
          <w:rFonts w:ascii="GHEA Grapalat" w:hAnsi="GHEA Grapalat"/>
          <w:color w:val="000000"/>
          <w:sz w:val="22"/>
          <w:szCs w:val="22"/>
          <w:lang w:val="hy-AM"/>
        </w:rPr>
        <w:t xml:space="preserve">                  </w:t>
      </w:r>
    </w:p>
    <w:p w14:paraId="02DD5350" w14:textId="77777777" w:rsidR="00BA5BDB" w:rsidRPr="008A3278" w:rsidRDefault="00BA5BDB" w:rsidP="008A32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1AECB7F3" w14:textId="77777777" w:rsidR="005B390D" w:rsidRPr="008A3278" w:rsidRDefault="005B390D" w:rsidP="00FF0682">
      <w:pPr>
        <w:spacing w:line="360" w:lineRule="auto"/>
        <w:jc w:val="both"/>
        <w:rPr>
          <w:lang w:val="hy-AM"/>
        </w:rPr>
      </w:pPr>
      <w:bookmarkStart w:id="0" w:name="_GoBack"/>
      <w:bookmarkEnd w:id="0"/>
    </w:p>
    <w:sectPr w:rsidR="005B390D" w:rsidRPr="008A3278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797A"/>
    <w:multiLevelType w:val="hybridMultilevel"/>
    <w:tmpl w:val="F41A25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E1CD5"/>
    <w:multiLevelType w:val="hybridMultilevel"/>
    <w:tmpl w:val="8F08A6BA"/>
    <w:lvl w:ilvl="0" w:tplc="83A60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3089"/>
    <w:multiLevelType w:val="hybridMultilevel"/>
    <w:tmpl w:val="0A466132"/>
    <w:lvl w:ilvl="0" w:tplc="B1629016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A30A1"/>
    <w:multiLevelType w:val="hybridMultilevel"/>
    <w:tmpl w:val="A1723BBC"/>
    <w:lvl w:ilvl="0" w:tplc="4D0C3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71BBD"/>
    <w:multiLevelType w:val="hybridMultilevel"/>
    <w:tmpl w:val="9A3804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74"/>
    <w:rsid w:val="000412D3"/>
    <w:rsid w:val="000567D4"/>
    <w:rsid w:val="00081185"/>
    <w:rsid w:val="00091C2C"/>
    <w:rsid w:val="000E6528"/>
    <w:rsid w:val="001224BA"/>
    <w:rsid w:val="001319AE"/>
    <w:rsid w:val="00160624"/>
    <w:rsid w:val="0017036C"/>
    <w:rsid w:val="001E1680"/>
    <w:rsid w:val="00212917"/>
    <w:rsid w:val="00291436"/>
    <w:rsid w:val="002969C8"/>
    <w:rsid w:val="002D2FD1"/>
    <w:rsid w:val="002D68BC"/>
    <w:rsid w:val="002E4831"/>
    <w:rsid w:val="003178B6"/>
    <w:rsid w:val="00336B99"/>
    <w:rsid w:val="0038003E"/>
    <w:rsid w:val="003C335A"/>
    <w:rsid w:val="003E0267"/>
    <w:rsid w:val="003E66B6"/>
    <w:rsid w:val="004A1C58"/>
    <w:rsid w:val="004A76A0"/>
    <w:rsid w:val="004C65CA"/>
    <w:rsid w:val="004D6875"/>
    <w:rsid w:val="005229B1"/>
    <w:rsid w:val="005A0AA1"/>
    <w:rsid w:val="005B390D"/>
    <w:rsid w:val="005F58DD"/>
    <w:rsid w:val="00657695"/>
    <w:rsid w:val="00657AD3"/>
    <w:rsid w:val="006710AA"/>
    <w:rsid w:val="00695176"/>
    <w:rsid w:val="006C6A4C"/>
    <w:rsid w:val="006C7E48"/>
    <w:rsid w:val="006F77F1"/>
    <w:rsid w:val="00705D77"/>
    <w:rsid w:val="00733DC2"/>
    <w:rsid w:val="00751631"/>
    <w:rsid w:val="00751C03"/>
    <w:rsid w:val="007627C4"/>
    <w:rsid w:val="007A6303"/>
    <w:rsid w:val="0081201B"/>
    <w:rsid w:val="0082179D"/>
    <w:rsid w:val="00827A74"/>
    <w:rsid w:val="00843D9D"/>
    <w:rsid w:val="00896EA6"/>
    <w:rsid w:val="008A3278"/>
    <w:rsid w:val="008A60DA"/>
    <w:rsid w:val="008C187E"/>
    <w:rsid w:val="008D66A8"/>
    <w:rsid w:val="008F1A79"/>
    <w:rsid w:val="00905D03"/>
    <w:rsid w:val="009262B6"/>
    <w:rsid w:val="00933EE5"/>
    <w:rsid w:val="009660DA"/>
    <w:rsid w:val="00975489"/>
    <w:rsid w:val="00982454"/>
    <w:rsid w:val="00A1444D"/>
    <w:rsid w:val="00A21416"/>
    <w:rsid w:val="00A373DC"/>
    <w:rsid w:val="00AE61D5"/>
    <w:rsid w:val="00AF0D3C"/>
    <w:rsid w:val="00B7027F"/>
    <w:rsid w:val="00BA5BDB"/>
    <w:rsid w:val="00BC26F1"/>
    <w:rsid w:val="00BC5922"/>
    <w:rsid w:val="00C02595"/>
    <w:rsid w:val="00C235D0"/>
    <w:rsid w:val="00C6258C"/>
    <w:rsid w:val="00C67443"/>
    <w:rsid w:val="00C744C7"/>
    <w:rsid w:val="00CC7355"/>
    <w:rsid w:val="00CE3594"/>
    <w:rsid w:val="00CE6165"/>
    <w:rsid w:val="00D06827"/>
    <w:rsid w:val="00D631B4"/>
    <w:rsid w:val="00D8062F"/>
    <w:rsid w:val="00D825EB"/>
    <w:rsid w:val="00D95FA1"/>
    <w:rsid w:val="00DC2504"/>
    <w:rsid w:val="00DF195D"/>
    <w:rsid w:val="00DF38A9"/>
    <w:rsid w:val="00E479F9"/>
    <w:rsid w:val="00E87DE4"/>
    <w:rsid w:val="00F32B75"/>
    <w:rsid w:val="00F52127"/>
    <w:rsid w:val="00F53704"/>
    <w:rsid w:val="00F61235"/>
    <w:rsid w:val="00FB3E9D"/>
    <w:rsid w:val="00FB42EE"/>
    <w:rsid w:val="00FC5E1F"/>
    <w:rsid w:val="00FD1878"/>
    <w:rsid w:val="00FF0682"/>
    <w:rsid w:val="00FF1615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FEF4"/>
  <w15:chartTrackingRefBased/>
  <w15:docId w15:val="{844AE5A3-C9CA-42E5-8F77-BACD1E3D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9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90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0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9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9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62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088E-8937-4C8A-ABCA-278025C1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Թադեւոսյան</dc:creator>
  <cp:keywords/>
  <dc:description/>
  <cp:lastModifiedBy>Անի Ղարաջյան</cp:lastModifiedBy>
  <cp:revision>10</cp:revision>
  <cp:lastPrinted>2022-04-26T12:11:00Z</cp:lastPrinted>
  <dcterms:created xsi:type="dcterms:W3CDTF">2022-07-28T15:46:00Z</dcterms:created>
  <dcterms:modified xsi:type="dcterms:W3CDTF">2022-08-15T07:50:00Z</dcterms:modified>
</cp:coreProperties>
</file>