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6B" w:rsidRDefault="00EA26D3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</w:p>
    <w:p w:rsidR="000B316B" w:rsidRDefault="00EA26D3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:rsidR="000B316B" w:rsidRDefault="00EA26D3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ԵՐԹԵՎԵԿՈՒԹՅԱՆ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ԱՆՎՏԱՆԳՈՒԹՅԱՆ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ԱՊԱՀՈՎՄԱՆ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b/>
          <w:sz w:val="24"/>
          <w:szCs w:val="24"/>
        </w:rPr>
        <w:t>ՕՐԵՆՔՈՒՄ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ՓՈՓՈԽՈՒԹՅՈՒՆՆԵՐ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ԵՎ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ԼՐԱՑՈՒՄ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ԿԱՏԱՐԵԼՈՒ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</w:p>
    <w:p w:rsidR="000B316B" w:rsidRDefault="000B316B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0B316B" w:rsidRDefault="00EA26D3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1. </w:t>
      </w:r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երթևեկության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անվտանգության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2005 </w:t>
      </w:r>
      <w:r>
        <w:rPr>
          <w:rFonts w:ascii="GHEA Grapalat" w:eastAsia="GHEA Grapalat" w:hAnsi="GHEA Grapalat" w:cs="GHEA Grapalat"/>
          <w:sz w:val="24"/>
          <w:szCs w:val="24"/>
        </w:rPr>
        <w:t>թվականի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հուլիսի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8-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ՀՕ</w:t>
      </w:r>
      <w:r>
        <w:rPr>
          <w:rFonts w:ascii="GHEA Grapalat" w:eastAsia="GHEA Grapalat" w:hAnsi="GHEA Grapalat" w:cs="GHEA Grapalat"/>
          <w:sz w:val="24"/>
          <w:szCs w:val="24"/>
        </w:rPr>
        <w:t>-166-</w:t>
      </w:r>
      <w:r>
        <w:rPr>
          <w:rFonts w:ascii="GHEA Grapalat" w:eastAsia="GHEA Grapalat" w:hAnsi="GHEA Grapalat" w:cs="GHEA Grapalat"/>
          <w:sz w:val="24"/>
          <w:szCs w:val="24"/>
        </w:rPr>
        <w:t>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այսուհետ՝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</w:t>
      </w:r>
      <w:r>
        <w:rPr>
          <w:rFonts w:ascii="GHEA Grapalat" w:eastAsia="GHEA Grapalat" w:hAnsi="GHEA Grapalat" w:cs="GHEA Grapalat"/>
          <w:sz w:val="24"/>
          <w:szCs w:val="24"/>
        </w:rPr>
        <w:t>) 8-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4-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</w:p>
    <w:p w:rsidR="000B316B" w:rsidRDefault="00EA26D3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«4. </w:t>
      </w:r>
      <w:r>
        <w:rPr>
          <w:rFonts w:ascii="GHEA Grapalat" w:eastAsia="GHEA Grapalat" w:hAnsi="GHEA Grapalat" w:cs="GHEA Grapalat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երթևեկության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բնագավառում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վարչական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իրավախախտումների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հաշվառումն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իրականացվում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բնագավառում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կառավարման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ղեկավարի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իսկ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պաշտպանության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բնագավառում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կառավարման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տրանսպորտային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միջոցների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վարորդների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կողմից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երթևեկության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բնագավառում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կատարված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իրավախախտումների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հաշվառումը՝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պաշտպ</w:t>
      </w:r>
      <w:r>
        <w:rPr>
          <w:rFonts w:ascii="GHEA Grapalat" w:eastAsia="GHEA Grapalat" w:hAnsi="GHEA Grapalat" w:cs="GHEA Grapalat"/>
          <w:sz w:val="24"/>
          <w:szCs w:val="24"/>
        </w:rPr>
        <w:t>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բնագավառում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կառավարման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ղեկավարի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հրամաններով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կարգով</w:t>
      </w:r>
      <w:r>
        <w:rPr>
          <w:rFonts w:ascii="GHEA Grapalat" w:eastAsia="GHEA Grapalat" w:hAnsi="GHEA Grapalat" w:cs="GHEA Grapalat"/>
          <w:sz w:val="24"/>
          <w:szCs w:val="24"/>
        </w:rPr>
        <w:t>:»</w:t>
      </w:r>
      <w:r>
        <w:rPr>
          <w:rFonts w:ascii="GHEA Grapalat" w:eastAsia="GHEA Grapalat" w:hAnsi="GHEA Grapalat" w:cs="GHEA Grapalat"/>
          <w:sz w:val="24"/>
          <w:szCs w:val="24"/>
        </w:rPr>
        <w:t>։</w:t>
      </w:r>
    </w:p>
    <w:p w:rsidR="000B316B" w:rsidRDefault="00EA26D3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9-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մասը՝</w:t>
      </w:r>
    </w:p>
    <w:p w:rsidR="000B316B" w:rsidRDefault="00EA26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ժը</w:t>
      </w:r>
      <w:r>
        <w:rPr>
          <w:rFonts w:ascii="GHEA Grapalat" w:eastAsia="GHEA Grapalat" w:hAnsi="GHEA Grapalat" w:cs="GHEA Grapalat"/>
          <w:sz w:val="24"/>
          <w:szCs w:val="24"/>
        </w:rPr>
        <w:t>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իե</w:t>
      </w:r>
      <w:r>
        <w:rPr>
          <w:rFonts w:ascii="GHEA Grapalat" w:eastAsia="GHEA Grapalat" w:hAnsi="GHEA Grapalat" w:cs="GHEA Grapalat"/>
          <w:sz w:val="24"/>
          <w:szCs w:val="24"/>
        </w:rPr>
        <w:t>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կետերն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ճանաչել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0B316B" w:rsidRDefault="00EA26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իգ</w:t>
      </w:r>
      <w:r>
        <w:rPr>
          <w:rFonts w:ascii="GHEA Grapalat" w:eastAsia="GHEA Grapalat" w:hAnsi="GHEA Grapalat" w:cs="GHEA Grapalat"/>
          <w:sz w:val="24"/>
          <w:szCs w:val="24"/>
        </w:rPr>
        <w:t>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բնագավառի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ռավարման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sz w:val="24"/>
          <w:szCs w:val="24"/>
        </w:rPr>
        <w:t>․</w:t>
      </w:r>
    </w:p>
    <w:p w:rsidR="000B316B" w:rsidRDefault="00EA26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իե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.4</w:t>
      </w:r>
      <w:r>
        <w:rPr>
          <w:rFonts w:ascii="GHEA Grapalat" w:eastAsia="GHEA Grapalat" w:hAnsi="GHEA Grapalat" w:cs="GHEA Grapalat"/>
          <w:sz w:val="24"/>
          <w:szCs w:val="24"/>
        </w:rPr>
        <w:t>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հանել։</w:t>
      </w:r>
    </w:p>
    <w:p w:rsidR="000B316B" w:rsidRDefault="00EA26D3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3. </w:t>
      </w:r>
      <w:r>
        <w:rPr>
          <w:rFonts w:ascii="GHEA Grapalat" w:eastAsia="GHEA Grapalat" w:hAnsi="GHEA Grapalat" w:cs="GHEA Grapalat"/>
          <w:sz w:val="24"/>
          <w:szCs w:val="24"/>
        </w:rPr>
        <w:t>Օրենքում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բովանդակությամբ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9.1-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</w:p>
    <w:p w:rsidR="000B316B" w:rsidRDefault="00EA26D3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>«</w:t>
      </w: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9.1. </w:t>
      </w:r>
      <w:r>
        <w:rPr>
          <w:rFonts w:ascii="GHEA Grapalat" w:eastAsia="GHEA Grapalat" w:hAnsi="GHEA Grapalat" w:cs="GHEA Grapalat"/>
          <w:b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երթևեկության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անվտանգության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ապահովման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բնագավառում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բնագավառի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կառավարման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լիազորությունները</w:t>
      </w:r>
    </w:p>
    <w:p w:rsidR="000B316B" w:rsidRDefault="00EA26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երթևեկության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անվտանգության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ապահովման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բնագավառում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բնագավառի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կառավարման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մարմինը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այսուհետ՝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0B316B" w:rsidRDefault="00EA26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մասնակցում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0B316B" w:rsidRDefault="00EA26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մասնակցում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երթևեկության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անվտանգության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ապահովման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համալիր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տարեկան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ծրագրերի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մշակմանը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0B316B" w:rsidRDefault="00EA26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մշակում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արմինների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քննարկմանն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բնագավառը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կարգավորող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ակտերի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նախագծեր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0B316B" w:rsidRDefault="00EA26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տալիս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հաշվառման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տվյալների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փոփոխությամբ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տրանսպորտային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միջոցների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վերասարքավորման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առանց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թույլտվության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վերասարքավորված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տրանսպորտային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միջոցների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վերահաշվառման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թույլտվությու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թափքը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հենասարքը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համապատասխանաբար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եզրաչափերով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թափքով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հենասարքով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շարժիչը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տեխնիկական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բնութագրերով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շարժիչով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տրանսպորտային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միջոցի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գույնը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փոփոխելու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դեպքերի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0B316B" w:rsidRDefault="00EA26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ե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ընդունում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վարորդական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վկայական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ստանալու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քննություններ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տալիս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տրանսպորտային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միջոցներ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իրավունքի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ազգային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վկայականներ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հիման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վրա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`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միջազգային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վարորդական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վկայականներ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0B316B" w:rsidRDefault="00EA26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զ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տրանսպորտային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միջոցների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հաշվառման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պահանջարկ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ունեցող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համարանիշների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հատկացման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`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ըստ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չափորո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շիչների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0B316B" w:rsidRDefault="00EA26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հսկողություն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ինժեներական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կառույցները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երթևեկության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տեխնիկական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միջոցները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տեխնիկական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նորմերի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կանոնների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ստանդարտների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պահանջներին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համապատասխանեցնելու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նկատմամբ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հայտնաբերվ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խախտումների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վերացման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պահանջներ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0B316B" w:rsidRDefault="00EA26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տրանսպորտային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միջոցի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նկատմամբ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իրավունքի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վերաբերյալ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նախնական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տրանսպորտային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միջոցների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գրանցում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հաշվառում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արգելադրում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տրամադրում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տրանսպորտային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միջոցի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սեփականության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գրանցման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վկայական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հաշվառման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փաստաթղթեր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հաշվառման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համարանիշեր։</w:t>
      </w:r>
    </w:p>
    <w:p w:rsidR="000B316B" w:rsidRDefault="00EA26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մարմինը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վերահսկողություն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երթևեկության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անվտանգության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բնագավառում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գործունեության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նկատմամբ։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:rsidR="000B316B" w:rsidRDefault="00EA26D3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4.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10-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մասը՝</w:t>
      </w:r>
    </w:p>
    <w:p w:rsidR="000B316B" w:rsidRDefault="00EA2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ճանաչել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ժ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ժէ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.1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0B316B" w:rsidRDefault="00EA2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ժա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ճանապարհապարեկային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որպես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կանոն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շրջիկ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եղանակով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հանել։</w:t>
      </w:r>
    </w:p>
    <w:p w:rsidR="000B316B" w:rsidRDefault="000B316B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0B316B" w:rsidRDefault="00EA26D3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5.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հոդվածը՝</w:t>
      </w:r>
    </w:p>
    <w:p w:rsidR="000B316B" w:rsidRDefault="00EA26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իրավասու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ստորաբաժանում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հոլովաձևերը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հոլովաձևերով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8-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0B316B" w:rsidRDefault="00EA26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հոլովաձևերը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ղեկավարը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հոլովաձևերով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0B316B" w:rsidRDefault="00EA26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տրանսպոր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միջոցի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գտնվելու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վայրն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սպասարկող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իրավասու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ստորաբաժանման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0B316B" w:rsidRDefault="00EA26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8-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իրավասու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ստորաբաժանում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0B316B" w:rsidRDefault="00EA26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20.9-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մարմինը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բառով։</w:t>
      </w:r>
    </w:p>
    <w:p w:rsidR="000B316B" w:rsidRDefault="00EA26D3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6.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13.1-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15-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հոդվածներում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ոստիկանությունում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մարմնում</w:t>
      </w:r>
      <w:r>
        <w:rPr>
          <w:rFonts w:ascii="GHEA Grapalat" w:eastAsia="GHEA Grapalat" w:hAnsi="GHEA Grapalat" w:cs="GHEA Grapalat"/>
          <w:sz w:val="24"/>
          <w:szCs w:val="24"/>
        </w:rPr>
        <w:t>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բառերով։</w:t>
      </w:r>
    </w:p>
    <w:p w:rsidR="000B316B" w:rsidRDefault="00EA26D3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7.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17-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4-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ներկայանալ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հայտնելով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կոչումը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ազգանունը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ստորաբաժանումը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ինչպես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հարցման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դեպքում՝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ծառայողի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նույնականացման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անհատական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բառերը։</w:t>
      </w:r>
    </w:p>
    <w:p w:rsidR="000B316B" w:rsidRDefault="00EA26D3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8.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18-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6-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հանել։</w:t>
      </w:r>
    </w:p>
    <w:p w:rsidR="000B316B" w:rsidRDefault="00EA26D3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9.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28-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հոդվածը՝</w:t>
      </w:r>
    </w:p>
    <w:p w:rsidR="000B316B" w:rsidRDefault="00EA2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1.4-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0B316B" w:rsidRDefault="00EA2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1.6-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0B316B" w:rsidRDefault="00EA2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1.8-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մարմնին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բառերով։</w:t>
      </w:r>
    </w:p>
    <w:p w:rsidR="000B316B" w:rsidRDefault="00EA26D3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lastRenderedPageBreak/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10.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8</w:t>
      </w:r>
      <w:r>
        <w:rPr>
          <w:rFonts w:ascii="GHEA Grapalat" w:eastAsia="GHEA Grapalat" w:hAnsi="GHEA Grapalat" w:cs="GHEA Grapalat"/>
          <w:sz w:val="24"/>
          <w:szCs w:val="24"/>
          <w:vertAlign w:val="superscript"/>
        </w:rPr>
        <w:t>1</w:t>
      </w:r>
      <w:r>
        <w:rPr>
          <w:rFonts w:ascii="GHEA Grapalat" w:eastAsia="GHEA Grapalat" w:hAnsi="GHEA Grapalat" w:cs="GHEA Grapalat"/>
          <w:sz w:val="24"/>
          <w:szCs w:val="24"/>
        </w:rPr>
        <w:t>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գլուխն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կորցրած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ճանաչել։</w:t>
      </w:r>
    </w:p>
    <w:p w:rsidR="000B316B" w:rsidRDefault="00EA26D3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11. </w:t>
      </w:r>
      <w:r>
        <w:rPr>
          <w:rFonts w:ascii="GHEA Grapalat" w:eastAsia="GHEA Grapalat" w:hAnsi="GHEA Grapalat" w:cs="GHEA Grapalat"/>
          <w:b/>
          <w:sz w:val="24"/>
          <w:szCs w:val="24"/>
        </w:rPr>
        <w:t>Եզրափակիչ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և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անցումային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դրույթներ</w:t>
      </w:r>
    </w:p>
    <w:p w:rsidR="000B316B" w:rsidRDefault="00EA26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նախագահի՝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նախարար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նշանակելու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հրամանագիրն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օրվանից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բացառությամբ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0B316B" w:rsidRDefault="00EA26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լուծարման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օրվանից։</w:t>
      </w:r>
    </w:p>
    <w:p w:rsidR="000B316B" w:rsidRDefault="00EA26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Մինչև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հիման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վրա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ակտերը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շարունակում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մինչև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բնագավառում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կառավարման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ղեկավարի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դրանք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ճանաչելը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ակտեր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ընդունելը։</w:t>
      </w:r>
    </w:p>
    <w:sectPr w:rsidR="000B316B" w:rsidSect="000B316B">
      <w:headerReference w:type="default" r:id="rId8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6D3" w:rsidRDefault="00EA26D3" w:rsidP="000B316B">
      <w:pPr>
        <w:spacing w:after="0" w:line="240" w:lineRule="auto"/>
      </w:pPr>
      <w:r>
        <w:separator/>
      </w:r>
    </w:p>
  </w:endnote>
  <w:endnote w:type="continuationSeparator" w:id="0">
    <w:p w:rsidR="00EA26D3" w:rsidRDefault="00EA26D3" w:rsidP="000B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6D3" w:rsidRDefault="00EA26D3" w:rsidP="000B316B">
      <w:pPr>
        <w:spacing w:after="0" w:line="240" w:lineRule="auto"/>
      </w:pPr>
      <w:r>
        <w:separator/>
      </w:r>
    </w:p>
  </w:footnote>
  <w:footnote w:type="continuationSeparator" w:id="0">
    <w:p w:rsidR="00EA26D3" w:rsidRDefault="00EA26D3" w:rsidP="000B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6B" w:rsidRDefault="00EA26D3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-685798</wp:posOffset>
          </wp:positionH>
          <wp:positionV relativeFrom="paragraph">
            <wp:posOffset>-8888</wp:posOffset>
          </wp:positionV>
          <wp:extent cx="457200" cy="444500"/>
          <wp:effectExtent l="0" t="0" r="0" b="0"/>
          <wp:wrapSquare wrapText="bothSides" distT="0" distB="0" distL="0" distR="0"/>
          <wp:docPr id="32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B316B" w:rsidRDefault="00EA26D3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0B316B" w:rsidRDefault="000B316B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31EB"/>
    <w:multiLevelType w:val="multilevel"/>
    <w:tmpl w:val="5DB42F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541B39"/>
    <w:multiLevelType w:val="multilevel"/>
    <w:tmpl w:val="C340F4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320FEF"/>
    <w:multiLevelType w:val="multilevel"/>
    <w:tmpl w:val="D9AAF8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96E21"/>
    <w:multiLevelType w:val="multilevel"/>
    <w:tmpl w:val="7298AB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0704DA"/>
    <w:multiLevelType w:val="multilevel"/>
    <w:tmpl w:val="7A6ACE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302995"/>
    <w:multiLevelType w:val="multilevel"/>
    <w:tmpl w:val="DD8E112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16B"/>
    <w:rsid w:val="000B316B"/>
    <w:rsid w:val="00D4179E"/>
    <w:rsid w:val="00EA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DA"/>
  </w:style>
  <w:style w:type="paragraph" w:styleId="Heading1">
    <w:name w:val="heading 1"/>
    <w:basedOn w:val="Normal"/>
    <w:next w:val="Normal"/>
    <w:uiPriority w:val="9"/>
    <w:qFormat/>
    <w:rsid w:val="000B31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B31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B31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B31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B316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B31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B316B"/>
  </w:style>
  <w:style w:type="paragraph" w:styleId="Title">
    <w:name w:val="Title"/>
    <w:basedOn w:val="Normal"/>
    <w:next w:val="Normal"/>
    <w:uiPriority w:val="10"/>
    <w:qFormat/>
    <w:rsid w:val="000B316B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Akapit z listą BS,Bullets,List Paragraph 1,List_Paragraph,Multilevel para_II,References,List Paragraph (numbered (a)),IBL List Paragraph,List Paragraph nowy,Numbered List Paragraph,List Paragraph1,List Paragraph-ExecSummary,Liste 1,lp1"/>
    <w:basedOn w:val="Normal"/>
    <w:link w:val="ListParagraphChar"/>
    <w:uiPriority w:val="99"/>
    <w:qFormat/>
    <w:rsid w:val="0001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19"/>
    <w:rPr>
      <w:rFonts w:ascii="Segoe UI" w:hAnsi="Segoe UI" w:cs="Segoe UI"/>
      <w:sz w:val="18"/>
      <w:szCs w:val="18"/>
    </w:rPr>
  </w:style>
  <w:style w:type="character" w:customStyle="1" w:styleId="msoins0">
    <w:name w:val="msoins"/>
    <w:basedOn w:val="DefaultParagraphFont"/>
    <w:rsid w:val="00F561EB"/>
  </w:style>
  <w:style w:type="character" w:customStyle="1" w:styleId="msodel0">
    <w:name w:val="msodel"/>
    <w:basedOn w:val="DefaultParagraphFont"/>
    <w:rsid w:val="00F561EB"/>
  </w:style>
  <w:style w:type="character" w:styleId="CommentReference">
    <w:name w:val="annotation reference"/>
    <w:basedOn w:val="DefaultParagraphFont"/>
    <w:uiPriority w:val="99"/>
    <w:semiHidden/>
    <w:unhideWhenUsed/>
    <w:rsid w:val="00681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F0"/>
  </w:style>
  <w:style w:type="paragraph" w:styleId="Footer">
    <w:name w:val="footer"/>
    <w:basedOn w:val="Normal"/>
    <w:link w:val="Foot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F0"/>
  </w:style>
  <w:style w:type="character" w:customStyle="1" w:styleId="ListParagraphChar">
    <w:name w:val="List Paragraph Char"/>
    <w:aliases w:val="Akapit z listą BS Char,Bullets Char,List Paragraph 1 Char,List_Paragraph Char,Multilevel para_II Char,References Char,List Paragraph (numbered (a)) Char,IBL List Paragraph Char,List Paragraph nowy Char,Numbered List Paragraph Char"/>
    <w:link w:val="ListParagraph"/>
    <w:uiPriority w:val="99"/>
    <w:rsid w:val="00D033C9"/>
  </w:style>
  <w:style w:type="paragraph" w:styleId="Subtitle">
    <w:name w:val="Subtitle"/>
    <w:basedOn w:val="normal0"/>
    <w:next w:val="normal0"/>
    <w:rsid w:val="000B31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jcvKbXpCbvkXd/CsX8LOHc2/A==">AMUW2mVwWEwaEGPHSGUnzhKPs2OTsZrLi42z0utVaHiqs4U0cW7OZ+iBWxxQh+ZrDwQRMTT8GXPlLmzR5wDPD+DK102UWNSZuEWYiM3emef7VNTvb+cosrrkr0KgJ4FICy1e3CIrR330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</dc:creator>
  <cp:lastModifiedBy>User</cp:lastModifiedBy>
  <cp:revision>2</cp:revision>
  <dcterms:created xsi:type="dcterms:W3CDTF">2022-07-25T15:47:00Z</dcterms:created>
  <dcterms:modified xsi:type="dcterms:W3CDTF">2022-07-25T15:47:00Z</dcterms:modified>
</cp:coreProperties>
</file>