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4370" w14:textId="32E8FF97" w:rsidR="00B04C12" w:rsidRPr="00B04C12" w:rsidRDefault="00B04C12" w:rsidP="00EF693E">
      <w:pPr>
        <w:ind w:firstLine="0"/>
        <w:contextualSpacing/>
        <w:jc w:val="center"/>
      </w:pPr>
      <w:r w:rsidRPr="00B04C12">
        <w:rPr>
          <w:b/>
          <w:bCs/>
        </w:rPr>
        <w:t>ՀԻՄՆԱՎՈՐՈՒՄ</w:t>
      </w:r>
    </w:p>
    <w:p w14:paraId="56ADBEB9" w14:textId="4EEEA807" w:rsidR="00B04C12" w:rsidRPr="0061316A" w:rsidRDefault="008E2066" w:rsidP="00EF693E">
      <w:pPr>
        <w:pStyle w:val="NormalWeb"/>
        <w:ind w:firstLine="0"/>
        <w:jc w:val="center"/>
        <w:rPr>
          <w:rFonts w:ascii="GHEA Grapalat" w:hAnsi="GHEA Grapalat"/>
        </w:rPr>
      </w:pPr>
      <w:r w:rsidRPr="0061316A">
        <w:rPr>
          <w:rFonts w:ascii="GHEA Grapalat" w:hAnsi="GHEA Grapalat"/>
          <w:b/>
          <w:bCs/>
        </w:rPr>
        <w:t>«ԱԶԴԱՐԱՐՄԱՆ ՀԱՄԱԿԱՐԳԻ ՄԱՍԻՆ» ՕՐԵՆՔՈՒՄ ՓՈՓՈԽՈՒԹՅՈՒՆՆԵՐ ԵՎ ԼՐԱՑՈՒՄՆԵՐ ԿԱՏԱՐԵԼՈՒ ՄԱՍԻՆ</w:t>
      </w:r>
      <w:r w:rsidR="00E14C52" w:rsidRPr="0061316A">
        <w:rPr>
          <w:rFonts w:ascii="GHEA Grapalat" w:hAnsi="GHEA Grapalat"/>
          <w:b/>
          <w:bCs/>
        </w:rPr>
        <w:t></w:t>
      </w:r>
      <w:r w:rsidR="00B04C12" w:rsidRPr="0061316A">
        <w:rPr>
          <w:rFonts w:ascii="GHEA Grapalat" w:hAnsi="GHEA Grapalat"/>
          <w:b/>
          <w:bCs/>
        </w:rPr>
        <w:t xml:space="preserve">, </w:t>
      </w:r>
      <w:r w:rsidR="00E14C52" w:rsidRPr="0061316A">
        <w:rPr>
          <w:rFonts w:ascii="GHEA Grapalat" w:hAnsi="GHEA Grapalat"/>
          <w:b/>
          <w:bCs/>
        </w:rPr>
        <w:t>«ԿՈՌՈՒՊՑԻԱՅԻ ԿԱՆԽԱՐԳԵԼՄԱՆ</w:t>
      </w:r>
      <w:r w:rsidR="00DB5B26" w:rsidRPr="0061316A">
        <w:rPr>
          <w:rFonts w:ascii="GHEA Grapalat" w:hAnsi="GHEA Grapalat"/>
          <w:b/>
          <w:bCs/>
        </w:rPr>
        <w:t xml:space="preserve"> </w:t>
      </w:r>
      <w:r w:rsidR="00E14C52" w:rsidRPr="0061316A">
        <w:rPr>
          <w:rFonts w:ascii="GHEA Grapalat" w:hAnsi="GHEA Grapalat"/>
          <w:b/>
          <w:bCs/>
        </w:rPr>
        <w:t>ՀԱՆՁՆԱԺՈՂՈՎԻ ՄԱՍԻՆ» ՕՐԵՆՔՈՒՄ ԼՐԱՑՈՒՄՆԵՐ ԿԱՏԱՐԵԼՈՒ ՄԱՍԻՆ</w:t>
      </w:r>
      <w:r w:rsidR="0011011F" w:rsidRPr="0061316A">
        <w:rPr>
          <w:rFonts w:ascii="GHEA Grapalat" w:hAnsi="GHEA Grapalat"/>
          <w:b/>
          <w:bCs/>
        </w:rPr>
        <w:t> ՕՐԵՆՔՆԵՐԻ</w:t>
      </w:r>
      <w:r w:rsidR="0061316A" w:rsidRPr="0061316A">
        <w:rPr>
          <w:rFonts w:ascii="GHEA Grapalat" w:hAnsi="GHEA Grapalat"/>
          <w:b/>
          <w:bCs/>
        </w:rPr>
        <w:t xml:space="preserve">, </w:t>
      </w:r>
      <w:r w:rsidR="0061316A" w:rsidRPr="0061316A">
        <w:rPr>
          <w:rFonts w:ascii="GHEA Grapalat" w:hAnsi="GHEA Grapalat"/>
          <w:b/>
          <w:bCs/>
          <w:color w:val="000000"/>
          <w:shd w:val="clear" w:color="auto" w:fill="FFFFFF"/>
        </w:rPr>
        <w:t>«ՄԱՐԴՈՒ ԻՐԱՎՈՒՆՔՆԵՐԻ ՊԱՇՏՊԱՆԻ ՄԱՍԻՆ» ՍԱՀՄԱՆԱԴՐԱԿԱՆ ՕՐԵՆՔՈՒՄ ԼՐԱՑՈՒՄ</w:t>
      </w:r>
      <w:r w:rsidR="0061316A" w:rsidRPr="0061316A">
        <w:rPr>
          <w:rFonts w:ascii="GHEA Grapalat" w:hAnsi="GHEA Grapalat"/>
          <w:b/>
          <w:bCs/>
          <w:color w:val="000000"/>
          <w:shd w:val="clear" w:color="auto" w:fill="FFFFFF"/>
        </w:rPr>
        <w:t>ՆԵՐ ԵՎ ՓՈՓՈԽՈՒԹՅՈՒՆՆԵՐ</w:t>
      </w:r>
      <w:r w:rsidR="0061316A" w:rsidRPr="0061316A">
        <w:rPr>
          <w:rFonts w:ascii="GHEA Grapalat" w:hAnsi="GHEA Grapalat"/>
          <w:b/>
          <w:bCs/>
          <w:color w:val="000000"/>
          <w:shd w:val="clear" w:color="auto" w:fill="FFFFFF"/>
        </w:rPr>
        <w:t xml:space="preserve"> ԿԱՏԱՐԵԼՈՒ ՄԱՍԻՆ</w:t>
      </w:r>
      <w:r w:rsidR="0061316A" w:rsidRPr="0061316A">
        <w:rPr>
          <w:rFonts w:ascii="GHEA Grapalat" w:hAnsi="GHEA Grapalat"/>
          <w:b/>
          <w:bCs/>
          <w:color w:val="000000"/>
          <w:shd w:val="clear" w:color="auto" w:fill="FFFFFF"/>
        </w:rPr>
        <w:t>»</w:t>
      </w:r>
      <w:r w:rsidR="00DF7485">
        <w:rPr>
          <w:rFonts w:ascii="GHEA Grapalat" w:hAnsi="GHEA Grapalat"/>
          <w:b/>
          <w:bCs/>
          <w:color w:val="000000"/>
          <w:shd w:val="clear" w:color="auto" w:fill="FFFFFF"/>
        </w:rPr>
        <w:t xml:space="preserve"> ՍԱՀՄԱՆԱԴՐԱԿԱՆ ՕՐԵՆՔԻ</w:t>
      </w:r>
      <w:r w:rsidR="0011011F" w:rsidRPr="0061316A">
        <w:rPr>
          <w:rFonts w:ascii="GHEA Grapalat" w:hAnsi="GHEA Grapalat"/>
          <w:b/>
          <w:bCs/>
        </w:rPr>
        <w:t xml:space="preserve"> ՆԱԽԱԳԾԵՐԻ</w:t>
      </w:r>
      <w:r w:rsidR="00824737" w:rsidRPr="0061316A">
        <w:rPr>
          <w:rFonts w:ascii="GHEA Grapalat" w:hAnsi="GHEA Grapalat"/>
          <w:b/>
          <w:bCs/>
        </w:rPr>
        <w:t xml:space="preserve"> ԸՆԴՈՒՆՄԱՆ</w:t>
      </w:r>
    </w:p>
    <w:p w14:paraId="1792AD66" w14:textId="577DE287" w:rsidR="00B04C12" w:rsidRPr="00B04C12" w:rsidRDefault="00B04C12" w:rsidP="00D55302">
      <w:pPr>
        <w:contextualSpacing/>
        <w:rPr>
          <w:b/>
          <w:bCs/>
        </w:rPr>
      </w:pPr>
    </w:p>
    <w:p w14:paraId="7112F17A" w14:textId="2E2D0CA8" w:rsidR="00B04C12" w:rsidRPr="00B04C12" w:rsidRDefault="00B04C12" w:rsidP="00D55302">
      <w:pPr>
        <w:numPr>
          <w:ilvl w:val="0"/>
          <w:numId w:val="1"/>
        </w:numPr>
        <w:tabs>
          <w:tab w:val="left" w:pos="993"/>
        </w:tabs>
        <w:ind w:left="0" w:firstLine="567"/>
        <w:contextualSpacing/>
      </w:pPr>
      <w:r w:rsidRPr="00B04C12">
        <w:rPr>
          <w:b/>
          <w:bCs/>
          <w:lang w:val="en-US"/>
        </w:rPr>
        <w:t>Ի</w:t>
      </w:r>
      <w:r w:rsidRPr="00B04C12">
        <w:rPr>
          <w:b/>
          <w:bCs/>
        </w:rPr>
        <w:t>րավական ակտ</w:t>
      </w:r>
      <w:r w:rsidR="00B30AA3">
        <w:rPr>
          <w:b/>
          <w:bCs/>
          <w:lang w:val="en-US"/>
        </w:rPr>
        <w:t>եր</w:t>
      </w:r>
      <w:r w:rsidRPr="00B04C12">
        <w:rPr>
          <w:b/>
          <w:bCs/>
        </w:rPr>
        <w:t>ի ընդունման անհրաժեշտությունը</w:t>
      </w:r>
      <w:r w:rsidR="0011011F">
        <w:rPr>
          <w:b/>
          <w:bCs/>
          <w:lang w:val="en-US"/>
        </w:rPr>
        <w:t>.</w:t>
      </w:r>
    </w:p>
    <w:p w14:paraId="2A53E5F3" w14:textId="776E7297" w:rsidR="00B04C12" w:rsidRDefault="00B04C12" w:rsidP="00D55302">
      <w:pPr>
        <w:contextualSpacing/>
      </w:pPr>
      <w:r w:rsidRPr="00B04C12">
        <w:t>«Ազդարարման համակարգի մասին»</w:t>
      </w:r>
      <w:r w:rsidR="0011011F" w:rsidRPr="0011011F">
        <w:t xml:space="preserve"> օրենքում փոփոխություններ և լրացումներ կատարելու մասին</w:t>
      </w:r>
      <w:r w:rsidRPr="00B04C12">
        <w:t xml:space="preserve">, «Կոռուպցիայի կանխարգելման հանձնաժողովի մասին»  </w:t>
      </w:r>
      <w:r w:rsidR="00B30AA3">
        <w:t>օրենք</w:t>
      </w:r>
      <w:r w:rsidRPr="00B04C12">
        <w:t>ում լրացումներ</w:t>
      </w:r>
      <w:r w:rsidR="002F2475" w:rsidRPr="002F2475">
        <w:t xml:space="preserve"> </w:t>
      </w:r>
      <w:r w:rsidRPr="00B04C12">
        <w:t>կատարելու մասին</w:t>
      </w:r>
      <w:r w:rsidR="002F2475" w:rsidRPr="002F2475">
        <w:t></w:t>
      </w:r>
      <w:r w:rsidRPr="00B04C12">
        <w:t xml:space="preserve"> օրենքի</w:t>
      </w:r>
      <w:r w:rsidR="00DF7485">
        <w:t>, «Մարդու իրավունքների պաշտպանի մասին» սահմանադրական օրենքում լրացումներ և փոփոխություններ կատարելու մասին» սահմանադրական օրենքի</w:t>
      </w:r>
      <w:r w:rsidRPr="00B04C12">
        <w:t xml:space="preserve"> նախագծի </w:t>
      </w:r>
      <w:r w:rsidRPr="00B04C12">
        <w:rPr>
          <w:bCs/>
        </w:rPr>
        <w:t xml:space="preserve">(այսուհետ նաև՝ </w:t>
      </w:r>
      <w:r w:rsidR="002F2475">
        <w:rPr>
          <w:bCs/>
        </w:rPr>
        <w:t>Նախագ</w:t>
      </w:r>
      <w:r w:rsidRPr="00B04C12">
        <w:rPr>
          <w:bCs/>
        </w:rPr>
        <w:t>ծ</w:t>
      </w:r>
      <w:r w:rsidR="002F2475" w:rsidRPr="002F2475">
        <w:rPr>
          <w:bCs/>
        </w:rPr>
        <w:t>եր</w:t>
      </w:r>
      <w:r w:rsidRPr="00B04C12">
        <w:rPr>
          <w:bCs/>
        </w:rPr>
        <w:t>)</w:t>
      </w:r>
      <w:r w:rsidRPr="00B04C12">
        <w:t xml:space="preserve"> </w:t>
      </w:r>
      <w:r w:rsidR="008A34DA">
        <w:t>ընդունումը</w:t>
      </w:r>
      <w:r w:rsidRPr="00B04C12">
        <w:t xml:space="preserve"> </w:t>
      </w:r>
      <w:r w:rsidRPr="00B04C12">
        <w:rPr>
          <w:bCs/>
        </w:rPr>
        <w:t>պայմանավորված է</w:t>
      </w:r>
      <w:r w:rsidRPr="00B04C12">
        <w:t xml:space="preserve"> ազդարարման համակարգի կատարելագործ</w:t>
      </w:r>
      <w:r w:rsidR="008A34DA">
        <w:t>ումը</w:t>
      </w:r>
      <w:r w:rsidR="00447FDF">
        <w:t>,</w:t>
      </w:r>
      <w:r w:rsidRPr="00B04C12">
        <w:t xml:space="preserve"> </w:t>
      </w:r>
      <w:r w:rsidR="00447FDF">
        <w:t>զարգացումը</w:t>
      </w:r>
      <w:r w:rsidRPr="00B04C12">
        <w:t xml:space="preserve"> </w:t>
      </w:r>
      <w:r w:rsidR="00B30AA3" w:rsidRPr="00B30AA3">
        <w:t>և ստանձնած միջազգային պարտավորությունների կատարումն ապահովելու</w:t>
      </w:r>
      <w:r w:rsidRPr="00B04C12">
        <w:t xml:space="preserve"> անհրաժեշտությամբ:</w:t>
      </w:r>
    </w:p>
    <w:p w14:paraId="41DBF511" w14:textId="77777777" w:rsidR="0050689F" w:rsidRPr="00B04C12" w:rsidRDefault="0050689F" w:rsidP="00D55302">
      <w:pPr>
        <w:contextualSpacing/>
      </w:pPr>
    </w:p>
    <w:p w14:paraId="6FA962D5" w14:textId="5F9CB29F" w:rsidR="00B04C12" w:rsidRPr="00B04C12" w:rsidRDefault="00B04C12" w:rsidP="00D55302">
      <w:pPr>
        <w:numPr>
          <w:ilvl w:val="0"/>
          <w:numId w:val="1"/>
        </w:numPr>
        <w:tabs>
          <w:tab w:val="left" w:pos="993"/>
        </w:tabs>
        <w:ind w:left="0" w:firstLine="567"/>
        <w:contextualSpacing/>
        <w:rPr>
          <w:b/>
          <w:bCs/>
        </w:rPr>
      </w:pPr>
      <w:r w:rsidRPr="00B04C12">
        <w:rPr>
          <w:b/>
          <w:bCs/>
        </w:rPr>
        <w:t>Կապը ռազմավարական փաստաթղթերի հետ. Հայաստանի վերափոխման ռազմավարություն 2050, Կառավարության 2021-2026թթ. ծրագիր, Հայաստանի Հանրապետության հակակոռուպցիոն ռազմավարության և դրա իրականացման 2019-2022 թվականների միջոցառումների ծրագիր.</w:t>
      </w:r>
    </w:p>
    <w:p w14:paraId="50417120" w14:textId="1EBBA42E" w:rsidR="00B04C12" w:rsidRDefault="00B04C12" w:rsidP="00D55302">
      <w:pPr>
        <w:contextualSpacing/>
      </w:pPr>
      <w:r w:rsidRPr="00B04C12">
        <w:rPr>
          <w:bCs/>
        </w:rPr>
        <w:t xml:space="preserve">Նախագծի ընդունումը պայմանավորված է Հայաստանի Հանրապետության կառավարության 2019 թվականի հոկտեմբերի 3-ի «Հայաստանի Հանրապետության հակակոռուպցիոն ռազմավարության և դրա իրականացման 2019-2022 թվականների միջոցառումների ծրագիրը հաստատելու մասին» N 1332-Ն որոշման </w:t>
      </w:r>
      <w:r w:rsidRPr="00B04C12">
        <w:rPr>
          <w:bCs/>
        </w:rPr>
        <w:lastRenderedPageBreak/>
        <w:t>միջոցառումների ծրագրի</w:t>
      </w:r>
      <w:r w:rsidRPr="00B04C12">
        <w:t xml:space="preserve"> 31-րդ կետի կարգավորմամբ, որով սահմանվել է ազդարարման համակարգը պարբերաբար կատարելագործելու և զարգացման նպատակով շարունակական աշխատանքներ  իրականացնելու անհրաժեշտությունը:</w:t>
      </w:r>
    </w:p>
    <w:p w14:paraId="1F963C00" w14:textId="39ED1073" w:rsidR="00DB5B26" w:rsidRPr="00EE7B88" w:rsidRDefault="00796E82" w:rsidP="00D55302">
      <w:pPr>
        <w:contextualSpacing/>
      </w:pPr>
      <w:r w:rsidRPr="00796E82">
        <w:rPr>
          <w:bCs/>
        </w:rPr>
        <w:t>Միաժամանակ,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որոշման հավելվածի 1-ի 16-րդ՝ Կոռուպցիայի դեմ պայքարը նպատակի</w:t>
      </w:r>
      <w:r w:rsidR="00A266DE" w:rsidRPr="00A266DE">
        <w:rPr>
          <w:bCs/>
        </w:rPr>
        <w:t xml:space="preserve"> 16.5-րդ </w:t>
      </w:r>
      <w:r w:rsidR="00663BBA">
        <w:rPr>
          <w:bCs/>
        </w:rPr>
        <w:t xml:space="preserve">միջոցառման շրջանակներում </w:t>
      </w:r>
      <w:r w:rsidR="00EE7B88" w:rsidRPr="00EE7B88">
        <w:rPr>
          <w:bCs/>
        </w:rPr>
        <w:t xml:space="preserve">նախատեսվել է </w:t>
      </w:r>
      <w:r w:rsidR="00663BBA" w:rsidRPr="00663BBA">
        <w:rPr>
          <w:bCs/>
        </w:rPr>
        <w:t xml:space="preserve">«Ազդարարման համակարգի մասին» օրենքում </w:t>
      </w:r>
      <w:r w:rsidR="00EE7B88" w:rsidRPr="00EE7B88">
        <w:rPr>
          <w:bCs/>
        </w:rPr>
        <w:t>իրականացնել</w:t>
      </w:r>
      <w:r w:rsidR="007730B6" w:rsidRPr="007730B6">
        <w:rPr>
          <w:bCs/>
        </w:rPr>
        <w:t xml:space="preserve"> համապատասխան փոփոխություններ</w:t>
      </w:r>
      <w:r w:rsidR="00EE7B88" w:rsidRPr="00EE7B88">
        <w:rPr>
          <w:bCs/>
        </w:rPr>
        <w:t>:</w:t>
      </w:r>
    </w:p>
    <w:p w14:paraId="799DBA41" w14:textId="77777777" w:rsidR="00B04C12" w:rsidRPr="00B04C12" w:rsidRDefault="00B04C12" w:rsidP="00D55302">
      <w:pPr>
        <w:contextualSpacing/>
      </w:pPr>
    </w:p>
    <w:p w14:paraId="32FF4374" w14:textId="77777777" w:rsidR="00B04C12" w:rsidRPr="00B04C12" w:rsidRDefault="00B04C12" w:rsidP="00D55302">
      <w:pPr>
        <w:contextualSpacing/>
        <w:rPr>
          <w:b/>
        </w:rPr>
      </w:pPr>
      <w:r w:rsidRPr="00B04C12">
        <w:rPr>
          <w:b/>
        </w:rPr>
        <w:t>3.Ընթացիկ իրավիճակը և խնդիրները.</w:t>
      </w:r>
    </w:p>
    <w:p w14:paraId="1D4A0027" w14:textId="4BCE2AFF" w:rsidR="00E52D15" w:rsidRPr="00000D86" w:rsidRDefault="00E52D15" w:rsidP="00D55302">
      <w:pPr>
        <w:contextualSpacing/>
      </w:pPr>
      <w:r w:rsidRPr="006121BF">
        <w:t xml:space="preserve">Ներկայումս </w:t>
      </w:r>
      <w:r w:rsidR="006121BF" w:rsidRPr="006121BF">
        <w:t>ա</w:t>
      </w:r>
      <w:r w:rsidRPr="006121BF">
        <w:t>զդարար</w:t>
      </w:r>
      <w:r w:rsidR="006121BF" w:rsidRPr="006121BF">
        <w:t>ման հետ կապված հարաբերությունները կարգավորվում են Ազդարարման համակարգի մասին</w:t>
      </w:r>
      <w:r w:rsidR="006121BF" w:rsidRPr="00BB4F8F">
        <w:t xml:space="preserve"> օրենքով</w:t>
      </w:r>
      <w:r w:rsidR="00FF552B" w:rsidRPr="00FF552B">
        <w:t xml:space="preserve"> (այսուհետ՝ Օրենք)</w:t>
      </w:r>
      <w:r w:rsidR="006121BF" w:rsidRPr="00BB4F8F">
        <w:t xml:space="preserve"> և դրանից բխող </w:t>
      </w:r>
      <w:r w:rsidR="00FF552B" w:rsidRPr="00FF552B">
        <w:t>ենթաօրենսդրական նորմատիվ</w:t>
      </w:r>
      <w:r w:rsidR="006121BF" w:rsidRPr="00BB4F8F">
        <w:t xml:space="preserve"> իրավական ակտերով:</w:t>
      </w:r>
      <w:r w:rsidR="00FF552B" w:rsidRPr="00EC224C">
        <w:t xml:space="preserve"> Օրենքի</w:t>
      </w:r>
      <w:r w:rsidR="008175C9" w:rsidRPr="008175C9">
        <w:t xml:space="preserve"> 1-ին հոդվածի համաձայն՝ օրենքը կարգավորում է ազդարարման, ազդարարման կարգի, ազդարարի իրավունքների, պետական և տեղական ինքնակառավարման մարմինների, պետական հիմնարկների և կազմակերպությունների, ինչպես նաև հանրային նշանակության կազմակերպությունների՝ ազդարարման հետ կապված պարտականությունների, ինչպես նաև ազդարարի և նրա հետ փոխկապակցված անձանց պաշտպանության հետ կապված հարաբերությունները:</w:t>
      </w:r>
      <w:r w:rsidR="001441EE">
        <w:t xml:space="preserve"> </w:t>
      </w:r>
    </w:p>
    <w:p w14:paraId="2B4AC177" w14:textId="3EEECD3B" w:rsidR="00FA03ED" w:rsidRPr="00FA03ED" w:rsidRDefault="00000D86" w:rsidP="00D55302">
      <w:pPr>
        <w:contextualSpacing/>
      </w:pPr>
      <w:r w:rsidRPr="0037252A">
        <w:t xml:space="preserve">Նշվածի հաշվառմամբ պետք է նշել, որ </w:t>
      </w:r>
      <w:r w:rsidR="0037252A" w:rsidRPr="0037252A">
        <w:t xml:space="preserve">ներկայումս </w:t>
      </w:r>
      <w:r w:rsidR="00D55302" w:rsidRPr="00D55302">
        <w:t xml:space="preserve">ազդարարման ինստիտուտի </w:t>
      </w:r>
      <w:r w:rsidR="00F542C2" w:rsidRPr="00F542C2">
        <w:t>ոչ բոլոր</w:t>
      </w:r>
      <w:r w:rsidR="00D55302" w:rsidRPr="00D55302">
        <w:t xml:space="preserve"> հիմնական</w:t>
      </w:r>
      <w:r w:rsidR="0037252A" w:rsidRPr="0037252A">
        <w:t xml:space="preserve"> </w:t>
      </w:r>
      <w:r w:rsidR="00F542C2">
        <w:t>նպատակներն</w:t>
      </w:r>
      <w:r w:rsidR="0037252A" w:rsidRPr="0037252A">
        <w:t xml:space="preserve"> </w:t>
      </w:r>
      <w:r w:rsidR="00F542C2">
        <w:t>են</w:t>
      </w:r>
      <w:r w:rsidR="0037252A" w:rsidRPr="0037252A">
        <w:t xml:space="preserve"> արտացոլվում Օրենքի կարգավորումներում</w:t>
      </w:r>
      <w:r w:rsidR="00D55302" w:rsidRPr="00D55302">
        <w:t>,</w:t>
      </w:r>
      <w:r w:rsidR="0037252A" w:rsidRPr="0037252A">
        <w:t xml:space="preserve"> և ըստ </w:t>
      </w:r>
      <w:r w:rsidR="00D55302" w:rsidRPr="00D55302">
        <w:t>այդմ</w:t>
      </w:r>
      <w:r w:rsidR="00FA03ED" w:rsidRPr="00FA03ED">
        <w:t xml:space="preserve"> անհրաժեշտություն է առաջացել</w:t>
      </w:r>
      <w:r w:rsidR="00F542C2" w:rsidRPr="00F542C2">
        <w:t xml:space="preserve"> վերանայել</w:t>
      </w:r>
      <w:r w:rsidR="00FA03ED" w:rsidRPr="00FA03ED">
        <w:t xml:space="preserve"> գործող կարգավորումները:</w:t>
      </w:r>
    </w:p>
    <w:p w14:paraId="090E4DDA" w14:textId="05122C0A" w:rsidR="00F308D0" w:rsidRDefault="00FA03ED" w:rsidP="00D55302">
      <w:pPr>
        <w:contextualSpacing/>
      </w:pPr>
      <w:r w:rsidRPr="00FA03ED">
        <w:t xml:space="preserve">Գործող օրենսդրության </w:t>
      </w:r>
      <w:r w:rsidR="00D55302">
        <w:t>խնդիրներ</w:t>
      </w:r>
      <w:r w:rsidR="00D55302" w:rsidRPr="00D55302">
        <w:t>ն</w:t>
      </w:r>
      <w:r w:rsidRPr="00FA03ED">
        <w:t xml:space="preserve"> </w:t>
      </w:r>
      <w:r w:rsidR="005914F9" w:rsidRPr="005914F9">
        <w:t>ընդգծվել</w:t>
      </w:r>
      <w:r w:rsidRPr="00FA03ED">
        <w:t xml:space="preserve"> </w:t>
      </w:r>
      <w:r w:rsidR="00D55302" w:rsidRPr="00D55302">
        <w:t>են</w:t>
      </w:r>
      <w:r w:rsidRPr="00FA03ED">
        <w:t xml:space="preserve"> նաև միջազգային </w:t>
      </w:r>
      <w:r w:rsidR="005914F9">
        <w:t>պարտավորությունների կիրարկման շրջանակներում</w:t>
      </w:r>
      <w:r w:rsidR="00A66498" w:rsidRPr="00A66498">
        <w:t xml:space="preserve">: </w:t>
      </w:r>
      <w:r w:rsidR="00A66498" w:rsidRPr="00EB38E2">
        <w:t>Մասնավորապես,</w:t>
      </w:r>
      <w:r w:rsidR="00EB38E2" w:rsidRPr="00EB38E2">
        <w:rPr>
          <w:rFonts w:eastAsia="Calibri" w:cs="Sylfaen"/>
        </w:rPr>
        <w:t xml:space="preserve"> </w:t>
      </w:r>
      <w:r w:rsidR="00EB38E2" w:rsidRPr="00EB38E2">
        <w:t xml:space="preserve">Տնտեսական համագործակցության և զարգացման կազմակերպության (այսուհետ՝ </w:t>
      </w:r>
      <w:r w:rsidR="00EB38E2" w:rsidRPr="00EB38E2">
        <w:lastRenderedPageBreak/>
        <w:t>ՏՀԶԿ) Արևելյան Եվրոպայի և Կենտրոնական Ասիայի երկրների հակակոռուպցիոն ցանցի Ստամբուլյան հակակոռուպցիոն գործողությունների ծրագրի շրջանակներում իրականացվել է գնահատման հինգերորդ պիլոտային փուլը</w:t>
      </w:r>
      <w:r w:rsidR="00F308D0" w:rsidRPr="00F308D0">
        <w:t>, որի շրջանակներում վեր են հանվել հետևյալ հիմնական խնդիրները.</w:t>
      </w:r>
    </w:p>
    <w:p w14:paraId="63AC0EF1" w14:textId="4DBD3F40" w:rsidR="00876CF4" w:rsidRPr="00E85D5C" w:rsidRDefault="00876CF4" w:rsidP="00D55302">
      <w:pPr>
        <w:pStyle w:val="ListParagraph"/>
        <w:numPr>
          <w:ilvl w:val="0"/>
          <w:numId w:val="2"/>
        </w:numPr>
        <w:tabs>
          <w:tab w:val="left" w:pos="993"/>
          <w:tab w:val="left" w:pos="1260"/>
        </w:tabs>
        <w:ind w:left="0" w:firstLine="567"/>
      </w:pPr>
      <w:r w:rsidRPr="00876CF4">
        <w:t>ա</w:t>
      </w:r>
      <w:r>
        <w:t xml:space="preserve">զդարարման </w:t>
      </w:r>
      <w:r w:rsidRPr="00876CF4">
        <w:t>համակարգի</w:t>
      </w:r>
      <w:r w:rsidRPr="00E85D5C">
        <w:t xml:space="preserve"> օրենսդրությունը</w:t>
      </w:r>
      <w:r w:rsidRPr="00876CF4">
        <w:t xml:space="preserve"> չի</w:t>
      </w:r>
      <w:r w:rsidRPr="00E85D5C">
        <w:t xml:space="preserve"> տարածվում մասնավոր հատվածի աշխատողների վրա</w:t>
      </w:r>
      <w:r w:rsidR="00AE064C">
        <w:t>,</w:t>
      </w:r>
    </w:p>
    <w:p w14:paraId="580BF45F" w14:textId="4718997D" w:rsidR="007D559B" w:rsidRPr="007D559B" w:rsidRDefault="00C276B0" w:rsidP="00D55302">
      <w:pPr>
        <w:pStyle w:val="ListParagraph"/>
        <w:numPr>
          <w:ilvl w:val="0"/>
          <w:numId w:val="2"/>
        </w:numPr>
        <w:tabs>
          <w:tab w:val="left" w:pos="993"/>
        </w:tabs>
        <w:ind w:left="0" w:firstLine="567"/>
      </w:pPr>
      <w:r w:rsidRPr="007D559B">
        <w:t xml:space="preserve">ազդարարման </w:t>
      </w:r>
      <w:r w:rsidR="007D559B" w:rsidRPr="007D559B">
        <w:t xml:space="preserve">դեպքում </w:t>
      </w:r>
      <w:r w:rsidR="00F57FC6">
        <w:t>օրենսդրությամբ</w:t>
      </w:r>
      <w:r w:rsidR="007D559B" w:rsidRPr="007D559B">
        <w:t xml:space="preserve"> ազդարարի դեմ ձեռնարկված գ</w:t>
      </w:r>
      <w:r w:rsidR="00F06770">
        <w:t>ործողությունների</w:t>
      </w:r>
      <w:r w:rsidR="00F06770" w:rsidRPr="00F06770">
        <w:t>՝ ազդարարման հետ</w:t>
      </w:r>
      <w:r w:rsidR="00F06770">
        <w:t xml:space="preserve"> </w:t>
      </w:r>
      <w:r w:rsidR="007D559B" w:rsidRPr="007D559B">
        <w:t>կապված</w:t>
      </w:r>
      <w:r w:rsidR="00EA0762" w:rsidRPr="00AE064C">
        <w:t xml:space="preserve"> չլինելու վերաբերյալ ապացուցման </w:t>
      </w:r>
      <w:r w:rsidR="00AE064C">
        <w:t xml:space="preserve">բեռի հետ կապված </w:t>
      </w:r>
      <w:r w:rsidR="00F57FC6" w:rsidRPr="00F57FC6">
        <w:t xml:space="preserve">սահմանված </w:t>
      </w:r>
      <w:r w:rsidR="00AE064C">
        <w:t xml:space="preserve">չեն </w:t>
      </w:r>
      <w:r w:rsidR="00D55302" w:rsidRPr="00D55302">
        <w:t>հատուկ</w:t>
      </w:r>
      <w:r w:rsidR="00AE064C" w:rsidRPr="00AE064C">
        <w:t xml:space="preserve"> կարգավորումներ,</w:t>
      </w:r>
    </w:p>
    <w:p w14:paraId="4472E356" w14:textId="4D1BF252" w:rsidR="00000D86" w:rsidRDefault="009C092E" w:rsidP="00D55302">
      <w:pPr>
        <w:pStyle w:val="ListParagraph"/>
        <w:numPr>
          <w:ilvl w:val="0"/>
          <w:numId w:val="2"/>
        </w:numPr>
        <w:tabs>
          <w:tab w:val="left" w:pos="993"/>
        </w:tabs>
        <w:ind w:left="0" w:firstLine="567"/>
      </w:pPr>
      <w:r w:rsidRPr="00E85D5C">
        <w:t>Օրենքը չի տրամադրում ազդարարողին քրեական ընթացակարգերից դուրս անձնական անվտանգության պաշտպանության միջոցներ</w:t>
      </w:r>
      <w:r w:rsidR="00BA2C79" w:rsidRPr="00BA2C79">
        <w:t>,</w:t>
      </w:r>
    </w:p>
    <w:p w14:paraId="442C1319" w14:textId="47BFCCB7" w:rsidR="00BA2C79" w:rsidRDefault="00BA2C79" w:rsidP="00D55302">
      <w:pPr>
        <w:pStyle w:val="ListParagraph"/>
        <w:numPr>
          <w:ilvl w:val="0"/>
          <w:numId w:val="2"/>
        </w:numPr>
        <w:tabs>
          <w:tab w:val="left" w:pos="993"/>
        </w:tabs>
        <w:ind w:left="0" w:firstLine="567"/>
      </w:pPr>
      <w:r w:rsidRPr="00BA2C79">
        <w:t>Օրենքը չի նախատեսում այնպիսի պաշտպանության միջոցներ, ինչպիսիք են խորհրդատվությունը, ժամանակավոր պաշտպանությունը և պետական իրավական օգնությունը</w:t>
      </w:r>
      <w:r w:rsidR="00F57FC6" w:rsidRPr="00F57FC6">
        <w:t>,</w:t>
      </w:r>
    </w:p>
    <w:p w14:paraId="60C0FB95" w14:textId="59B81D26" w:rsidR="005D6232" w:rsidRDefault="002915E2" w:rsidP="00D55302">
      <w:pPr>
        <w:pStyle w:val="ListParagraph"/>
        <w:numPr>
          <w:ilvl w:val="0"/>
          <w:numId w:val="2"/>
        </w:numPr>
        <w:tabs>
          <w:tab w:val="left" w:pos="993"/>
        </w:tabs>
        <w:ind w:left="0" w:firstLine="567"/>
      </w:pPr>
      <w:r>
        <w:t>հ</w:t>
      </w:r>
      <w:r w:rsidR="009062E6" w:rsidRPr="009062E6">
        <w:t xml:space="preserve">անրային </w:t>
      </w:r>
      <w:r w:rsidR="00D55302" w:rsidRPr="00D55302">
        <w:t>ազդարարման</w:t>
      </w:r>
      <w:r w:rsidR="009062E6" w:rsidRPr="009062E6">
        <w:t xml:space="preserve"> մեխանիզմներ նախատեսված չեն</w:t>
      </w:r>
      <w:r w:rsidR="005D6232">
        <w:t>,</w:t>
      </w:r>
      <w:r w:rsidR="00D55302" w:rsidRPr="00D55302">
        <w:t xml:space="preserve"> </w:t>
      </w:r>
    </w:p>
    <w:p w14:paraId="66E358D2" w14:textId="0FF233C1" w:rsidR="009062E6" w:rsidRPr="009062E6" w:rsidRDefault="005D6232" w:rsidP="005D6232">
      <w:pPr>
        <w:pStyle w:val="ListParagraph"/>
        <w:numPr>
          <w:ilvl w:val="0"/>
          <w:numId w:val="2"/>
        </w:numPr>
        <w:tabs>
          <w:tab w:val="left" w:pos="993"/>
        </w:tabs>
        <w:ind w:left="0" w:firstLine="567"/>
      </w:pPr>
      <w:r w:rsidRPr="002915E2">
        <w:t>չ</w:t>
      </w:r>
      <w:r w:rsidRPr="009062E6">
        <w:t>կա համապատասխան պատասխանատու մարմին, որը պատասխանատու է ազդարարների պաշտպանությունն ապահովելու</w:t>
      </w:r>
      <w:r w:rsidRPr="00D55302">
        <w:t xml:space="preserve"> և </w:t>
      </w:r>
      <w:r w:rsidRPr="009062E6">
        <w:t>ազդարարման նկատմամբ վերահսկողություն ապահովելու, մոնիթորինգի, ազդարարների պաշտպանության վերաբերյալ տվյալների հավաքագրման համար</w:t>
      </w:r>
      <w:r w:rsidRPr="00D55302">
        <w:t>:</w:t>
      </w:r>
    </w:p>
    <w:p w14:paraId="6CCA04C0" w14:textId="1A983AF8" w:rsidR="00B04C12" w:rsidRPr="00B04C12" w:rsidRDefault="00342D77" w:rsidP="00D55302">
      <w:pPr>
        <w:contextualSpacing/>
      </w:pPr>
      <w:r w:rsidRPr="00342D77">
        <w:t>Զուգահեռաբար, վերոնշյալի լույսի ներքո</w:t>
      </w:r>
      <w:r w:rsidR="00B04C12" w:rsidRPr="00B04C12">
        <w:t xml:space="preserve"> իրականացվել է</w:t>
      </w:r>
      <w:r w:rsidRPr="00342D77">
        <w:t xml:space="preserve"> նաև</w:t>
      </w:r>
      <w:r w:rsidR="00B04C12" w:rsidRPr="00B04C12">
        <w:t xml:space="preserve"> ազդարարման համակարգի օրենսդրության,</w:t>
      </w:r>
      <w:r w:rsidRPr="00342D77">
        <w:t xml:space="preserve"> </w:t>
      </w:r>
      <w:r w:rsidR="00B04C12" w:rsidRPr="00B04C12">
        <w:t>գործնականում վերջինիս կիրառության և դրանից բխող վիճակագրական տվյալների ուսումնասիրություն՝ օրենսդրական բացերը բացահայտելու նպատակով</w:t>
      </w:r>
      <w:r w:rsidR="002915E2">
        <w:t>:</w:t>
      </w:r>
    </w:p>
    <w:p w14:paraId="376F5FEC" w14:textId="78D2051D" w:rsidR="00B04C12" w:rsidRPr="00B04C12" w:rsidRDefault="00150ED3" w:rsidP="0042447B">
      <w:pPr>
        <w:contextualSpacing/>
      </w:pPr>
      <w:r w:rsidRPr="00150ED3">
        <w:t xml:space="preserve">Մասնավորապես, </w:t>
      </w:r>
      <w:r>
        <w:t>հ</w:t>
      </w:r>
      <w:r w:rsidR="00B04C12" w:rsidRPr="00B04C12">
        <w:t xml:space="preserve">ամաձայն </w:t>
      </w:r>
      <w:r w:rsidR="00D343A0">
        <w:t>Օ</w:t>
      </w:r>
      <w:r w:rsidR="00B04C12" w:rsidRPr="00B04C12">
        <w:t>րենքի 3-րդ հոդվածի</w:t>
      </w:r>
      <w:r w:rsidR="0042447B">
        <w:t xml:space="preserve"> ա</w:t>
      </w:r>
      <w:r w:rsidR="00B04C12" w:rsidRPr="00B04C12">
        <w:t>զդարարման</w:t>
      </w:r>
      <w:r w:rsidR="00B04C12" w:rsidRPr="00B04C12">
        <w:rPr>
          <w:rFonts w:ascii="Calibri" w:hAnsi="Calibri" w:cs="Calibri"/>
        </w:rPr>
        <w:t> </w:t>
      </w:r>
      <w:r w:rsidR="00B04C12" w:rsidRPr="00B04C12">
        <w:t>նպատակներն են՝</w:t>
      </w:r>
    </w:p>
    <w:p w14:paraId="46BFC48A" w14:textId="77777777" w:rsidR="00B04C12" w:rsidRPr="00B04C12" w:rsidRDefault="00B04C12" w:rsidP="00D55302">
      <w:pPr>
        <w:contextualSpacing/>
      </w:pPr>
      <w:r w:rsidRPr="00B04C12">
        <w:t xml:space="preserve">1) բացահայտել կոռուպցիոն բնույթի դեպքերը, շահերի բախման, էթիկայի կանոնների, անհամատեղելիության պահանջների և այլ սահմանափակումների, </w:t>
      </w:r>
      <w:r w:rsidRPr="00B04C12">
        <w:lastRenderedPageBreak/>
        <w:t>հայտարարագրման հետ կապված խախտումները, հանրային շահերին ուղղված այլ վնասները.</w:t>
      </w:r>
    </w:p>
    <w:p w14:paraId="45E3B9E0" w14:textId="77777777" w:rsidR="00B04C12" w:rsidRPr="00B04C12" w:rsidRDefault="00B04C12" w:rsidP="00D55302">
      <w:pPr>
        <w:contextualSpacing/>
      </w:pPr>
      <w:r w:rsidRPr="00B04C12">
        <w:t>2) նվազեցնել և կանխարգելել կոռուպցիան.</w:t>
      </w:r>
    </w:p>
    <w:p w14:paraId="4C5E94C0" w14:textId="77777777" w:rsidR="00B04C12" w:rsidRPr="00B04C12" w:rsidRDefault="00B04C12" w:rsidP="00D55302">
      <w:pPr>
        <w:contextualSpacing/>
      </w:pPr>
      <w:r w:rsidRPr="00B04C12">
        <w:t>3) նպաստել կոռուպցիայի նկատմամբ հասարակական անհանդուրժողական վերաբերմունքի ձևավորմանը:</w:t>
      </w:r>
    </w:p>
    <w:p w14:paraId="637D6370" w14:textId="5B79BE93" w:rsidR="00B04C12" w:rsidRPr="00B04C12" w:rsidRDefault="00B04C12" w:rsidP="00D55302">
      <w:pPr>
        <w:contextualSpacing/>
      </w:pPr>
      <w:r w:rsidRPr="00B04C12">
        <w:t>Օրենքով նախատեսվում է ներքին և արտաքին ազդարարման հնարավորություն:  Ներքին ազդարարումը ազդարարի կողմից իր անմիջական ղեկավարին կամ նրա վերադասին կամ նրա նկատմամբ վերահսկողություն իրականացնող այլ անձի կամ իրավասու մարմնի ղեկավարի լիազորած անձին հաղորդում ներկայացնելն է: Արտաքին  ազդարարումը ազդարարի կողմից իրավասու մարմին հաղորդում ներկայացնելն է</w:t>
      </w:r>
      <w:r w:rsidR="004E6F84">
        <w:t>:</w:t>
      </w:r>
    </w:p>
    <w:p w14:paraId="5C5CA9C9" w14:textId="77777777" w:rsidR="00B04C12" w:rsidRPr="00B04C12" w:rsidRDefault="00B04C12" w:rsidP="00D55302">
      <w:pPr>
        <w:contextualSpacing/>
      </w:pPr>
      <w:r w:rsidRPr="00B04C12">
        <w:t>Օրենքի 8-րդ և 9-րդ հոդվածներով սահմանված է միասնական էլեկտրոնային հարթակի միջոցով հանցագործությունների մասին հաղորդում տալու հնարավորություն՝ նախատեսելով նաև անանուն հաղորդում տալու հնարավորությունը:</w:t>
      </w:r>
    </w:p>
    <w:p w14:paraId="69EA65A6" w14:textId="77777777" w:rsidR="00B04C12" w:rsidRPr="00B04C12" w:rsidRDefault="00B04C12" w:rsidP="00D55302">
      <w:pPr>
        <w:contextualSpacing/>
      </w:pPr>
      <w:r w:rsidRPr="00B04C12">
        <w:t>Համաձայն Օրենքի 9-րդ հոդվածի 2-րդ մասի՝ Հայաստանի Հանրապետության գլխավոր դատախազությունն իր իրավասության շրջանակներում ապահովում է միասնական էլեկտրոնային հարթակ մուտքագրված յուրաքանչյուր հաղորդման հաշվառումը, քննարկումը, իր իրավասությունների շրջանակներում միջոցների ձեռնարկումը և անհրաժեշտության դեպքում՝ համապատասխան ակտի ընդունումը:</w:t>
      </w:r>
    </w:p>
    <w:p w14:paraId="604A8524" w14:textId="70E55FB7" w:rsidR="00B04C12" w:rsidRPr="00B04C12" w:rsidRDefault="00B04C12" w:rsidP="00D55302">
      <w:pPr>
        <w:contextualSpacing/>
      </w:pPr>
      <w:r w:rsidRPr="00B04C12">
        <w:t>Վերոնշյալ իրավանորմերի վերլուծությունից և համադրությունից պարզ է դառնում, որ Օրենքով նախատեսված կարգավորումներով</w:t>
      </w:r>
      <w:r w:rsidR="0048005E" w:rsidRPr="0048005E">
        <w:t>, բացառությամբ ներքին ազդարարման դեպքերի,</w:t>
      </w:r>
      <w:r w:rsidRPr="00B04C12">
        <w:t xml:space="preserve"> ընթացք են ստանում միայն հանցագործության հատկանիշներ պարունակող հաղորդումները: Մինչդեռ, Օրենքի համաձայն ազդարարման նպատակն է նաև նախատեսել շահերի բախման, էթիկայի կանոնների, անհամատեղելիության պահանջների և այլ սահմանափակումների, </w:t>
      </w:r>
      <w:r w:rsidRPr="00B04C12">
        <w:lastRenderedPageBreak/>
        <w:t>հայտարարագրման հետ կապված խախտումների վերաբերյալ հաղորդում տալու հնարավորությունը</w:t>
      </w:r>
      <w:r w:rsidR="00F81F00" w:rsidRPr="00F81F00">
        <w:t>:</w:t>
      </w:r>
    </w:p>
    <w:p w14:paraId="25E2AF3D" w14:textId="42FDA4AE" w:rsidR="00B04C12" w:rsidRDefault="00B04C12" w:rsidP="00D55302">
      <w:pPr>
        <w:contextualSpacing/>
      </w:pPr>
      <w:r w:rsidRPr="00B04C12">
        <w:t xml:space="preserve">Ստացվում է, որ անձը իրավասու մարմնին արտաքին ազդարարման </w:t>
      </w:r>
      <w:r w:rsidR="000C6D7B" w:rsidRPr="000C6D7B">
        <w:t xml:space="preserve">շրջանակներում </w:t>
      </w:r>
      <w:r w:rsidRPr="00B04C12">
        <w:t xml:space="preserve">կարող է ազդարարել նաև վարչական իրավախախտման հատկանիշներ կամ վարույթի հարուցման հիմքեր պարունակող դեպքերի վերաբերյալ, մինչդեռ </w:t>
      </w:r>
      <w:r w:rsidR="0048005E">
        <w:t xml:space="preserve">ազդարարման նշված դեպքերի </w:t>
      </w:r>
      <w:r w:rsidR="000C6D7B" w:rsidRPr="000C6D7B">
        <w:t xml:space="preserve">քննության նպատակով </w:t>
      </w:r>
      <w:r w:rsidR="0048005E">
        <w:t xml:space="preserve">նախատեսված չէ </w:t>
      </w:r>
      <w:r w:rsidR="00056481" w:rsidRPr="00056481">
        <w:t xml:space="preserve">պատասխանատու մարմին և այդ մարմնին ստացված հաղորդումներին ուղղակի հասանելիություն տրամադրելու </w:t>
      </w:r>
      <w:r w:rsidR="0095781F">
        <w:t>հնարավորություն</w:t>
      </w:r>
      <w:r w:rsidR="00056481" w:rsidRPr="00056481">
        <w:t>:</w:t>
      </w:r>
    </w:p>
    <w:p w14:paraId="083B6576" w14:textId="1DE1817C" w:rsidR="00140112" w:rsidRDefault="00467DDA" w:rsidP="00D55302">
      <w:pPr>
        <w:contextualSpacing/>
      </w:pPr>
      <w:r w:rsidRPr="00467DDA">
        <w:t xml:space="preserve">Բացի այդ, </w:t>
      </w:r>
      <w:r>
        <w:t>և</w:t>
      </w:r>
      <w:r w:rsidR="005C557E" w:rsidRPr="005C557E">
        <w:t>՛</w:t>
      </w:r>
      <w:r w:rsidR="00E53970" w:rsidRPr="00E53970">
        <w:t xml:space="preserve"> վերոգրյալ</w:t>
      </w:r>
      <w:r>
        <w:t xml:space="preserve"> </w:t>
      </w:r>
      <w:r w:rsidRPr="00467DDA">
        <w:t>միջազգային</w:t>
      </w:r>
      <w:r w:rsidRPr="00E53970">
        <w:t xml:space="preserve"> պարտավորությունների</w:t>
      </w:r>
      <w:r w:rsidR="005C557E" w:rsidRPr="005C557E">
        <w:t>,</w:t>
      </w:r>
      <w:r w:rsidRPr="00E53970">
        <w:t xml:space="preserve"> և</w:t>
      </w:r>
      <w:r w:rsidR="005C557E" w:rsidRPr="005C557E">
        <w:t>՛</w:t>
      </w:r>
      <w:r w:rsidRPr="00E53970">
        <w:t xml:space="preserve"> </w:t>
      </w:r>
      <w:r w:rsidR="00E53970" w:rsidRPr="00E53970">
        <w:t>այլ երկրների օրենսդրութ</w:t>
      </w:r>
      <w:r w:rsidR="00E53970" w:rsidRPr="00140112">
        <w:t>յան ուսումնասիրությունը ցույց է տալիս, որ ազդարարման կարևոր տեսակ է հանդիսանում հանրությանը ազդարարելու մեխանիզմը:</w:t>
      </w:r>
      <w:r w:rsidRPr="00467DDA">
        <w:t xml:space="preserve"> </w:t>
      </w:r>
      <w:r w:rsidR="00140112">
        <w:t>Ն</w:t>
      </w:r>
      <w:r w:rsidR="006D3E01" w:rsidRPr="006D3E01">
        <w:t>մանատիպ կարգավորումներ առկա են</w:t>
      </w:r>
      <w:r w:rsidR="00140112" w:rsidRPr="00140112">
        <w:t>, օրինակ</w:t>
      </w:r>
      <w:r w:rsidR="006D3E01" w:rsidRPr="006D3E01">
        <w:t xml:space="preserve"> Սերբիայում</w:t>
      </w:r>
      <w:r w:rsidR="008B0C4E">
        <w:rPr>
          <w:rStyle w:val="FootnoteReference"/>
        </w:rPr>
        <w:footnoteReference w:id="1"/>
      </w:r>
      <w:r w:rsidR="006D3E01" w:rsidRPr="006D3E01">
        <w:t xml:space="preserve">, </w:t>
      </w:r>
      <w:r w:rsidR="008B0C4E" w:rsidRPr="008B0C4E">
        <w:t>Լիտվայում</w:t>
      </w:r>
      <w:r w:rsidR="008B0C4E">
        <w:rPr>
          <w:rStyle w:val="FootnoteReference"/>
        </w:rPr>
        <w:footnoteReference w:id="2"/>
      </w:r>
      <w:r w:rsidR="008B0C4E" w:rsidRPr="008B0C4E">
        <w:t>, Լատվիայում</w:t>
      </w:r>
      <w:r w:rsidR="001C6498">
        <w:rPr>
          <w:rStyle w:val="FootnoteReference"/>
        </w:rPr>
        <w:footnoteReference w:id="3"/>
      </w:r>
      <w:r w:rsidR="008B0C4E" w:rsidRPr="008B0C4E">
        <w:t xml:space="preserve"> և այլ</w:t>
      </w:r>
      <w:r w:rsidR="00140112" w:rsidRPr="00140112">
        <w:t>ն</w:t>
      </w:r>
      <w:r w:rsidR="008B0C4E" w:rsidRPr="008B0C4E">
        <w:t>:</w:t>
      </w:r>
      <w:r w:rsidR="006323F5" w:rsidRPr="006323F5">
        <w:t xml:space="preserve"> </w:t>
      </w:r>
    </w:p>
    <w:p w14:paraId="4448833B" w14:textId="40022067" w:rsidR="00140112" w:rsidRDefault="00140112" w:rsidP="00D55302">
      <w:pPr>
        <w:contextualSpacing/>
      </w:pPr>
      <w:r w:rsidRPr="00617EE3">
        <w:t>Սույն երկրներում</w:t>
      </w:r>
      <w:r w:rsidR="00617EE3" w:rsidRPr="00617EE3">
        <w:t xml:space="preserve"> ազդարարման մյուս տեսակներին զուգահեռ գործում է նաև </w:t>
      </w:r>
      <w:r w:rsidR="00272CBB" w:rsidRPr="00272CBB">
        <w:t>հանրությանը</w:t>
      </w:r>
      <w:r w:rsidR="00617EE3" w:rsidRPr="00617EE3">
        <w:t xml:space="preserve"> ազդարարելու մեխանիզմը: Նշվածը իրենից ենթադրում է</w:t>
      </w:r>
      <w:r w:rsidR="000F0BA8" w:rsidRPr="000F0BA8">
        <w:t xml:space="preserve"> ազդարարի կողմից հասարակության լայն շրջանակներին բացահայտված խնդրի մասին տեղեկացնելը:</w:t>
      </w:r>
    </w:p>
    <w:p w14:paraId="1DD7BE5E" w14:textId="4CFA3051" w:rsidR="00B04C12" w:rsidRDefault="00A1022B" w:rsidP="00D55302">
      <w:pPr>
        <w:contextualSpacing/>
      </w:pPr>
      <w:r w:rsidRPr="00A1022B">
        <w:t xml:space="preserve">Առկա կարգավորումների պարագայում անհրաժեշտ է հստակեցնել նաև ազդարարներին տրվող պաշտպանության </w:t>
      </w:r>
      <w:r w:rsidR="00C55B3A">
        <w:t>մեխանիզմները</w:t>
      </w:r>
      <w:r w:rsidR="00272CBB" w:rsidRPr="00272CBB">
        <w:t>՝ սահմանելով</w:t>
      </w:r>
      <w:r w:rsidRPr="00A1022B">
        <w:t xml:space="preserve"> </w:t>
      </w:r>
      <w:r w:rsidR="002A18B6" w:rsidRPr="002A18B6">
        <w:t>ազդարարներին տրվող պաշտպանության եղանակների հստակ կառուցակարգեր:</w:t>
      </w:r>
    </w:p>
    <w:p w14:paraId="4F14AF08" w14:textId="6D29799A" w:rsidR="007A530E" w:rsidRPr="00E61984" w:rsidRDefault="007A530E" w:rsidP="007A530E">
      <w:r w:rsidRPr="00E61984">
        <w:t xml:space="preserve">Հարավային </w:t>
      </w:r>
      <w:r>
        <w:t>Կ</w:t>
      </w:r>
      <w:r w:rsidRPr="00E61984">
        <w:t>որեայում ազդարարման ինստիտուտի հետ կապված հարաբերությունները կարգավորվում են Հանրային շահերի ազդարարների պաշտպանության մասին ակտով</w:t>
      </w:r>
      <w:r w:rsidRPr="00E61984">
        <w:rPr>
          <w:rStyle w:val="FootnoteReference"/>
        </w:rPr>
        <w:footnoteReference w:id="4"/>
      </w:r>
      <w:r w:rsidRPr="00E61984">
        <w:t xml:space="preserve">: Ակտի 11-րդ հոդվածի 1-ին մասի համաձայն՝ եթե կան ողջամիտ հիմքեր կասկածելու, որ ազդարարը, նրա ազգականը կամ նրա հետ </w:t>
      </w:r>
      <w:r w:rsidRPr="00E61984">
        <w:lastRenderedPageBreak/>
        <w:t>համատեղ բնակվող անձը վնասվել է կամ առկա է վնասվելու վտանգ կապված ազդարարման հանգամանքի հետ, կիրառելի են Հատուկ հանցագործություններով տեղեկատվություն տրամադրողների պաշտպանության վերաբերյալ ակտի 7-րդ</w:t>
      </w:r>
      <w:r w:rsidR="00453A62">
        <w:t>,</w:t>
      </w:r>
      <w:r w:rsidRPr="00E61984">
        <w:t xml:space="preserve"> 9-12-րդ հոդվածներով սահմանված կարգավորումները </w:t>
      </w:r>
      <w:r w:rsidR="00453A62" w:rsidRPr="00453A62">
        <w:t>muta</w:t>
      </w:r>
      <w:r w:rsidR="004A4E48" w:rsidRPr="004A4E48">
        <w:t>tis mutandis</w:t>
      </w:r>
      <w:r w:rsidRPr="00E61984">
        <w:t xml:space="preserve">: Ընդ որում սույն պաշտպանության մեխանիզմները գործում են և քրեական և ոչ քրեական ազդարարման դեպքերի նկատմամբ: </w:t>
      </w:r>
    </w:p>
    <w:p w14:paraId="678BA4EA" w14:textId="77777777" w:rsidR="007A530E" w:rsidRPr="00E61984" w:rsidRDefault="007A530E" w:rsidP="007A530E">
      <w:r w:rsidRPr="00E61984">
        <w:t>Ազդարարներին տրվող անձնական պաշտպանության միջոցների վերաբերյալ հարաբերությունները կարգավորվում են 13-րդ հոդվածով: Նշված հոդվածի 1-ին մասի համաձայն՝ ազդարարի դիմումի հիման վրա իրավասու մարմինը անհրաժեշտության դեպքում դիմում է Ոստիկանության պետին անձնական պաշտպանություն տրամադրելու նպատակով: Ոստիկանության պետը անհապաղ ձեռնարկում է անձնական պաշտպանություն տրամադրելուն ուղղված միջոցներ:</w:t>
      </w:r>
    </w:p>
    <w:p w14:paraId="73428B22" w14:textId="77777777" w:rsidR="007A530E" w:rsidRPr="00E61984" w:rsidRDefault="007A530E" w:rsidP="007A530E">
      <w:r w:rsidRPr="00E61984">
        <w:t>Նշված օրենքով առկա է կարգավորում նաև ուղղված ազդարարին քրեական պատասխանատվությունից ազատելուն կամ պատիժը մեղմացնելուն: Մասնավորապես, Օրենքի 14-րդ հոդվածի 1-ին մասի համաձայն, եթե ազդարարը հաղորդման հետ կապված հանցավոր արարք է կատարել, վերջինս կարող է ազատվել պատժի կրումից կամ կրել մեղմացված պատիժ: Նույն հոդվածի 2-րդ մասով սահմանվում են ազդարարին վարչական պատասխանատվությունից ազատելու հիմքերը: Բացի այդ, սույն հոդվածով կարգավորվում են ազդարարի կողմից պատասխանատվության այլ տեսակներից ազատվելու դեպքերը, այդ թվում՝ մասնավոր բնույթի իրավահար</w:t>
      </w:r>
      <w:r>
        <w:t>ա</w:t>
      </w:r>
      <w:r w:rsidRPr="00E61984">
        <w:t>բերությունների շրջանակներում, եթե ազդարարի գործողությունները ինքնին խախտում չեն պարունակում:</w:t>
      </w:r>
    </w:p>
    <w:p w14:paraId="50EAC27A" w14:textId="6FBC07C0" w:rsidR="007D19B1" w:rsidRPr="00E61984" w:rsidRDefault="007D19B1" w:rsidP="007D19B1">
      <w:r w:rsidRPr="00E61984">
        <w:t>Լիտվայում ազդարարման ինստիտուտի հետ կապված հարաբերությունները կարգավորվում են Ազդարարների պաշտպանության մասին օրենքով</w:t>
      </w:r>
      <w:r w:rsidRPr="00E61984">
        <w:rPr>
          <w:rStyle w:val="FootnoteReference"/>
        </w:rPr>
        <w:footnoteReference w:id="5"/>
      </w:r>
      <w:r w:rsidRPr="00E61984">
        <w:t>: Օրենքի 8-րդ հոդվածով սահմանվում են ազդարարին պաշտպանություն տրամադրելու վերաբերյալ դրույթները: Ըստ նշված հոդվածի ազդարարին տրվում են</w:t>
      </w:r>
      <w:r w:rsidRPr="007D19B1">
        <w:t xml:space="preserve"> </w:t>
      </w:r>
      <w:r w:rsidRPr="00E61984">
        <w:lastRenderedPageBreak/>
        <w:t>պաշտպանության, խրախուսման և աջակցության տրամադրման հետևյալ հիմնական միջոցները.</w:t>
      </w:r>
    </w:p>
    <w:p w14:paraId="59339484" w14:textId="77777777" w:rsidR="007D19B1" w:rsidRPr="00E61984" w:rsidRDefault="007D19B1" w:rsidP="007D19B1">
      <w:r w:rsidRPr="00E61984">
        <w:t>(1) խախտումների մասին զեկուցելու անվտանգ ուղիների ապահովում.</w:t>
      </w:r>
    </w:p>
    <w:p w14:paraId="2AD56FC2" w14:textId="77777777" w:rsidR="007D19B1" w:rsidRPr="00E61984" w:rsidRDefault="007D19B1" w:rsidP="007D19B1">
      <w:r w:rsidRPr="00E61984">
        <w:t>(2) անձի գաղտնիության ապահովում.</w:t>
      </w:r>
    </w:p>
    <w:p w14:paraId="592D3D37" w14:textId="77777777" w:rsidR="007D19B1" w:rsidRPr="00E61984" w:rsidRDefault="007D19B1" w:rsidP="007D19B1">
      <w:r w:rsidRPr="00E61984">
        <w:t>3) տեղեկատվություն զեկուցած անձի նկատմամբ անբարենպաստ գործողություններ ձեռնարկելու արգելք</w:t>
      </w:r>
      <w:r>
        <w:t>.</w:t>
      </w:r>
    </w:p>
    <w:p w14:paraId="37925BB8" w14:textId="77777777" w:rsidR="007D19B1" w:rsidRPr="00E61984" w:rsidRDefault="007D19B1" w:rsidP="007D19B1">
      <w:r w:rsidRPr="00E61984">
        <w:t>4) արժեքավոր տեղեկատվության համար վարձատրվելու իրավունք.</w:t>
      </w:r>
    </w:p>
    <w:p w14:paraId="04D57B89" w14:textId="77777777" w:rsidR="007D19B1" w:rsidRPr="00E61984" w:rsidRDefault="007D19B1" w:rsidP="007D19B1">
      <w:r w:rsidRPr="00E61984">
        <w:t>5) փոխհատուցման իրավունք.</w:t>
      </w:r>
    </w:p>
    <w:p w14:paraId="0CF0FA82" w14:textId="77777777" w:rsidR="007D19B1" w:rsidRPr="00E61984" w:rsidRDefault="007D19B1" w:rsidP="007D19B1">
      <w:r w:rsidRPr="00E61984">
        <w:t>6) անվճար իրավաբանական օգնության ապահովում.</w:t>
      </w:r>
    </w:p>
    <w:p w14:paraId="13C7087F" w14:textId="77777777" w:rsidR="007D19B1" w:rsidRPr="00E61984" w:rsidRDefault="007D19B1" w:rsidP="007D19B1">
      <w:r w:rsidRPr="00E61984">
        <w:t>7) պատասխանատվությունից ազատում:</w:t>
      </w:r>
    </w:p>
    <w:p w14:paraId="1F8002D5" w14:textId="13F4EEF0" w:rsidR="007D19B1" w:rsidRDefault="007D19B1" w:rsidP="007D19B1">
      <w:r w:rsidRPr="00E61984">
        <w:t>Նույն օրենքի 11-րդ հոդվածի համաձայն վնասակար գործողության ենթարկված անձը կարող է դիմել լիազոր մարմնին, հայտնելով նման գործողությունների և դրա հետևանքների մասին: Լիազոր մարմինը նշվածի հիման վրա դիմում է համապատասխան պետական կառույցին</w:t>
      </w:r>
      <w:r w:rsidRPr="007D19B1">
        <w:t>`</w:t>
      </w:r>
      <w:r w:rsidRPr="00E61984">
        <w:t xml:space="preserve"> նշելով այն հիմնական երաշխիքները, որոնք ենթակա են ապահովման: </w:t>
      </w:r>
    </w:p>
    <w:p w14:paraId="0BEC4CC7" w14:textId="77777777" w:rsidR="00192FA2" w:rsidRPr="00E61984" w:rsidRDefault="00192FA2" w:rsidP="00192FA2">
      <w:r w:rsidRPr="00E61984">
        <w:t>Լատվիայում ազդարարման հետ կապված իրավահարաբերությունները կարգավորվում են Ազդարարման մասին օրենքով</w:t>
      </w:r>
      <w:r w:rsidRPr="00E61984">
        <w:rPr>
          <w:rStyle w:val="FootnoteReference"/>
        </w:rPr>
        <w:footnoteReference w:id="6"/>
      </w:r>
      <w:r w:rsidRPr="00E61984">
        <w:t>: Օրենքի 10-րդ հոդվածով սահմանվում են ազդարարներին տրվող պաշտպանության միջոցները: Համաձայն նշված հոդվածի ազդարարի կողմից օրենքով սահմանված ընթացակարգերով հաղորդում ներկայացնելուց հետո ազդարարին օրենսդրությամբ սահմանված կարգով տրվում է.</w:t>
      </w:r>
    </w:p>
    <w:p w14:paraId="034A2405" w14:textId="77777777" w:rsidR="00192FA2" w:rsidRPr="00E61984" w:rsidRDefault="00192FA2" w:rsidP="00192FA2">
      <w:r w:rsidRPr="00E61984">
        <w:t>1) ինքնության պաշտպանություն</w:t>
      </w:r>
      <w:r>
        <w:t>.</w:t>
      </w:r>
    </w:p>
    <w:p w14:paraId="4E54905C" w14:textId="77777777" w:rsidR="00192FA2" w:rsidRPr="00E61984" w:rsidRDefault="00192FA2" w:rsidP="00192FA2">
      <w:r w:rsidRPr="00E61984">
        <w:t>2) պաշտպանություն ազդարարման հետևանքով առաջացած անբարենպաստ ազդեցություններից.</w:t>
      </w:r>
    </w:p>
    <w:p w14:paraId="1D32EA46" w14:textId="77777777" w:rsidR="00192FA2" w:rsidRPr="00E61984" w:rsidRDefault="00192FA2" w:rsidP="00192FA2">
      <w:r w:rsidRPr="00E61984">
        <w:t>3) պետության կողմից երաշխավորված իրավաբանական օգնություն.</w:t>
      </w:r>
    </w:p>
    <w:p w14:paraId="45524989" w14:textId="77777777" w:rsidR="00192FA2" w:rsidRPr="00E61984" w:rsidRDefault="00192FA2" w:rsidP="00192FA2">
      <w:r w:rsidRPr="00E61984">
        <w:lastRenderedPageBreak/>
        <w:t>4) քաղաքացիական և վարչական դատավարություններում պետական տուրքի վճարման պարտականությունից ազատում.</w:t>
      </w:r>
    </w:p>
    <w:p w14:paraId="00DBD8E7" w14:textId="77777777" w:rsidR="00192FA2" w:rsidRPr="00E61984" w:rsidRDefault="00192FA2" w:rsidP="00192FA2">
      <w:r w:rsidRPr="00E61984">
        <w:t>5) ժամանակավոր պաշտպանության ապահովում քաղաքացիական և վարչական դատավարություններով դատարաններում քննվող գործերով.</w:t>
      </w:r>
    </w:p>
    <w:p w14:paraId="0D1CB804" w14:textId="77777777" w:rsidR="00192FA2" w:rsidRPr="00E61984" w:rsidRDefault="00192FA2" w:rsidP="00192FA2">
      <w:r w:rsidRPr="00E61984">
        <w:t>6) իրավական պատասխանատվությունից ազատելը.</w:t>
      </w:r>
    </w:p>
    <w:p w14:paraId="21CC175F" w14:textId="77777777" w:rsidR="00192FA2" w:rsidRPr="00E61984" w:rsidRDefault="00192FA2" w:rsidP="00192FA2">
      <w:r w:rsidRPr="00E61984">
        <w:t>7) կորստի կամ անձնական վնասի, ինչպես նաև բարոյական վնասի համար համապատասխան հատուցում.</w:t>
      </w:r>
    </w:p>
    <w:p w14:paraId="351C69F8" w14:textId="6D2791B0" w:rsidR="007A530E" w:rsidRPr="00192FA2" w:rsidRDefault="00192FA2" w:rsidP="00192FA2">
      <w:r w:rsidRPr="00E61984">
        <w:t>8) խորհրդակցություններ իր իրավունքների պաշտպանության վերաբերյալ</w:t>
      </w:r>
      <w:r w:rsidRPr="00192FA2">
        <w:t>:</w:t>
      </w:r>
    </w:p>
    <w:p w14:paraId="103429E3" w14:textId="3C53E535" w:rsidR="00ED2C1A" w:rsidRPr="009062E6" w:rsidRDefault="00030A72" w:rsidP="005B58D4">
      <w:pPr>
        <w:contextualSpacing/>
      </w:pPr>
      <w:r>
        <w:t>Բացի այդ,</w:t>
      </w:r>
      <w:r w:rsidR="005B58D4">
        <w:t xml:space="preserve"> </w:t>
      </w:r>
      <w:r w:rsidR="00ED2C1A" w:rsidRPr="009062E6">
        <w:t>ազդարարների պաշտպանությունն ապահովելու</w:t>
      </w:r>
      <w:r w:rsidR="00ED2C1A" w:rsidRPr="00D55302">
        <w:t xml:space="preserve"> և </w:t>
      </w:r>
      <w:r w:rsidR="00ED2C1A" w:rsidRPr="009062E6">
        <w:t xml:space="preserve">ազդարարման նկատմամբ վերահսկողություն ապահովելու, մոնիթորինգի, ազդարարների պաշտպանության վերաբերյալ տվյալների հավաքագրման </w:t>
      </w:r>
      <w:r w:rsidR="00ED2C1A">
        <w:t xml:space="preserve">ոլորտում </w:t>
      </w:r>
      <w:r w:rsidR="005B58D4">
        <w:t>պատասխանատու մարմին սահմանված չէ</w:t>
      </w:r>
      <w:r w:rsidR="00ED2C1A" w:rsidRPr="00D55302">
        <w:t>:</w:t>
      </w:r>
    </w:p>
    <w:p w14:paraId="3387E059" w14:textId="241B3333" w:rsidR="00E555D4" w:rsidRDefault="00004299" w:rsidP="007D0C72">
      <w:pPr>
        <w:contextualSpacing/>
      </w:pPr>
      <w:r>
        <w:t>Հաշվի առնելով Մարդու իրավունքների պաշտպանի սահմանադրաիրավական կարգավիճակը</w:t>
      </w:r>
      <w:r w:rsidR="00002488">
        <w:t xml:space="preserve"> և վերջինիս վերապահված լիազորությունների շրջանակը՝ ազդարարների պ</w:t>
      </w:r>
      <w:r w:rsidR="00E555D4">
        <w:t>աշտպանությունը՝ որպես մարդու իրավունքների պաշտպանությանն համակարգի տարր, ևս նպատակահարմար է վերապահել Մարդու իրավունքների պաշտպանին</w:t>
      </w:r>
      <w:r w:rsidR="007D0C72">
        <w:t>, որը որպես ա</w:t>
      </w:r>
      <w:r w:rsidR="00E555D4">
        <w:t xml:space="preserve">նկախության </w:t>
      </w:r>
      <w:r w:rsidR="007D0C72">
        <w:t xml:space="preserve">բավարար </w:t>
      </w:r>
      <w:r w:rsidR="00E555D4">
        <w:t xml:space="preserve">երաշխիքներ ունեցող </w:t>
      </w:r>
      <w:r w:rsidR="007D0C72">
        <w:t xml:space="preserve">մարմին հնարավորիս արդյունավետ կապահովի ազդարարների պաշտպանությունն ու ազդարարման ոլորտում մյուս </w:t>
      </w:r>
      <w:r w:rsidR="00310688">
        <w:t>լիազորությունների կատարումը</w:t>
      </w:r>
      <w:r w:rsidR="007D0C72">
        <w:t>:</w:t>
      </w:r>
    </w:p>
    <w:p w14:paraId="74D5D4C0" w14:textId="6373927A" w:rsidR="00310688" w:rsidRPr="007B73C9" w:rsidRDefault="00310688" w:rsidP="00310688">
      <w:r w:rsidRPr="000C4412">
        <w:t xml:space="preserve">Միջազգային փորձի ուսումնասիրությունը </w:t>
      </w:r>
      <w:r>
        <w:t xml:space="preserve">ևս </w:t>
      </w:r>
      <w:r w:rsidRPr="000C4412">
        <w:t xml:space="preserve">ցույց է տալիս, որ </w:t>
      </w:r>
      <w:r>
        <w:t>տ</w:t>
      </w:r>
      <w:r w:rsidRPr="00B54ABC">
        <w:t>արբեր երկրներում առկա են Մարդու իրավունքների պաշտպանին ազդարարման ոլորտում տրված</w:t>
      </w:r>
      <w:r w:rsidRPr="000C4412">
        <w:t xml:space="preserve"> </w:t>
      </w:r>
      <w:r>
        <w:t>լիազորություններ</w:t>
      </w:r>
      <w:r>
        <w:rPr>
          <w:rStyle w:val="FootnoteReference"/>
        </w:rPr>
        <w:footnoteReference w:id="7"/>
      </w:r>
      <w:r>
        <w:t>:</w:t>
      </w:r>
      <w:r w:rsidRPr="00436A30">
        <w:t xml:space="preserve"> </w:t>
      </w:r>
      <w:r w:rsidRPr="00994939">
        <w:t xml:space="preserve">Որոշ </w:t>
      </w:r>
      <w:r>
        <w:t>երկրներ ապահովում են, որ ՄԻՊ-ը պարբերաբար</w:t>
      </w:r>
      <w:r w:rsidRPr="00815E49">
        <w:t xml:space="preserve"> հրապարակի ուղեցույցեր և պարբերական զեկույցներ հանրային </w:t>
      </w:r>
      <w:r>
        <w:t>ծառայողների կողմից ազդարարման վերաբերյալ: Բացի այդ, օրինակ</w:t>
      </w:r>
      <w:r w:rsidRPr="00916BD3">
        <w:t>՝</w:t>
      </w:r>
      <w:r>
        <w:t xml:space="preserve"> Նոր Զելանդիայում</w:t>
      </w:r>
      <w:r w:rsidRPr="00916BD3">
        <w:t xml:space="preserve"> ՄԻՊ-ը </w:t>
      </w:r>
      <w:r w:rsidRPr="00916BD3">
        <w:lastRenderedPageBreak/>
        <w:t>կարող է ստանալ բողոքներ ազդարարներից և նրանց տալ խորհրդատվություն</w:t>
      </w:r>
      <w:r>
        <w:t xml:space="preserve">: </w:t>
      </w:r>
      <w:r w:rsidRPr="00C87C5E">
        <w:t>Նման կառուցակարգեր առկան են նաև Կանադայում</w:t>
      </w:r>
      <w:r>
        <w:t xml:space="preserve">: Կանադայում </w:t>
      </w:r>
      <w:r w:rsidRPr="000B6153">
        <w:t xml:space="preserve">Հանրային </w:t>
      </w:r>
      <w:r>
        <w:t xml:space="preserve">մարմիններում </w:t>
      </w:r>
      <w:r w:rsidRPr="000B6153">
        <w:t>իրավախախտումների բացահայտմանը նպաստող ակտ-ով խրախուսում է ցանկացած անձի դիմել Քվեբեկի օմբուդսմենին</w:t>
      </w:r>
      <w:r w:rsidRPr="00734209">
        <w:t>՝ ազդարարման հետ կապված խորհրդատվություն ստանալու նպատակով</w:t>
      </w:r>
      <w:r>
        <w:rPr>
          <w:rStyle w:val="FootnoteReference"/>
        </w:rPr>
        <w:footnoteReference w:id="8"/>
      </w:r>
      <w:r w:rsidRPr="00734209">
        <w:t>:</w:t>
      </w:r>
      <w:r w:rsidRPr="00E679F0">
        <w:t xml:space="preserve"> </w:t>
      </w:r>
      <w:r w:rsidRPr="007B73C9">
        <w:t>Բելգիայում ազդարարման հետ կապված իրավահարաբերություններում ՄԻՊ-ը ևս ունի որոշակի լիազորություններ:</w:t>
      </w:r>
      <w:r w:rsidRPr="00A95ED8">
        <w:t xml:space="preserve"> </w:t>
      </w:r>
      <w:r>
        <w:t>Վարչական շրջաններից մեկում</w:t>
      </w:r>
      <w:r w:rsidRPr="007B73C9">
        <w:t xml:space="preserve"> ՄԻՊ-ը հանդիսանում է</w:t>
      </w:r>
      <w:r w:rsidRPr="00A95ED8">
        <w:t xml:space="preserve"> արտաքին ազդարարման պատասխանատու</w:t>
      </w:r>
      <w:r>
        <w:rPr>
          <w:rStyle w:val="FootnoteReference"/>
        </w:rPr>
        <w:footnoteReference w:id="9"/>
      </w:r>
      <w:r w:rsidRPr="00A95ED8">
        <w:t>:</w:t>
      </w:r>
      <w:r w:rsidRPr="00A51E9F">
        <w:t xml:space="preserve"> </w:t>
      </w:r>
      <w:r>
        <w:t>Հուն</w:t>
      </w:r>
      <w:r w:rsidRPr="00A51E9F">
        <w:t xml:space="preserve">գարիայում </w:t>
      </w:r>
      <w:r w:rsidRPr="00720536">
        <w:t xml:space="preserve">ՄԻՊ-ը հանդիսանում է արտաքին ազդարարման պատասխանատու մարմին և արտաքին ազդարարումների հաշվառումը, </w:t>
      </w:r>
      <w:r>
        <w:t xml:space="preserve">հաղորդումների ուսումնասիրությունները և </w:t>
      </w:r>
      <w:r w:rsidRPr="00246A06">
        <w:t>ազդարարների պաշտպանության հետ կապված հարաբերությունները համակարգվում է վերջինիս կողմից</w:t>
      </w:r>
      <w:r>
        <w:rPr>
          <w:rStyle w:val="FootnoteReference"/>
        </w:rPr>
        <w:footnoteReference w:id="10"/>
      </w:r>
      <w:r w:rsidRPr="00246A06">
        <w:t>:</w:t>
      </w:r>
    </w:p>
    <w:p w14:paraId="4A4FD14C" w14:textId="490B6DF0" w:rsidR="00310688" w:rsidRDefault="00785CCD" w:rsidP="00310688">
      <w:r>
        <w:t>Տ</w:t>
      </w:r>
      <w:r w:rsidR="00310688" w:rsidRPr="00E679F0">
        <w:t xml:space="preserve">եսական աղբյուրներում ազդարարների՝ ՄԻՊ-ին դիմելու պրակտիկան </w:t>
      </w:r>
      <w:r>
        <w:t xml:space="preserve">ևս </w:t>
      </w:r>
      <w:r w:rsidR="00310688" w:rsidRPr="00E679F0">
        <w:t>համարվում է ընդունելի</w:t>
      </w:r>
      <w:r w:rsidR="00310688">
        <w:rPr>
          <w:rStyle w:val="FootnoteReference"/>
        </w:rPr>
        <w:footnoteReference w:id="11"/>
      </w:r>
      <w:r w:rsidR="00310688" w:rsidRPr="00E679F0">
        <w:t xml:space="preserve">: </w:t>
      </w:r>
    </w:p>
    <w:p w14:paraId="731D1AB6" w14:textId="3F467924" w:rsidR="00310688" w:rsidRPr="009F1EE4" w:rsidRDefault="00310688" w:rsidP="00310688">
      <w:r w:rsidRPr="00246A06">
        <w:t xml:space="preserve">Վերոգրյալ միջազգային փորձի վերլուծության արդյունքում կարելի է արձանագրել, որ ՄԻՊ-ի կարգավիճակով պայմանավորված մի շարք երկրներում </w:t>
      </w:r>
      <w:r w:rsidRPr="006D3459">
        <w:t xml:space="preserve">վերջինիս են տրամադրվում ազդարարման համակարգի գործունեության ապահովման մի շարք լիազորություններ: Միջազգային փորձի հաշվառմամբ հարկ է նշել, որ ՀՀ-ում ևս ՄԻՊ-ը ունի </w:t>
      </w:r>
      <w:r w:rsidR="00CA4402">
        <w:t>անձանց</w:t>
      </w:r>
      <w:r w:rsidRPr="006D3459">
        <w:t xml:space="preserve"> իրավունքների պաշտպանության </w:t>
      </w:r>
      <w:r w:rsidRPr="00790350">
        <w:t>լայն գործիքակազմ: Ուստի</w:t>
      </w:r>
      <w:r w:rsidRPr="00A8753F">
        <w:t>,</w:t>
      </w:r>
      <w:r w:rsidRPr="00790350">
        <w:t xml:space="preserve"> հաշվի առնելով </w:t>
      </w:r>
      <w:r>
        <w:t>վերոգրյալը, ին</w:t>
      </w:r>
      <w:r w:rsidR="00CA4402">
        <w:t>չ</w:t>
      </w:r>
      <w:r>
        <w:t>պես նաև պետական իշխանության մարմիններ</w:t>
      </w:r>
      <w:r w:rsidRPr="009F1EE4">
        <w:t xml:space="preserve">ում ՄԻՊ-ի ունեցած դերը և նշանակությունը </w:t>
      </w:r>
      <w:r w:rsidR="00CA4402">
        <w:lastRenderedPageBreak/>
        <w:t>առաջարկվում</w:t>
      </w:r>
      <w:r w:rsidRPr="009F1EE4">
        <w:t xml:space="preserve"> է դիտարկել ՄԻՊ-ի՝ </w:t>
      </w:r>
      <w:r w:rsidR="00CA4402">
        <w:t>ա</w:t>
      </w:r>
      <w:r w:rsidRPr="009F1EE4">
        <w:t xml:space="preserve">զդարարման համակարգի միասնական մարմին հանդիսանալու հնարավորությունը: </w:t>
      </w:r>
    </w:p>
    <w:p w14:paraId="78AEF157" w14:textId="77777777" w:rsidR="00B04C12" w:rsidRPr="00B04C12" w:rsidRDefault="00B04C12" w:rsidP="005538A4">
      <w:pPr>
        <w:ind w:firstLine="0"/>
        <w:contextualSpacing/>
      </w:pPr>
    </w:p>
    <w:p w14:paraId="359BAD42" w14:textId="201586D9" w:rsidR="00955325" w:rsidRPr="00955325" w:rsidRDefault="00B04C12" w:rsidP="00955325">
      <w:pPr>
        <w:contextualSpacing/>
        <w:rPr>
          <w:b/>
          <w:bCs/>
        </w:rPr>
      </w:pPr>
      <w:r w:rsidRPr="00B04C12">
        <w:rPr>
          <w:b/>
          <w:bCs/>
        </w:rPr>
        <w:t>4.</w:t>
      </w:r>
      <w:r w:rsidRPr="00B04C12">
        <w:t xml:space="preserve"> </w:t>
      </w:r>
      <w:r w:rsidRPr="00B04C12">
        <w:rPr>
          <w:b/>
          <w:bCs/>
        </w:rPr>
        <w:t>Առաջարկվող կարգավորման բնույթը</w:t>
      </w:r>
    </w:p>
    <w:p w14:paraId="0901228D" w14:textId="77777777" w:rsidR="00955325" w:rsidRPr="00955325" w:rsidRDefault="00955325" w:rsidP="00D55302">
      <w:pPr>
        <w:contextualSpacing/>
        <w:rPr>
          <w:bCs/>
        </w:rPr>
      </w:pPr>
      <w:r w:rsidRPr="00955325">
        <w:rPr>
          <w:bCs/>
        </w:rPr>
        <w:t xml:space="preserve">Վերոգրյալի հաշվառմամբ Նախագծերով առաջարկվում է ազդարարման հետ կապված հարաբերությունները, բացառությամբ ներքին ազդարարումից, տարածել նաև մասնավոր ոլորտի կազմակերպությունների վրա՝ նման կերպ ազդարարման համակարգի կիրառության ոլորտում ներառելով ոչ միայն պետական կազմակերպությունները, այլև համայնքային, ինչպես նաև մասնավոր ոլորտի առևտրային և ոչ առևտրային կազմակերպությունները։ </w:t>
      </w:r>
    </w:p>
    <w:p w14:paraId="7A2D4806" w14:textId="53DD9099" w:rsidR="00B04C12" w:rsidRPr="00B04C12" w:rsidRDefault="00955325" w:rsidP="00D55302">
      <w:pPr>
        <w:contextualSpacing/>
      </w:pPr>
      <w:r w:rsidRPr="00955325">
        <w:rPr>
          <w:bCs/>
        </w:rPr>
        <w:t>Ն</w:t>
      </w:r>
      <w:r w:rsidR="001D7F41" w:rsidRPr="001D7F41">
        <w:rPr>
          <w:bCs/>
        </w:rPr>
        <w:t xml:space="preserve">ախագծերով առաջարկվում է </w:t>
      </w:r>
      <w:r w:rsidR="00B04C12" w:rsidRPr="00B04C12">
        <w:t>նախատեսել կոռուպցիոն բնույթի՝ հանցագործություն չհանդիսացող իրավիճակների դեպքերում ազդարարում տալու, այդ թվում՝ անանուն ազդարարելու հնարավորությունը՝ միաժամանակ սահմանելով ազդարարման նման դեպքերը քննող իրավասու մարմին։</w:t>
      </w:r>
    </w:p>
    <w:p w14:paraId="36311461" w14:textId="5CED2BA5" w:rsidR="00B04C12" w:rsidRPr="00B04C12" w:rsidRDefault="00B04C12" w:rsidP="00D55302">
      <w:pPr>
        <w:contextualSpacing/>
      </w:pPr>
      <w:r w:rsidRPr="00B04C12">
        <w:t>Նախագծով առաջարկվում է նախատեսել կարգավորում</w:t>
      </w:r>
      <w:r w:rsidR="00955325" w:rsidRPr="00955325">
        <w:t>,</w:t>
      </w:r>
      <w:r w:rsidRPr="00B04C12">
        <w:t xml:space="preserve"> համաձայն որի ազդարարման միասնական էլեկտրոնային հարթակին հասանելիություն կունենա նաև Կոռուպցիայի կանխարգելման հանձնաժողովը: Միաժամանակ Նախագծով կսահմանվի, որ Կոռուպցիայի կանխարգելման հանձնաժողովն իր իրավասության շրջանակներում կապահովի միասնական էլեկտրոնային հարթակ մուտքագրված յուրաքանչյուր ազդարարման հաշվառումը, քննարկումը, իր իրավասությունների շրջանակներում միջոցների ձեռնարկումը և անհրաժեշտության դեպքում` վարչական իրավախախտման </w:t>
      </w:r>
      <w:r w:rsidR="00955325" w:rsidRPr="00955325">
        <w:t>վերաբերյալ</w:t>
      </w:r>
      <w:r w:rsidRPr="00B04C12">
        <w:t xml:space="preserve"> վարույթի </w:t>
      </w:r>
      <w:r w:rsidR="00955325" w:rsidRPr="00955325">
        <w:t>հարուցումը</w:t>
      </w:r>
      <w:r w:rsidRPr="00B04C12">
        <w:t>:</w:t>
      </w:r>
    </w:p>
    <w:p w14:paraId="13E78D01" w14:textId="4E7344B3" w:rsidR="00B04C12" w:rsidRPr="00955325" w:rsidRDefault="007D7770" w:rsidP="00D55302">
      <w:pPr>
        <w:contextualSpacing/>
      </w:pPr>
      <w:r w:rsidRPr="007D7770">
        <w:t>Ա</w:t>
      </w:r>
      <w:r w:rsidR="00B04C12" w:rsidRPr="00B04C12">
        <w:t>զդարարման համակարգին առնչվող մյուս</w:t>
      </w:r>
      <w:r w:rsidRPr="007D7770">
        <w:t xml:space="preserve"> օրենսդրական</w:t>
      </w:r>
      <w:r w:rsidR="00B04C12" w:rsidRPr="00B04C12">
        <w:t xml:space="preserve"> խնդիրը վերաբերում է ազդարարների համար օրենսդրությամբ նախատեսված պաշտպանության մեխանիզմներին։ </w:t>
      </w:r>
      <w:r w:rsidRPr="007D7770">
        <w:t>Առաջարկվում է հստակեցնել ազդարարներին տրվող պաշտպանության մեխանիզմները</w:t>
      </w:r>
      <w:r w:rsidR="00955325">
        <w:t>:</w:t>
      </w:r>
    </w:p>
    <w:p w14:paraId="351928F2" w14:textId="34FDA17B" w:rsidR="00B04C12" w:rsidRPr="00B04C12" w:rsidRDefault="002A44D1" w:rsidP="00D55302">
      <w:pPr>
        <w:contextualSpacing/>
      </w:pPr>
      <w:r w:rsidRPr="00891664">
        <w:lastRenderedPageBreak/>
        <w:t xml:space="preserve">Միաժամանակ ազդարարման համակարգի գործունեության ամբողջական պատկեր ունենալու նպատակով և զուգահեռաբար </w:t>
      </w:r>
      <w:r w:rsidR="00B04C12" w:rsidRPr="00891664">
        <w:t xml:space="preserve">հաշվի առնելով այն </w:t>
      </w:r>
      <w:r w:rsidR="00955325" w:rsidRPr="00891664">
        <w:t>հանգամ</w:t>
      </w:r>
      <w:r w:rsidR="00B04C12" w:rsidRPr="00891664">
        <w:t>անքը,</w:t>
      </w:r>
      <w:r w:rsidRPr="00891664">
        <w:t xml:space="preserve"> </w:t>
      </w:r>
      <w:r w:rsidR="00B04C12" w:rsidRPr="00891664">
        <w:t xml:space="preserve">որ պետական մարմինների կողմից իրականացվում են ներքին և արտաքին ազդարարման աշխատանքներ և դրանց արդյունքները չեն ամփոփվում, </w:t>
      </w:r>
      <w:r w:rsidRPr="00891664">
        <w:t xml:space="preserve">Նախագծերով </w:t>
      </w:r>
      <w:r w:rsidR="00B04C12" w:rsidRPr="00891664">
        <w:t xml:space="preserve">առաջարկվում է սահմանել իրավասու մարմին, որը </w:t>
      </w:r>
      <w:r w:rsidR="00371A1E" w:rsidRPr="00891664">
        <w:t>կհավաքի</w:t>
      </w:r>
      <w:r w:rsidR="00B04C12" w:rsidRPr="00891664">
        <w:t xml:space="preserve">  պետական մարմինների կողմից ստացված </w:t>
      </w:r>
      <w:r w:rsidR="00371A1E" w:rsidRPr="00891664">
        <w:t>վիճակագրությունը</w:t>
      </w:r>
      <w:r w:rsidR="00891664" w:rsidRPr="00891664">
        <w:t>, և որը ենթակա կլինի հրապարակման</w:t>
      </w:r>
      <w:r w:rsidR="009A0ECF" w:rsidRPr="00891664">
        <w:t>:</w:t>
      </w:r>
      <w:r w:rsidR="00371A1E" w:rsidRPr="00891664">
        <w:t xml:space="preserve"> </w:t>
      </w:r>
    </w:p>
    <w:p w14:paraId="21448DA1" w14:textId="68BB0572" w:rsidR="00B04C12" w:rsidRDefault="005C44FC" w:rsidP="00D55302">
      <w:pPr>
        <w:contextualSpacing/>
      </w:pPr>
      <w:r w:rsidRPr="005C44FC">
        <w:t xml:space="preserve">Նախագծերով առաջարկվում է </w:t>
      </w:r>
      <w:r>
        <w:t>նախատեսել</w:t>
      </w:r>
      <w:r w:rsidR="00B04C12" w:rsidRPr="00B04C12">
        <w:t xml:space="preserve"> նոր ազդարարման տեսակ՝ ազդարարում </w:t>
      </w:r>
      <w:r w:rsidR="00955325" w:rsidRPr="00955325">
        <w:t>հանրությանը</w:t>
      </w:r>
      <w:r w:rsidR="00B04C12" w:rsidRPr="00B04C12">
        <w:t xml:space="preserve">, որի հիմնական նպատակն է ստեղծել գործուն մեխանիզմներ կոռուպցիայի դեմ պայքարի համար՝ ապահովելով հասարակության իրազեկվածության </w:t>
      </w:r>
      <w:r w:rsidR="00CB52BB">
        <w:t>բարձրացումը</w:t>
      </w:r>
      <w:r w:rsidR="0031465D" w:rsidRPr="0031465D">
        <w:t xml:space="preserve">, հասարակական վերահսկողության կառուցակարգերի </w:t>
      </w:r>
      <w:r w:rsidR="00B04C12" w:rsidRPr="00B04C12">
        <w:t xml:space="preserve">և պետական կառավարման մարմինների նկատմամբ վստահության </w:t>
      </w:r>
      <w:r w:rsidR="00CB52BB">
        <w:t>ամրապնդումը</w:t>
      </w:r>
      <w:r w:rsidR="00B04C12" w:rsidRPr="00B04C12">
        <w:t>:</w:t>
      </w:r>
    </w:p>
    <w:p w14:paraId="3D8FC50B" w14:textId="04FC04A4" w:rsidR="008B2865" w:rsidRPr="009062E6" w:rsidRDefault="008B2865" w:rsidP="008B2865">
      <w:pPr>
        <w:contextualSpacing/>
      </w:pPr>
      <w:r>
        <w:t xml:space="preserve">Նախագծերով առաջարկվում է Մարդու իրավունքների պաշտպանին վերապահել </w:t>
      </w:r>
      <w:r w:rsidRPr="009062E6">
        <w:t>ազդարարների պաշտպանությունն ապահովելու</w:t>
      </w:r>
      <w:r w:rsidRPr="00D55302">
        <w:t xml:space="preserve"> և </w:t>
      </w:r>
      <w:r w:rsidRPr="009062E6">
        <w:t xml:space="preserve">ազդարարման նկատմամբ վերահսկողություն ապահովելու, մոնիթորինգի, ազդարարների պաշտպանության վերաբերյալ տվյալների հավաքագրման </w:t>
      </w:r>
      <w:r w:rsidR="00023383">
        <w:t>լիազորություններ</w:t>
      </w:r>
      <w:r w:rsidRPr="00D55302">
        <w:t>:</w:t>
      </w:r>
    </w:p>
    <w:p w14:paraId="078CBF33" w14:textId="77777777" w:rsidR="008B2865" w:rsidRPr="00B04C12" w:rsidRDefault="008B2865" w:rsidP="00D55302">
      <w:pPr>
        <w:contextualSpacing/>
      </w:pPr>
    </w:p>
    <w:p w14:paraId="2051CFE8" w14:textId="7126442E" w:rsidR="00B04C12" w:rsidRPr="00B04C12" w:rsidRDefault="00B04C12" w:rsidP="00D55302">
      <w:pPr>
        <w:contextualSpacing/>
        <w:rPr>
          <w:b/>
          <w:bCs/>
          <w:iCs/>
        </w:rPr>
      </w:pPr>
      <w:r w:rsidRPr="00B04C12">
        <w:rPr>
          <w:b/>
          <w:bCs/>
        </w:rPr>
        <w:t>5.Նախագծերի ընդունման կապակցությամբ ֆինանսական միջոցների անհրաժեշտության և պետական բյուջեի եկամուտներում և ծախսերում սպասվելիք փոփոխությունների մասին</w:t>
      </w:r>
      <w:r w:rsidRPr="00B04C12">
        <w:rPr>
          <w:b/>
          <w:bCs/>
          <w:iCs/>
        </w:rPr>
        <w:t>.</w:t>
      </w:r>
    </w:p>
    <w:p w14:paraId="3E238605" w14:textId="16009136" w:rsidR="00B04C12" w:rsidRPr="00B04C12" w:rsidRDefault="00B04C12" w:rsidP="00D55302">
      <w:pPr>
        <w:contextualSpacing/>
      </w:pPr>
      <w:r w:rsidRPr="00B04C12">
        <w:rPr>
          <w:bCs/>
          <w:iCs/>
        </w:rPr>
        <w:t>Նախագծ</w:t>
      </w:r>
      <w:r w:rsidR="00861844" w:rsidRPr="00861844">
        <w:rPr>
          <w:bCs/>
          <w:iCs/>
        </w:rPr>
        <w:t>եր</w:t>
      </w:r>
      <w:r w:rsidRPr="00B04C12">
        <w:rPr>
          <w:bCs/>
        </w:rPr>
        <w:t>ի ընդունմամբ Հայաստանի Հանրապետության պետական բյուջեում եկամուտների ավելացում կամ նվազեցում չի նախատեսվում:</w:t>
      </w:r>
      <w:r w:rsidR="00861844" w:rsidRPr="00861844">
        <w:rPr>
          <w:bCs/>
        </w:rPr>
        <w:t xml:space="preserve"> </w:t>
      </w:r>
    </w:p>
    <w:p w14:paraId="0BE54C72" w14:textId="77777777" w:rsidR="003331A7" w:rsidRDefault="003331A7" w:rsidP="00D55302">
      <w:pPr>
        <w:contextualSpacing/>
        <w:rPr>
          <w:b/>
          <w:bCs/>
        </w:rPr>
      </w:pPr>
    </w:p>
    <w:p w14:paraId="73D94328" w14:textId="6EE615F5" w:rsidR="00B04C12" w:rsidRPr="00B04C12" w:rsidRDefault="00B04C12" w:rsidP="00D55302">
      <w:pPr>
        <w:contextualSpacing/>
      </w:pPr>
      <w:r w:rsidRPr="00B04C12">
        <w:rPr>
          <w:b/>
          <w:bCs/>
        </w:rPr>
        <w:t>6. Նախագծերի մշակման գործընթացում ներգրավված ինստիտուտները և անձինք</w:t>
      </w:r>
    </w:p>
    <w:p w14:paraId="1B2C067E" w14:textId="6E1035D7" w:rsidR="00B04C12" w:rsidRPr="003D5447" w:rsidRDefault="00955325" w:rsidP="00D55302">
      <w:pPr>
        <w:contextualSpacing/>
      </w:pPr>
      <w:r>
        <w:lastRenderedPageBreak/>
        <w:t>Նախագ</w:t>
      </w:r>
      <w:r w:rsidR="00B04C12" w:rsidRPr="00B04C12">
        <w:t>ծ</w:t>
      </w:r>
      <w:r w:rsidRPr="00955325">
        <w:t>եր</w:t>
      </w:r>
      <w:r w:rsidR="00B04C12" w:rsidRPr="00B04C12">
        <w:t xml:space="preserve">ը մշակվել </w:t>
      </w:r>
      <w:r w:rsidRPr="00955325">
        <w:t>են</w:t>
      </w:r>
      <w:r>
        <w:t xml:space="preserve"> </w:t>
      </w:r>
      <w:r w:rsidR="00B04C12" w:rsidRPr="00B04C12">
        <w:t>Հայաստանի Հանրապետության արդարադատության նախարարության կողմից։</w:t>
      </w:r>
    </w:p>
    <w:p w14:paraId="3667BE65" w14:textId="77777777" w:rsidR="003331A7" w:rsidRDefault="003331A7" w:rsidP="00D55302">
      <w:pPr>
        <w:contextualSpacing/>
        <w:rPr>
          <w:b/>
          <w:bCs/>
        </w:rPr>
      </w:pPr>
    </w:p>
    <w:p w14:paraId="0301D589" w14:textId="76B26F60" w:rsidR="00B04C12" w:rsidRPr="00B04C12" w:rsidRDefault="00B04C12" w:rsidP="00D55302">
      <w:pPr>
        <w:contextualSpacing/>
      </w:pPr>
      <w:r w:rsidRPr="00B04C12">
        <w:rPr>
          <w:b/>
          <w:bCs/>
        </w:rPr>
        <w:t>7. Ակնկալվող արդյունքը</w:t>
      </w:r>
    </w:p>
    <w:p w14:paraId="0229092E" w14:textId="0CF9D11A" w:rsidR="00B04C12" w:rsidRPr="003D5447" w:rsidRDefault="003D5447" w:rsidP="00D55302">
      <w:pPr>
        <w:contextualSpacing/>
        <w:rPr>
          <w:bCs/>
        </w:rPr>
      </w:pPr>
      <w:r w:rsidRPr="003D5447">
        <w:rPr>
          <w:bCs/>
        </w:rPr>
        <w:t>Նախագծերի ընդունմամբ ակնկալվում է բարելավել ազդարարման գործող համակարգը</w:t>
      </w:r>
      <w:r w:rsidR="003B1FAE">
        <w:rPr>
          <w:bCs/>
        </w:rPr>
        <w:t xml:space="preserve">՝ </w:t>
      </w:r>
      <w:r w:rsidR="001A6E12" w:rsidRPr="001A6E12">
        <w:rPr>
          <w:bCs/>
        </w:rPr>
        <w:t xml:space="preserve">ներդնելով առավել գործուն և ներառական մեխանիզմներ: Նշվածի արդյունքում </w:t>
      </w:r>
      <w:r w:rsidR="00D059E8">
        <w:rPr>
          <w:bCs/>
        </w:rPr>
        <w:t xml:space="preserve">ակնկալվում է ապահովել հասարակության կողմից արդեն իսկ գործող ազդարարման համակարգի նախատեսված եղանակներով ներկայացվող հաղորդումների քննության </w:t>
      </w:r>
      <w:r w:rsidR="002A1EAA" w:rsidRPr="002A1EAA">
        <w:rPr>
          <w:bCs/>
        </w:rPr>
        <w:t>արդյունավետության բարձրացումը, ազդարարներին տրվող պաշտպանության մեխանիզմների կատարելագործումը, կոռուպցիոն և այլ բնույթի իրավախախտումների բացահայտման գործում հասարակության լայն մասնակցա</w:t>
      </w:r>
      <w:r w:rsidR="001B3491">
        <w:rPr>
          <w:bCs/>
        </w:rPr>
        <w:t>յնությունը</w:t>
      </w:r>
      <w:r w:rsidR="002A1EAA" w:rsidRPr="002A1EAA">
        <w:rPr>
          <w:bCs/>
        </w:rPr>
        <w:t>:</w:t>
      </w:r>
      <w:r w:rsidR="003B1FAE">
        <w:rPr>
          <w:bCs/>
        </w:rPr>
        <w:t xml:space="preserve"> </w:t>
      </w:r>
    </w:p>
    <w:p w14:paraId="7B51D29E" w14:textId="77777777" w:rsidR="00B04C12" w:rsidRPr="00B04C12" w:rsidRDefault="00B04C12" w:rsidP="00D55302">
      <w:pPr>
        <w:contextualSpacing/>
        <w:rPr>
          <w:b/>
          <w:bCs/>
        </w:rPr>
      </w:pPr>
    </w:p>
    <w:p w14:paraId="0D09FE5A" w14:textId="77777777" w:rsidR="00B04C12" w:rsidRPr="00B04C12" w:rsidRDefault="00B04C12" w:rsidP="00D55302">
      <w:pPr>
        <w:contextualSpacing/>
        <w:rPr>
          <w:b/>
          <w:bCs/>
        </w:rPr>
      </w:pPr>
    </w:p>
    <w:p w14:paraId="536F6BFB" w14:textId="77777777" w:rsidR="00395823" w:rsidRDefault="00871E90" w:rsidP="00D55302">
      <w:pPr>
        <w:contextualSpacing/>
      </w:pPr>
    </w:p>
    <w:sectPr w:rsidR="00395823" w:rsidSect="00D25C6F">
      <w:footerReference w:type="default" r:id="rId8"/>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C808" w14:textId="77777777" w:rsidR="00871E90" w:rsidRDefault="00871E90" w:rsidP="00B04C12">
      <w:pPr>
        <w:spacing w:line="240" w:lineRule="auto"/>
      </w:pPr>
      <w:r>
        <w:separator/>
      </w:r>
    </w:p>
  </w:endnote>
  <w:endnote w:type="continuationSeparator" w:id="0">
    <w:p w14:paraId="775B0FF9" w14:textId="77777777" w:rsidR="00871E90" w:rsidRDefault="00871E90" w:rsidP="00B04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5514"/>
      <w:docPartObj>
        <w:docPartGallery w:val="Page Numbers (Bottom of Page)"/>
        <w:docPartUnique/>
      </w:docPartObj>
    </w:sdtPr>
    <w:sdtEndPr/>
    <w:sdtContent>
      <w:p w14:paraId="3BCDD2F5" w14:textId="24AE67E7" w:rsidR="00A25E18" w:rsidRDefault="00407FF9">
        <w:pPr>
          <w:pStyle w:val="Footer"/>
          <w:jc w:val="right"/>
        </w:pPr>
        <w:r>
          <w:fldChar w:fldCharType="begin"/>
        </w:r>
        <w:r>
          <w:instrText xml:space="preserve"> PAGE   \* MERGEFORMAT </w:instrText>
        </w:r>
        <w:r>
          <w:fldChar w:fldCharType="separate"/>
        </w:r>
        <w:r w:rsidR="00252171">
          <w:rPr>
            <w:noProof/>
          </w:rPr>
          <w:t>7</w:t>
        </w:r>
        <w:r>
          <w:rPr>
            <w:noProof/>
          </w:rPr>
          <w:fldChar w:fldCharType="end"/>
        </w:r>
      </w:p>
    </w:sdtContent>
  </w:sdt>
  <w:p w14:paraId="6222DCB7" w14:textId="77777777" w:rsidR="00A25E18" w:rsidRDefault="00871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C321" w14:textId="77777777" w:rsidR="00871E90" w:rsidRDefault="00871E90" w:rsidP="00B04C12">
      <w:pPr>
        <w:spacing w:line="240" w:lineRule="auto"/>
      </w:pPr>
      <w:r>
        <w:separator/>
      </w:r>
    </w:p>
  </w:footnote>
  <w:footnote w:type="continuationSeparator" w:id="0">
    <w:p w14:paraId="042504CF" w14:textId="77777777" w:rsidR="00871E90" w:rsidRDefault="00871E90" w:rsidP="00B04C12">
      <w:pPr>
        <w:spacing w:line="240" w:lineRule="auto"/>
      </w:pPr>
      <w:r>
        <w:continuationSeparator/>
      </w:r>
    </w:p>
  </w:footnote>
  <w:footnote w:id="1">
    <w:p w14:paraId="76B8CD94" w14:textId="3052CD25" w:rsidR="008B0C4E" w:rsidRDefault="008B0C4E">
      <w:pPr>
        <w:pStyle w:val="FootnoteText"/>
      </w:pPr>
      <w:r>
        <w:rPr>
          <w:rStyle w:val="FootnoteReference"/>
        </w:rPr>
        <w:footnoteRef/>
      </w:r>
      <w:r w:rsidRPr="008B0C4E">
        <w:rPr>
          <w:lang w:val="hy-AM"/>
        </w:rPr>
        <w:t>https://www.mpravde.gov.rs/files/ENGLISH%20%20Draft%20Law%20on%20Protection%20of%20Whistleblowers.doc</w:t>
      </w:r>
    </w:p>
  </w:footnote>
  <w:footnote w:id="2">
    <w:p w14:paraId="39CF550C" w14:textId="04BA86E6" w:rsidR="008B0C4E" w:rsidRDefault="008B0C4E">
      <w:pPr>
        <w:pStyle w:val="FootnoteText"/>
      </w:pPr>
      <w:r>
        <w:rPr>
          <w:rStyle w:val="FootnoteReference"/>
        </w:rPr>
        <w:footnoteRef/>
      </w:r>
      <w:r>
        <w:t xml:space="preserve"> </w:t>
      </w:r>
      <w:hyperlink r:id="rId1" w:history="1">
        <w:r w:rsidRPr="008B0C4E">
          <w:rPr>
            <w:rStyle w:val="Hyperlink"/>
            <w:lang w:val="hy-AM"/>
          </w:rPr>
          <w:t>https://prokuraturos.lt/data/public/uploads/2020/02/1.9-225-praneseju-apsaugos-istatymas-eng.pdf</w:t>
        </w:r>
      </w:hyperlink>
    </w:p>
  </w:footnote>
  <w:footnote w:id="3">
    <w:p w14:paraId="6CA5F5AD" w14:textId="4C7C7704" w:rsidR="001C6498" w:rsidRPr="001C6498" w:rsidRDefault="001C6498" w:rsidP="001C6498">
      <w:pPr>
        <w:pStyle w:val="FootnoteText"/>
      </w:pPr>
      <w:r>
        <w:rPr>
          <w:rStyle w:val="FootnoteReference"/>
        </w:rPr>
        <w:footnoteRef/>
      </w:r>
      <w:r>
        <w:t xml:space="preserve"> </w:t>
      </w:r>
      <w:r w:rsidRPr="001C6498">
        <w:t>https://likumi.lv/ta/en/en/id/302465-whistleblowing-law</w:t>
      </w:r>
    </w:p>
  </w:footnote>
  <w:footnote w:id="4">
    <w:p w14:paraId="5AE0874B" w14:textId="77777777" w:rsidR="007A530E" w:rsidRPr="00EC6BBE" w:rsidRDefault="007A530E" w:rsidP="007A530E">
      <w:pPr>
        <w:pStyle w:val="FootnoteText"/>
      </w:pPr>
      <w:r>
        <w:rPr>
          <w:rStyle w:val="FootnoteReference"/>
        </w:rPr>
        <w:footnoteRef/>
      </w:r>
      <w:r>
        <w:t xml:space="preserve"> Տե՛ս </w:t>
      </w:r>
      <w:hyperlink r:id="rId2" w:history="1">
        <w:r w:rsidRPr="000B2061">
          <w:rPr>
            <w:rStyle w:val="Hyperlink"/>
          </w:rPr>
          <w:t>https://elaw.klri.re.kr/eng_mobile/viewer.do?hseq=45963&amp;type=sogan&amp;key=42</w:t>
        </w:r>
      </w:hyperlink>
      <w:r>
        <w:t xml:space="preserve"> </w:t>
      </w:r>
    </w:p>
  </w:footnote>
  <w:footnote w:id="5">
    <w:p w14:paraId="0CF97435" w14:textId="77777777" w:rsidR="007D19B1" w:rsidRPr="009F4CEB" w:rsidRDefault="007D19B1" w:rsidP="007D19B1">
      <w:pPr>
        <w:pStyle w:val="FootnoteText"/>
      </w:pPr>
      <w:r>
        <w:rPr>
          <w:rStyle w:val="FootnoteReference"/>
        </w:rPr>
        <w:footnoteRef/>
      </w:r>
      <w:r>
        <w:t xml:space="preserve"> Տե՛ս </w:t>
      </w:r>
      <w:hyperlink r:id="rId3" w:history="1">
        <w:r w:rsidRPr="000B2061">
          <w:rPr>
            <w:rStyle w:val="Hyperlink"/>
          </w:rPr>
          <w:t>https://prokuraturos.lt/data/public/uploads/2020/02/1.9-225-praneseju-apsaugos-istatymas-eng.pdf</w:t>
        </w:r>
      </w:hyperlink>
      <w:r>
        <w:t xml:space="preserve"> </w:t>
      </w:r>
    </w:p>
  </w:footnote>
  <w:footnote w:id="6">
    <w:p w14:paraId="53E39FAE" w14:textId="77777777" w:rsidR="00192FA2" w:rsidRPr="001B3C9D" w:rsidRDefault="00192FA2" w:rsidP="00192FA2">
      <w:pPr>
        <w:pStyle w:val="FootnoteText"/>
      </w:pPr>
      <w:r>
        <w:rPr>
          <w:rStyle w:val="FootnoteReference"/>
        </w:rPr>
        <w:footnoteRef/>
      </w:r>
      <w:r>
        <w:t xml:space="preserve"> Տե՛ս </w:t>
      </w:r>
      <w:r w:rsidRPr="001B3C9D">
        <w:t>https://likumi.lv/ta/en/en/id/302465-whistleblowing-law</w:t>
      </w:r>
    </w:p>
  </w:footnote>
  <w:footnote w:id="7">
    <w:p w14:paraId="3E96AA9C" w14:textId="77777777" w:rsidR="00310688" w:rsidRPr="00CA4E63" w:rsidRDefault="00310688" w:rsidP="00310688">
      <w:pPr>
        <w:pStyle w:val="FootnoteText"/>
      </w:pPr>
      <w:r>
        <w:rPr>
          <w:rStyle w:val="FootnoteReference"/>
        </w:rPr>
        <w:footnoteRef/>
      </w:r>
      <w:r>
        <w:t xml:space="preserve"> Տե՛ս </w:t>
      </w:r>
      <w:r w:rsidRPr="00824019">
        <w:t>G20 Anti-Corruption A</w:t>
      </w:r>
      <w:r w:rsidRPr="00824019">
        <w:rPr>
          <w:bCs/>
        </w:rPr>
        <w:t>c</w:t>
      </w:r>
      <w:r w:rsidRPr="00824019">
        <w:t xml:space="preserve">tion </w:t>
      </w:r>
      <w:r w:rsidRPr="00824019">
        <w:rPr>
          <w:bCs/>
        </w:rPr>
        <w:t>P</w:t>
      </w:r>
      <w:r w:rsidRPr="00824019">
        <w:t>l</w:t>
      </w:r>
      <w:r w:rsidRPr="00824019">
        <w:rPr>
          <w:bCs/>
        </w:rPr>
        <w:t>a</w:t>
      </w:r>
      <w:r w:rsidRPr="00824019">
        <w:t>n Protection of Whistleblowers</w:t>
      </w:r>
      <w:r>
        <w:t xml:space="preserve"> </w:t>
      </w:r>
      <w:r w:rsidRPr="00CA4E63">
        <w:t>“</w:t>
      </w:r>
      <w:r w:rsidRPr="00CA4E63">
        <w:rPr>
          <w:bCs/>
        </w:rPr>
        <w:t>Study on Whistleblower Protection Frameworks, Compendium of Best Practices and Guiding Principles for Legislation</w:t>
      </w:r>
      <w:r w:rsidRPr="00CA4E63">
        <w:t>”</w:t>
      </w:r>
      <w:r>
        <w:t xml:space="preserve"> էջ 23 </w:t>
      </w:r>
    </w:p>
  </w:footnote>
  <w:footnote w:id="8">
    <w:p w14:paraId="351BEB21" w14:textId="77777777" w:rsidR="00310688" w:rsidRPr="00734209" w:rsidRDefault="00310688" w:rsidP="00310688">
      <w:pPr>
        <w:pStyle w:val="FootnoteText"/>
      </w:pPr>
      <w:r>
        <w:rPr>
          <w:rStyle w:val="FootnoteReference"/>
        </w:rPr>
        <w:footnoteRef/>
      </w:r>
      <w:r>
        <w:t>Տե՛ս</w:t>
      </w:r>
      <w:hyperlink r:id="rId4" w:history="1">
        <w:r w:rsidRPr="000B2061">
          <w:rPr>
            <w:rStyle w:val="Hyperlink"/>
          </w:rPr>
          <w:t>https://www.ilo.org/wcmsp5/groups/public/---ed_dialogue/---sector/documents/publication/wcms_718048.pdf</w:t>
        </w:r>
      </w:hyperlink>
      <w:r>
        <w:t>, էջ 46</w:t>
      </w:r>
    </w:p>
  </w:footnote>
  <w:footnote w:id="9">
    <w:p w14:paraId="0B181D45" w14:textId="77777777" w:rsidR="00310688" w:rsidRPr="00A95ED8" w:rsidRDefault="00310688" w:rsidP="00310688">
      <w:pPr>
        <w:pStyle w:val="FootnoteText"/>
      </w:pPr>
      <w:r>
        <w:rPr>
          <w:rStyle w:val="FootnoteReference"/>
        </w:rPr>
        <w:footnoteRef/>
      </w:r>
      <w:r>
        <w:t xml:space="preserve"> Տե՛ս </w:t>
      </w:r>
      <w:hyperlink r:id="rId5" w:history="1">
        <w:r w:rsidRPr="000B2061">
          <w:rPr>
            <w:rStyle w:val="Hyperlink"/>
          </w:rPr>
          <w:t>https://rm.coe.int/the-protection-of-whistleblowers-challenges-and-opportunities-for-loca/16809312bd</w:t>
        </w:r>
      </w:hyperlink>
      <w:r>
        <w:t xml:space="preserve"> էջ 12</w:t>
      </w:r>
    </w:p>
  </w:footnote>
  <w:footnote w:id="10">
    <w:p w14:paraId="37279019" w14:textId="77777777" w:rsidR="00310688" w:rsidRPr="00246A06" w:rsidRDefault="00310688" w:rsidP="00310688">
      <w:pPr>
        <w:pStyle w:val="FootnoteText"/>
      </w:pPr>
      <w:r>
        <w:rPr>
          <w:rStyle w:val="FootnoteReference"/>
        </w:rPr>
        <w:footnoteRef/>
      </w:r>
      <w:r>
        <w:t xml:space="preserve"> Տե՛ս </w:t>
      </w:r>
      <w:hyperlink r:id="rId6" w:history="1">
        <w:r w:rsidRPr="000B2061">
          <w:rPr>
            <w:rStyle w:val="Hyperlink"/>
          </w:rPr>
          <w:t>https://www.wolftheiss.com/insights/lessons-learned-practical-experience-from-hungarys-whistleblowing-law/</w:t>
        </w:r>
      </w:hyperlink>
      <w:r>
        <w:t xml:space="preserve"> </w:t>
      </w:r>
    </w:p>
  </w:footnote>
  <w:footnote w:id="11">
    <w:p w14:paraId="03CFD31F" w14:textId="77777777" w:rsidR="00310688" w:rsidRPr="00970A7D" w:rsidRDefault="00310688" w:rsidP="00310688">
      <w:pPr>
        <w:pStyle w:val="FootnoteText"/>
      </w:pPr>
      <w:r>
        <w:rPr>
          <w:rStyle w:val="FootnoteReference"/>
        </w:rPr>
        <w:footnoteRef/>
      </w:r>
      <w:r>
        <w:t xml:space="preserve"> Տե՛ս </w:t>
      </w:r>
      <w:r w:rsidRPr="00970A7D">
        <w:rPr>
          <w:iCs/>
        </w:rPr>
        <w:t>Paul Latimer and A. J. Brown, Whistleblower Laws: International Best Practice (November 01, 2008). Monash U. Department of Business Law &amp; Taxation Research Paper No. 1326766, pp.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4C7B"/>
    <w:multiLevelType w:val="hybridMultilevel"/>
    <w:tmpl w:val="4082463A"/>
    <w:lvl w:ilvl="0" w:tplc="E03CD8A2">
      <w:start w:val="1"/>
      <w:numFmt w:val="decimal"/>
      <w:lvlText w:val="%1."/>
      <w:lvlJc w:val="left"/>
      <w:pPr>
        <w:ind w:left="927" w:hanging="360"/>
      </w:pPr>
      <w:rPr>
        <w:rFonts w:cs="Arial" w:hint="default"/>
        <w:b/>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4991013A"/>
    <w:multiLevelType w:val="hybridMultilevel"/>
    <w:tmpl w:val="6100DC46"/>
    <w:lvl w:ilvl="0" w:tplc="042B000B">
      <w:start w:val="1"/>
      <w:numFmt w:val="bullet"/>
      <w:lvlText w:val=""/>
      <w:lvlJc w:val="left"/>
      <w:pPr>
        <w:ind w:left="1356" w:hanging="360"/>
      </w:pPr>
      <w:rPr>
        <w:rFonts w:ascii="Wingdings" w:hAnsi="Wingding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2" w15:restartNumberingAfterBreak="0">
    <w:nsid w:val="7A4B5D31"/>
    <w:multiLevelType w:val="hybridMultilevel"/>
    <w:tmpl w:val="5888AE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121424">
    <w:abstractNumId w:val="0"/>
  </w:num>
  <w:num w:numId="2" w16cid:durableId="1985699519">
    <w:abstractNumId w:val="1"/>
  </w:num>
  <w:num w:numId="3" w16cid:durableId="129783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BD0"/>
    <w:rsid w:val="00000D86"/>
    <w:rsid w:val="00002488"/>
    <w:rsid w:val="00004299"/>
    <w:rsid w:val="00023383"/>
    <w:rsid w:val="00030A72"/>
    <w:rsid w:val="00056481"/>
    <w:rsid w:val="00096869"/>
    <w:rsid w:val="000C6D7B"/>
    <w:rsid w:val="000F0BA8"/>
    <w:rsid w:val="0011011F"/>
    <w:rsid w:val="0012481B"/>
    <w:rsid w:val="00135201"/>
    <w:rsid w:val="00140112"/>
    <w:rsid w:val="001435CB"/>
    <w:rsid w:val="001441EE"/>
    <w:rsid w:val="00150ED3"/>
    <w:rsid w:val="00163609"/>
    <w:rsid w:val="00180C1E"/>
    <w:rsid w:val="00192FA2"/>
    <w:rsid w:val="001A6E12"/>
    <w:rsid w:val="001B3491"/>
    <w:rsid w:val="001B7AD9"/>
    <w:rsid w:val="001C6498"/>
    <w:rsid w:val="001D7F41"/>
    <w:rsid w:val="00252171"/>
    <w:rsid w:val="00272CBB"/>
    <w:rsid w:val="002915E2"/>
    <w:rsid w:val="002A18B6"/>
    <w:rsid w:val="002A1EAA"/>
    <w:rsid w:val="002A44D1"/>
    <w:rsid w:val="002A6CE7"/>
    <w:rsid w:val="002E7066"/>
    <w:rsid w:val="002F2475"/>
    <w:rsid w:val="00310688"/>
    <w:rsid w:val="00311D47"/>
    <w:rsid w:val="0031465D"/>
    <w:rsid w:val="003331A7"/>
    <w:rsid w:val="00342D77"/>
    <w:rsid w:val="0035072F"/>
    <w:rsid w:val="00371A1E"/>
    <w:rsid w:val="0037252A"/>
    <w:rsid w:val="003876B9"/>
    <w:rsid w:val="003B1FAE"/>
    <w:rsid w:val="003B4AF9"/>
    <w:rsid w:val="003D5447"/>
    <w:rsid w:val="00407FF9"/>
    <w:rsid w:val="0042447B"/>
    <w:rsid w:val="00427E01"/>
    <w:rsid w:val="00447FDF"/>
    <w:rsid w:val="00453A62"/>
    <w:rsid w:val="00467DDA"/>
    <w:rsid w:val="0048005E"/>
    <w:rsid w:val="00480736"/>
    <w:rsid w:val="0048379F"/>
    <w:rsid w:val="004A0601"/>
    <w:rsid w:val="004A4E48"/>
    <w:rsid w:val="004D6B70"/>
    <w:rsid w:val="004E1A31"/>
    <w:rsid w:val="004E6F84"/>
    <w:rsid w:val="004F7FD5"/>
    <w:rsid w:val="0050689F"/>
    <w:rsid w:val="005538A4"/>
    <w:rsid w:val="005914F9"/>
    <w:rsid w:val="005B4D32"/>
    <w:rsid w:val="005B58D4"/>
    <w:rsid w:val="005C44FC"/>
    <w:rsid w:val="005C557E"/>
    <w:rsid w:val="005D6232"/>
    <w:rsid w:val="006121BF"/>
    <w:rsid w:val="0061316A"/>
    <w:rsid w:val="00617EE3"/>
    <w:rsid w:val="006323F5"/>
    <w:rsid w:val="006368A2"/>
    <w:rsid w:val="00663BBA"/>
    <w:rsid w:val="00684EF9"/>
    <w:rsid w:val="00693ECE"/>
    <w:rsid w:val="006D3E01"/>
    <w:rsid w:val="006E4EC7"/>
    <w:rsid w:val="006F4615"/>
    <w:rsid w:val="00743F0E"/>
    <w:rsid w:val="00754BD0"/>
    <w:rsid w:val="007730B6"/>
    <w:rsid w:val="0077597B"/>
    <w:rsid w:val="00785CCD"/>
    <w:rsid w:val="00796E82"/>
    <w:rsid w:val="007A4B41"/>
    <w:rsid w:val="007A530E"/>
    <w:rsid w:val="007D0C72"/>
    <w:rsid w:val="007D19B1"/>
    <w:rsid w:val="007D559B"/>
    <w:rsid w:val="007D7770"/>
    <w:rsid w:val="008006A5"/>
    <w:rsid w:val="008175C9"/>
    <w:rsid w:val="00824737"/>
    <w:rsid w:val="00826B5C"/>
    <w:rsid w:val="00861844"/>
    <w:rsid w:val="00867014"/>
    <w:rsid w:val="00871E90"/>
    <w:rsid w:val="00876CF4"/>
    <w:rsid w:val="0088221E"/>
    <w:rsid w:val="00884912"/>
    <w:rsid w:val="00891664"/>
    <w:rsid w:val="008A34DA"/>
    <w:rsid w:val="008B0C4E"/>
    <w:rsid w:val="008B2865"/>
    <w:rsid w:val="008E2066"/>
    <w:rsid w:val="009062E6"/>
    <w:rsid w:val="00955325"/>
    <w:rsid w:val="0095781F"/>
    <w:rsid w:val="009A0ECF"/>
    <w:rsid w:val="009C092E"/>
    <w:rsid w:val="009C5753"/>
    <w:rsid w:val="009E1D07"/>
    <w:rsid w:val="00A1022B"/>
    <w:rsid w:val="00A266DE"/>
    <w:rsid w:val="00A43C1C"/>
    <w:rsid w:val="00A60FDD"/>
    <w:rsid w:val="00A66498"/>
    <w:rsid w:val="00AE064C"/>
    <w:rsid w:val="00B04C12"/>
    <w:rsid w:val="00B113D6"/>
    <w:rsid w:val="00B17A96"/>
    <w:rsid w:val="00B224DC"/>
    <w:rsid w:val="00B30AA3"/>
    <w:rsid w:val="00B344DA"/>
    <w:rsid w:val="00B63386"/>
    <w:rsid w:val="00BA2C79"/>
    <w:rsid w:val="00BB4F8F"/>
    <w:rsid w:val="00C276B0"/>
    <w:rsid w:val="00C347F8"/>
    <w:rsid w:val="00C401BC"/>
    <w:rsid w:val="00C53635"/>
    <w:rsid w:val="00C55B3A"/>
    <w:rsid w:val="00C82F32"/>
    <w:rsid w:val="00CA4402"/>
    <w:rsid w:val="00CB52BB"/>
    <w:rsid w:val="00CD4331"/>
    <w:rsid w:val="00CE5B3E"/>
    <w:rsid w:val="00D059E8"/>
    <w:rsid w:val="00D31302"/>
    <w:rsid w:val="00D343A0"/>
    <w:rsid w:val="00D55302"/>
    <w:rsid w:val="00DB5B26"/>
    <w:rsid w:val="00DD2E20"/>
    <w:rsid w:val="00DF021A"/>
    <w:rsid w:val="00DF7485"/>
    <w:rsid w:val="00E14C52"/>
    <w:rsid w:val="00E462BD"/>
    <w:rsid w:val="00E51F1E"/>
    <w:rsid w:val="00E52D15"/>
    <w:rsid w:val="00E53970"/>
    <w:rsid w:val="00E555D4"/>
    <w:rsid w:val="00EA0762"/>
    <w:rsid w:val="00EB38E2"/>
    <w:rsid w:val="00EC224C"/>
    <w:rsid w:val="00ED2C1A"/>
    <w:rsid w:val="00EE7B88"/>
    <w:rsid w:val="00EF693E"/>
    <w:rsid w:val="00F06770"/>
    <w:rsid w:val="00F07585"/>
    <w:rsid w:val="00F21290"/>
    <w:rsid w:val="00F308D0"/>
    <w:rsid w:val="00F542C2"/>
    <w:rsid w:val="00F57FC6"/>
    <w:rsid w:val="00F81F00"/>
    <w:rsid w:val="00FA03ED"/>
    <w:rsid w:val="00FB6691"/>
    <w:rsid w:val="00FF552B"/>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E1C8"/>
  <w15:docId w15:val="{18E3AC6D-69EC-4462-B03C-D0B67EA6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4"/>
        <w:lang w:val="hy-AM"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4C12"/>
    <w:rPr>
      <w:rFonts w:ascii="Times New Roman" w:hAnsi="Times New Roman" w:cs="Times New Roman"/>
    </w:rPr>
  </w:style>
  <w:style w:type="paragraph" w:styleId="Header">
    <w:name w:val="header"/>
    <w:basedOn w:val="Normal"/>
    <w:link w:val="HeaderChar"/>
    <w:uiPriority w:val="99"/>
    <w:unhideWhenUsed/>
    <w:rsid w:val="00B04C12"/>
    <w:pPr>
      <w:tabs>
        <w:tab w:val="center" w:pos="4513"/>
        <w:tab w:val="right" w:pos="9026"/>
      </w:tabs>
      <w:spacing w:line="240" w:lineRule="auto"/>
    </w:pPr>
  </w:style>
  <w:style w:type="character" w:customStyle="1" w:styleId="HeaderChar">
    <w:name w:val="Header Char"/>
    <w:basedOn w:val="DefaultParagraphFont"/>
    <w:link w:val="Header"/>
    <w:uiPriority w:val="99"/>
    <w:rsid w:val="00B04C12"/>
  </w:style>
  <w:style w:type="paragraph" w:styleId="Footer">
    <w:name w:val="footer"/>
    <w:basedOn w:val="Normal"/>
    <w:link w:val="FooterChar"/>
    <w:uiPriority w:val="99"/>
    <w:unhideWhenUsed/>
    <w:rsid w:val="00B04C12"/>
    <w:pPr>
      <w:tabs>
        <w:tab w:val="center" w:pos="4513"/>
        <w:tab w:val="right" w:pos="9026"/>
      </w:tabs>
      <w:spacing w:line="240" w:lineRule="auto"/>
    </w:pPr>
  </w:style>
  <w:style w:type="character" w:customStyle="1" w:styleId="FooterChar">
    <w:name w:val="Footer Char"/>
    <w:basedOn w:val="DefaultParagraphFont"/>
    <w:link w:val="Footer"/>
    <w:uiPriority w:val="99"/>
    <w:rsid w:val="00B04C12"/>
  </w:style>
  <w:style w:type="character" w:styleId="CommentReference">
    <w:name w:val="annotation reference"/>
    <w:basedOn w:val="DefaultParagraphFont"/>
    <w:uiPriority w:val="99"/>
    <w:semiHidden/>
    <w:unhideWhenUsed/>
    <w:rsid w:val="00B04C12"/>
    <w:rPr>
      <w:sz w:val="16"/>
      <w:szCs w:val="16"/>
    </w:rPr>
  </w:style>
  <w:style w:type="paragraph" w:styleId="CommentText">
    <w:name w:val="annotation text"/>
    <w:basedOn w:val="Normal"/>
    <w:link w:val="CommentTextChar"/>
    <w:uiPriority w:val="99"/>
    <w:semiHidden/>
    <w:unhideWhenUsed/>
    <w:rsid w:val="00B04C12"/>
    <w:pPr>
      <w:spacing w:after="200" w:line="240" w:lineRule="auto"/>
      <w:ind w:firstLine="0"/>
      <w:jc w:val="left"/>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uiPriority w:val="99"/>
    <w:semiHidden/>
    <w:rsid w:val="00B04C12"/>
    <w:rPr>
      <w:rFonts w:asciiTheme="minorHAnsi" w:eastAsiaTheme="minorEastAsia" w:hAnsiTheme="minorHAnsi"/>
      <w:sz w:val="20"/>
      <w:szCs w:val="20"/>
      <w:lang w:val="en-US"/>
    </w:rPr>
  </w:style>
  <w:style w:type="character" w:styleId="Hyperlink">
    <w:name w:val="Hyperlink"/>
    <w:basedOn w:val="DefaultParagraphFont"/>
    <w:uiPriority w:val="99"/>
    <w:unhideWhenUsed/>
    <w:rsid w:val="00B04C12"/>
    <w:rPr>
      <w:color w:val="0563C1" w:themeColor="hyperlink"/>
      <w:u w:val="single"/>
    </w:rPr>
  </w:style>
  <w:style w:type="paragraph" w:styleId="FootnoteText">
    <w:name w:val="footnote text"/>
    <w:basedOn w:val="Normal"/>
    <w:link w:val="FootnoteTextChar"/>
    <w:uiPriority w:val="99"/>
    <w:unhideWhenUsed/>
    <w:rsid w:val="00B04C12"/>
    <w:pPr>
      <w:spacing w:line="240" w:lineRule="auto"/>
      <w:ind w:firstLine="0"/>
      <w:jc w:val="left"/>
    </w:pPr>
    <w:rPr>
      <w:sz w:val="20"/>
      <w:szCs w:val="20"/>
      <w:lang w:val="en-US"/>
    </w:rPr>
  </w:style>
  <w:style w:type="character" w:customStyle="1" w:styleId="FootnoteTextChar">
    <w:name w:val="Footnote Text Char"/>
    <w:basedOn w:val="DefaultParagraphFont"/>
    <w:link w:val="FootnoteText"/>
    <w:uiPriority w:val="99"/>
    <w:rsid w:val="00B04C12"/>
    <w:rPr>
      <w:sz w:val="20"/>
      <w:szCs w:val="20"/>
      <w:lang w:val="en-US"/>
    </w:rPr>
  </w:style>
  <w:style w:type="character" w:styleId="FootnoteReference">
    <w:name w:val="footnote reference"/>
    <w:basedOn w:val="DefaultParagraphFont"/>
    <w:uiPriority w:val="99"/>
    <w:semiHidden/>
    <w:unhideWhenUsed/>
    <w:rsid w:val="00B04C12"/>
    <w:rPr>
      <w:vertAlign w:val="superscript"/>
    </w:rPr>
  </w:style>
  <w:style w:type="paragraph" w:styleId="BalloonText">
    <w:name w:val="Balloon Text"/>
    <w:basedOn w:val="Normal"/>
    <w:link w:val="BalloonTextChar"/>
    <w:uiPriority w:val="99"/>
    <w:semiHidden/>
    <w:unhideWhenUsed/>
    <w:rsid w:val="00B04C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C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51F1E"/>
    <w:pPr>
      <w:spacing w:after="0"/>
      <w:ind w:firstLine="567"/>
      <w:jc w:val="both"/>
    </w:pPr>
    <w:rPr>
      <w:rFonts w:ascii="GHEA Grapalat" w:eastAsiaTheme="minorHAnsi" w:hAnsi="GHEA Grapalat"/>
      <w:b/>
      <w:bCs/>
      <w:lang w:val="hy-AM"/>
    </w:rPr>
  </w:style>
  <w:style w:type="character" w:customStyle="1" w:styleId="CommentSubjectChar">
    <w:name w:val="Comment Subject Char"/>
    <w:basedOn w:val="CommentTextChar"/>
    <w:link w:val="CommentSubject"/>
    <w:uiPriority w:val="99"/>
    <w:semiHidden/>
    <w:rsid w:val="00E51F1E"/>
    <w:rPr>
      <w:rFonts w:asciiTheme="minorHAnsi" w:eastAsiaTheme="minorEastAsia" w:hAnsiTheme="minorHAnsi"/>
      <w:b/>
      <w:bCs/>
      <w:sz w:val="20"/>
      <w:szCs w:val="20"/>
      <w:lang w:val="en-US"/>
    </w:rPr>
  </w:style>
  <w:style w:type="paragraph" w:styleId="ListParagraph">
    <w:name w:val="List Paragraph"/>
    <w:basedOn w:val="Normal"/>
    <w:uiPriority w:val="34"/>
    <w:qFormat/>
    <w:rsid w:val="00876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rokuraturos.lt/data/public/uploads/2020/02/1.9-225-praneseju-apsaugos-istatymas-eng.pdf" TargetMode="External"/><Relationship Id="rId2" Type="http://schemas.openxmlformats.org/officeDocument/2006/relationships/hyperlink" Target="https://elaw.klri.re.kr/eng_mobile/viewer.do?hseq=45963&amp;type=sogan&amp;key=42" TargetMode="External"/><Relationship Id="rId1" Type="http://schemas.openxmlformats.org/officeDocument/2006/relationships/hyperlink" Target="https://prokuraturos.lt/data/public/uploads/2020/02/1.9-225-praneseju-apsaugos-istatymas-eng.pdf" TargetMode="External"/><Relationship Id="rId6" Type="http://schemas.openxmlformats.org/officeDocument/2006/relationships/hyperlink" Target="https://www.wolftheiss.com/insights/lessons-learned-practical-experience-from-hungarys-whistleblowing-law/" TargetMode="External"/><Relationship Id="rId5" Type="http://schemas.openxmlformats.org/officeDocument/2006/relationships/hyperlink" Target="https://rm.coe.int/the-protection-of-whistleblowers-challenges-and-opportunities-for-loca/16809312bd" TargetMode="External"/><Relationship Id="rId4" Type="http://schemas.openxmlformats.org/officeDocument/2006/relationships/hyperlink" Target="https://www.ilo.org/wcmsp5/groups/public/---ed_dialogue/---sector/documents/publication/wcms_7180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AB05-0C19-4421-B655-9BCC6E29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varchutyun hakakorupcion</cp:lastModifiedBy>
  <cp:revision>71</cp:revision>
  <dcterms:created xsi:type="dcterms:W3CDTF">2022-06-21T06:06:00Z</dcterms:created>
  <dcterms:modified xsi:type="dcterms:W3CDTF">2022-06-22T19:04:00Z</dcterms:modified>
</cp:coreProperties>
</file>