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56" w:rsidRPr="00EE5D56" w:rsidRDefault="00EE5D56" w:rsidP="00EE5D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bookmarkStart w:id="0" w:name="_GoBack"/>
      <w:bookmarkEnd w:id="0"/>
      <w:r w:rsidRPr="00EE5D5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ՀԻՄՆԱՎՈՐՈՒՄ</w:t>
      </w:r>
    </w:p>
    <w:p w:rsidR="00EE5D56" w:rsidRPr="00EE5D56" w:rsidRDefault="00EE5D56" w:rsidP="00EE5D56">
      <w:pPr>
        <w:spacing w:before="480"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EE5D56">
        <w:rPr>
          <w:rFonts w:ascii="Arial Armenian" w:eastAsia="Times New Roman" w:hAnsi="Arial Armenian" w:cs="Sylfaen"/>
          <w:b/>
          <w:bCs/>
          <w:sz w:val="24"/>
          <w:szCs w:val="24"/>
          <w:lang w:val="af-ZA" w:eastAsia="ru-RU"/>
        </w:rPr>
        <w:t>§</w:t>
      </w:r>
      <w:r w:rsidRPr="00EE5D5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«ՀԱՅԱՍՏԱՆԻ ՀԱՆՐԱՊԵՏՈՒԹՅԱՆ 2022</w:t>
      </w:r>
      <w:r w:rsidR="00C251D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ԹՎԱԿԱՆԻ ՊԵՏԱԿԱՆ ԲՅՈՒՋԵԻ ՄԱՍԻՆ»</w:t>
      </w:r>
      <w:r w:rsidR="005C3F0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ՀՀ </w:t>
      </w:r>
      <w:r w:rsidRPr="00EE5D5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ՕՐԵՆՔՈՒՄ </w:t>
      </w:r>
      <w:r w:rsidRPr="00EE5D5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ՎԵՐԱԲԱՇԽՈՒՄ</w:t>
      </w:r>
      <w:r w:rsidRPr="00EE5D5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, ՀԱՅԱՍՏԱՆԻ ՀԱՆՐԱՊԵՏՈՒԹՅԱՆ ԿԱՌԱՎԱՐՈՒԹՅԱՆ 2021 ԹՎԱԿԱՆԻ ԴԵԿՏԵՄԲԵՐԻ 23-Ի N 2121-Ն ՈՐՈՇՄԱՆ ՄԵՋ ՓՈՓՈԽՈՒԹՅՈՒՆՆԵՐ</w:t>
      </w:r>
      <w:r w:rsidR="00223840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ԵՎ ԼՐԱՑՈՒՄՆԵՐ </w:t>
      </w:r>
      <w:r w:rsidRPr="00EE5D5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ԿԱՏԱՐԵԼՈՒ ՄԱՍԻՆ</w:t>
      </w:r>
      <w:r w:rsidRPr="00EE5D56">
        <w:rPr>
          <w:rFonts w:ascii="Arial Armenian" w:eastAsia="Times New Roman" w:hAnsi="Arial Armenian" w:cs="Sylfaen"/>
          <w:b/>
          <w:bCs/>
          <w:sz w:val="24"/>
          <w:szCs w:val="24"/>
          <w:lang w:val="af-ZA" w:eastAsia="ru-RU"/>
        </w:rPr>
        <w:t>¦</w:t>
      </w:r>
      <w:r w:rsidRPr="00EE5D56" w:rsidDel="004A24AB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ՀԱՆՐԱՊԵՏՈՒԹՅԱՆ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ՈՐՈՇՄԱՆ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ՆԱԽԱԳԾԻ</w:t>
      </w:r>
      <w:r w:rsidRPr="00EE5D56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E5D5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ԸՆԴՈՒՆՄԱՆ</w:t>
      </w:r>
    </w:p>
    <w:p w:rsidR="00EE5D56" w:rsidRPr="00EE5D56" w:rsidRDefault="00EE5D56" w:rsidP="00EE5D56">
      <w:pPr>
        <w:numPr>
          <w:ilvl w:val="0"/>
          <w:numId w:val="1"/>
        </w:numPr>
        <w:suppressAutoHyphens/>
        <w:spacing w:before="600" w:after="0" w:line="360" w:lineRule="auto"/>
        <w:ind w:left="924" w:hanging="357"/>
        <w:jc w:val="both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EE5D5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Իրավական ակտի անհրաժեշտությունը (նպատակը).</w:t>
      </w:r>
      <w:r w:rsidRPr="00EE5D56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</w:p>
    <w:p w:rsidR="00EE5D56" w:rsidRPr="00B27C53" w:rsidRDefault="00EE5D56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EE5D56">
        <w:rPr>
          <w:rFonts w:ascii="Arial Armenian" w:eastAsia="Times New Roman" w:hAnsi="Arial Armenian" w:cs="Sylfaen"/>
          <w:bCs/>
          <w:sz w:val="24"/>
          <w:szCs w:val="24"/>
          <w:lang w:val="af-ZA" w:eastAsia="ru-RU"/>
        </w:rPr>
        <w:t>§</w:t>
      </w: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այաստանի </w:t>
      </w: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անրապետության 2022 թվականի պետական բյուջեի մասին» </w:t>
      </w:r>
      <w:r w:rsidR="009E6A0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օրենքում </w:t>
      </w: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վերաբաշխում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այաստանի </w:t>
      </w: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անրապետության կառավարության 2021 թվականի դեկտեմբերի 23-ի </w:t>
      </w:r>
      <w:r w:rsidRPr="00EE5D5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eastAsia="ar-SA"/>
        </w:rPr>
        <w:t>N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2121-ն որոշման մեջ փոփոխություններ </w:t>
      </w:r>
      <w:r w:rsidR="0022384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r w:rsidR="00726D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լրացումներ </w:t>
      </w:r>
      <w:r w:rsidRPr="00EE5D5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կատարելու մասին</w:t>
      </w:r>
      <w:r w:rsidRPr="00EE5D56">
        <w:rPr>
          <w:rFonts w:ascii="Arial Armenian" w:eastAsia="Times New Roman" w:hAnsi="Arial Armenian" w:cs="Sylfaen"/>
          <w:bCs/>
          <w:sz w:val="24"/>
          <w:szCs w:val="24"/>
          <w:lang w:val="af-ZA" w:eastAsia="ru-RU"/>
        </w:rPr>
        <w:t>¦</w:t>
      </w:r>
      <w:r w:rsidRPr="00EE5D56">
        <w:rPr>
          <w:rFonts w:ascii="Calibri" w:eastAsia="Times New Roman" w:hAnsi="Calibri" w:cs="Sylfaen"/>
          <w:bCs/>
          <w:sz w:val="24"/>
          <w:szCs w:val="24"/>
          <w:lang w:eastAsia="ru-RU"/>
        </w:rPr>
        <w:t xml:space="preserve"> </w:t>
      </w:r>
      <w:r w:rsidRPr="00EE5D56">
        <w:rPr>
          <w:rFonts w:ascii="GHEA Grapalat" w:eastAsia="Times New Roman" w:hAnsi="GHEA Grapalat" w:cs="Tahoma"/>
          <w:sz w:val="24"/>
          <w:szCs w:val="24"/>
          <w:lang w:eastAsia="ru-RU"/>
        </w:rPr>
        <w:t>Հայաստանի Հանրապետության կառավարության որոշման նախագծի ընդունման նպատակն է</w:t>
      </w:r>
      <w:r w:rsidR="004055C2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Արդարադատության նախարարության 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«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1093</w:t>
      </w:r>
      <w:r w:rsidR="004055C2" w:rsidRPr="004055C2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Դատական և հանրային պաշտպանություն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ծրագրի 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«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11001</w:t>
      </w:r>
      <w:r w:rsidR="004055C2" w:rsidRPr="004055C2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Հանրային պաշտպանության ծառայություններ</w:t>
      </w:r>
      <w:r w:rsidR="004055C2"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միջոցառման գծով</w:t>
      </w:r>
      <w:r w:rsidR="004055C2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</w:t>
      </w:r>
      <w:r w:rsidR="004055C2" w:rsidRPr="00D757D8">
        <w:rPr>
          <w:rFonts w:ascii="GHEA Grapalat" w:eastAsia="Times New Roman" w:hAnsi="GHEA Grapalat" w:cs="Tahoma"/>
          <w:sz w:val="24"/>
          <w:szCs w:val="24"/>
          <w:lang w:eastAsia="ru-RU"/>
        </w:rPr>
        <w:t>2022 թվականի երկրորդ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կիսամյակի համար </w:t>
      </w:r>
      <w:r w:rsidR="004055C2" w:rsidRPr="00EE5D56">
        <w:rPr>
          <w:rFonts w:ascii="GHEA Grapalat" w:eastAsia="Times New Roman" w:hAnsi="GHEA Grapalat" w:cs="Tahoma"/>
          <w:sz w:val="24"/>
          <w:szCs w:val="24"/>
          <w:lang w:eastAsia="ru-RU"/>
        </w:rPr>
        <w:t>Հայաստանի Հանրապետության կառավարության պահուստային ֆոնդ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>ից</w:t>
      </w:r>
      <w:r w:rsidR="00B27C5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10 հաստիքի համար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հատկացնել հավելյալ միջոցներ՝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(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33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,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532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.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980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</w:t>
      </w:r>
      <w:r w:rsidR="007B402C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հազ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. 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դրամ</w:t>
      </w:r>
      <w:r w:rsidR="007B402C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՝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429</w:t>
      </w:r>
      <w:r w:rsid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.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910</w:t>
      </w:r>
      <w:r w:rsidR="00616ACA">
        <w:rPr>
          <w:rFonts w:ascii="GHEA Grapalat" w:eastAsia="Times New Roman" w:hAnsi="GHEA Grapalat" w:cs="Tahoma"/>
          <w:sz w:val="24"/>
          <w:szCs w:val="24"/>
          <w:lang w:eastAsia="ru-RU"/>
        </w:rPr>
        <w:t>դրամ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*6</w:t>
      </w:r>
      <w:r w:rsidR="007B402C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ամիս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*10</w:t>
      </w:r>
      <w:r w:rsidR="007B402C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հաստիք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*30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%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val="fr-FR" w:eastAsia="ru-RU"/>
        </w:rPr>
        <w:t>)</w:t>
      </w:r>
      <w:r w:rsidR="00380E0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="00380E04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պայմանավորված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>հանրային պաշտպանության շրջանակներում մատուցվող ծառայությունների քանակի աճ</w:t>
      </w:r>
      <w:r w:rsidR="00380E04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ով</w:t>
      </w:r>
      <w:r w:rsidR="00380E04" w:rsidRPr="00380E04">
        <w:rPr>
          <w:rFonts w:ascii="GHEA Grapalat" w:eastAsia="Times New Roman" w:hAnsi="GHEA Grapalat" w:cs="Tahoma"/>
          <w:sz w:val="24"/>
          <w:szCs w:val="24"/>
          <w:lang w:val="fr-FR" w:eastAsia="ru-RU"/>
        </w:rPr>
        <w:t>,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="00380E04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ինչպես</w:t>
      </w:r>
      <w:r w:rsidR="00380E04" w:rsidRPr="00380E04"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</w:t>
      </w:r>
      <w:r w:rsidR="00380E04" w:rsidRPr="00B27C53">
        <w:rPr>
          <w:rFonts w:ascii="GHEA Grapalat" w:eastAsia="Times New Roman" w:hAnsi="GHEA Grapalat" w:cs="Tahoma"/>
          <w:sz w:val="24"/>
          <w:szCs w:val="24"/>
          <w:lang w:eastAsia="ru-RU"/>
        </w:rPr>
        <w:t>նաև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2022 թվականի հուլիսի 1-ից ուժի մեջ մտնող ՀՀ քրեական դատավարության նոր օրենսգրքի կարգավորումներով, ապահովել</w:t>
      </w:r>
      <w:r w:rsidR="004055C2">
        <w:rPr>
          <w:rFonts w:ascii="GHEA Grapalat" w:eastAsia="Times New Roman" w:hAnsi="GHEA Grapalat" w:cs="Tahoma"/>
          <w:sz w:val="24"/>
          <w:szCs w:val="24"/>
          <w:lang w:eastAsia="ru-RU"/>
        </w:rPr>
        <w:t>ու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Սահմանադրությամբ երաշխավորված</w:t>
      </w:r>
      <w:r w:rsidR="00D757D8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>անվճար իրավաբանական օգնության</w:t>
      </w:r>
      <w:r w:rsidR="00D757D8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պատշաճ և որակյալ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տրամադրումը</w:t>
      </w:r>
      <w:r w:rsidR="00D757D8">
        <w:rPr>
          <w:rFonts w:ascii="GHEA Grapalat" w:eastAsia="Times New Roman" w:hAnsi="GHEA Grapalat" w:cs="Tahoma"/>
          <w:sz w:val="24"/>
          <w:szCs w:val="24"/>
          <w:lang w:eastAsia="ru-RU"/>
        </w:rPr>
        <w:t>:</w:t>
      </w:r>
      <w:r w:rsidR="00B27C5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</w:p>
    <w:p w:rsidR="00EE5D56" w:rsidRPr="00EE5D56" w:rsidRDefault="00EE5D56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en-GB"/>
        </w:rPr>
      </w:pPr>
      <w:r w:rsidRPr="00EE5D56">
        <w:rPr>
          <w:rFonts w:ascii="GHEA Grapalat" w:eastAsia="Times New Roman" w:hAnsi="GHEA Grapalat" w:cs="Tahoma"/>
          <w:sz w:val="24"/>
          <w:szCs w:val="24"/>
          <w:lang w:eastAsia="ru-RU"/>
        </w:rPr>
        <w:t>2</w:t>
      </w:r>
      <w:r w:rsidRPr="00EE5D56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en-GB"/>
        </w:rPr>
        <w:t>Ընթացիկ</w:t>
      </w: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 w:eastAsia="en-GB"/>
        </w:rPr>
        <w:t xml:space="preserve"> </w:t>
      </w: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en-GB"/>
        </w:rPr>
        <w:t>իրավիճակը,</w:t>
      </w: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 w:eastAsia="en-GB"/>
        </w:rPr>
        <w:t xml:space="preserve"> </w:t>
      </w: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en-GB"/>
        </w:rPr>
        <w:t>խնդիրները և առաջարկվող կարգավորման բնույթը</w:t>
      </w:r>
    </w:p>
    <w:p w:rsidR="00B013D4" w:rsidRDefault="004055C2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9E6A01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«</w:t>
      </w:r>
      <w:r w:rsidRPr="009E6A01">
        <w:rPr>
          <w:rFonts w:ascii="GHEA Grapalat" w:eastAsia="Times New Roman" w:hAnsi="GHEA Grapalat" w:cs="Tahoma"/>
          <w:sz w:val="24"/>
          <w:szCs w:val="24"/>
          <w:lang w:eastAsia="ru-RU"/>
        </w:rPr>
        <w:t>Հ</w:t>
      </w:r>
      <w:r w:rsidRPr="009E6A01">
        <w:rPr>
          <w:rFonts w:ascii="GHEA Grapalat" w:eastAsia="Times New Roman" w:hAnsi="GHEA Grapalat" w:cs="Tahoma"/>
          <w:sz w:val="24"/>
          <w:szCs w:val="24"/>
          <w:lang w:val="af-ZA" w:eastAsia="ru-RU"/>
        </w:rPr>
        <w:t xml:space="preserve">այաստանի </w:t>
      </w:r>
      <w:r w:rsidRPr="009E6A01">
        <w:rPr>
          <w:rFonts w:ascii="GHEA Grapalat" w:eastAsia="Times New Roman" w:hAnsi="GHEA Grapalat" w:cs="Tahoma"/>
          <w:sz w:val="24"/>
          <w:szCs w:val="24"/>
          <w:lang w:eastAsia="ru-RU"/>
        </w:rPr>
        <w:t>Հ</w:t>
      </w:r>
      <w:r w:rsidRPr="009E6A01">
        <w:rPr>
          <w:rFonts w:ascii="GHEA Grapalat" w:eastAsia="Times New Roman" w:hAnsi="GHEA Grapalat" w:cs="Tahoma"/>
          <w:sz w:val="24"/>
          <w:szCs w:val="24"/>
          <w:lang w:val="af-ZA" w:eastAsia="ru-RU"/>
        </w:rPr>
        <w:t xml:space="preserve">անրապետության 2022 թվականի պետական բյուջեի մասին» </w:t>
      </w:r>
      <w:r w:rsidR="009E6A01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ՀՀ </w:t>
      </w:r>
      <w:r w:rsidRPr="009E6A01">
        <w:rPr>
          <w:rFonts w:ascii="GHEA Grapalat" w:eastAsia="Times New Roman" w:hAnsi="GHEA Grapalat" w:cs="Tahoma"/>
          <w:sz w:val="24"/>
          <w:szCs w:val="24"/>
          <w:lang w:val="af-ZA" w:eastAsia="ru-RU"/>
        </w:rPr>
        <w:t>օրենքո</w:t>
      </w:r>
      <w:r w:rsidRPr="009E6A01">
        <w:rPr>
          <w:rFonts w:ascii="GHEA Grapalat" w:eastAsia="Times New Roman" w:hAnsi="GHEA Grapalat" w:cs="Tahoma"/>
          <w:sz w:val="24"/>
          <w:szCs w:val="24"/>
          <w:lang w:eastAsia="ru-RU"/>
        </w:rPr>
        <w:t>վ</w:t>
      </w:r>
      <w:r w:rsidRPr="009E6A01">
        <w:rPr>
          <w:rFonts w:ascii="GHEA Grapalat" w:eastAsia="Times New Roman" w:hAnsi="GHEA Grapalat" w:cs="Tahoma"/>
          <w:sz w:val="24"/>
          <w:szCs w:val="24"/>
          <w:lang w:val="af-ZA" w:eastAsia="ru-RU"/>
        </w:rPr>
        <w:t xml:space="preserve"> 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Արդարադատության նախարարության 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«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1093</w:t>
      </w:r>
      <w:r w:rsidRPr="004055C2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Դատական և հանրային պաշտպանություն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ծրագրի 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«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11001</w:t>
      </w:r>
      <w:r w:rsidRPr="004055C2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Հանրային պաշտպանության ծառայություններ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միջոցառմանը 2022 թվականի համար </w:t>
      </w:r>
      <w:r w:rsidR="007B402C">
        <w:rPr>
          <w:rFonts w:ascii="GHEA Grapalat" w:eastAsia="Times New Roman" w:hAnsi="GHEA Grapalat" w:cs="Tahoma"/>
          <w:sz w:val="24"/>
          <w:szCs w:val="24"/>
          <w:lang w:eastAsia="ru-RU"/>
        </w:rPr>
        <w:t>հատկա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eastAsia="ru-RU"/>
        </w:rPr>
        <w:t>ցված է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417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eastAsia="ru-RU"/>
        </w:rPr>
        <w:t>,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485.6</w:t>
      </w:r>
      <w:r w:rsidR="00107AAD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00 </w:t>
      </w:r>
      <w:r w:rsidR="007B402C" w:rsidRPr="007B402C">
        <w:rPr>
          <w:rFonts w:ascii="GHEA Grapalat" w:eastAsia="Times New Roman" w:hAnsi="GHEA Grapalat" w:cs="Tahoma"/>
          <w:sz w:val="24"/>
          <w:szCs w:val="24"/>
          <w:lang w:eastAsia="ru-RU"/>
        </w:rPr>
        <w:t>հազ.</w:t>
      </w:r>
      <w:r w:rsidR="00107AAD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դրամ, որի միջոցով ՀՀ փաստաբանների պալատի հանրային պաշտպանի գրասենյակը, «Փաստաբանության մասին» օրենքի համաձայն, պետք է օրենսդրությամբ նախատեսված </w:t>
      </w:r>
      <w:r w:rsidR="00107AAD">
        <w:rPr>
          <w:rFonts w:ascii="GHEA Grapalat" w:eastAsia="Times New Roman" w:hAnsi="GHEA Grapalat" w:cs="Tahoma"/>
          <w:sz w:val="24"/>
          <w:szCs w:val="24"/>
          <w:lang w:eastAsia="ru-RU"/>
        </w:rPr>
        <w:lastRenderedPageBreak/>
        <w:t>դեպքերում ապահովվի անվճար իրավաբանական օգնության տրամադրումը: Նշված գումար</w:t>
      </w:r>
      <w:r w:rsidR="00B013D4">
        <w:rPr>
          <w:rFonts w:ascii="GHEA Grapalat" w:eastAsia="Times New Roman" w:hAnsi="GHEA Grapalat" w:cs="Tahoma"/>
          <w:sz w:val="24"/>
          <w:szCs w:val="24"/>
          <w:lang w:eastAsia="ru-RU"/>
        </w:rPr>
        <w:t>ը</w:t>
      </w:r>
      <w:r w:rsidR="00107AAD">
        <w:rPr>
          <w:rFonts w:ascii="GHEA Grapalat" w:eastAsia="Times New Roman" w:hAnsi="GHEA Grapalat" w:cs="Tahoma"/>
          <w:sz w:val="24"/>
          <w:szCs w:val="24"/>
          <w:lang w:eastAsia="ru-RU"/>
        </w:rPr>
        <w:t>, հաշվի առնելով «Փաստաբանության մասին» օրենքի 45</w:t>
      </w:r>
      <w:r w:rsidR="00107AAD">
        <w:rPr>
          <w:rFonts w:ascii="GHEA Grapalat" w:eastAsia="Times New Roman" w:hAnsi="GHEA Grapalat" w:cs="Tahoma"/>
          <w:sz w:val="24"/>
          <w:szCs w:val="24"/>
          <w:lang w:eastAsia="ru-RU"/>
        </w:rPr>
        <w:noBreakHyphen/>
        <w:t>րդ հոդվածի կարգավորումները</w:t>
      </w:r>
      <w:r w:rsidR="00B013D4">
        <w:rPr>
          <w:rFonts w:ascii="GHEA Grapalat" w:eastAsia="Times New Roman" w:hAnsi="GHEA Grapalat" w:cs="Tahoma"/>
          <w:sz w:val="24"/>
          <w:szCs w:val="24"/>
          <w:lang w:eastAsia="ru-RU"/>
        </w:rPr>
        <w:t>, նախատեսված է հանրային պաշտպանի 59 հաստիքի համար:</w:t>
      </w:r>
    </w:p>
    <w:p w:rsidR="00B013D4" w:rsidRDefault="00B013D4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sz w:val="24"/>
          <w:szCs w:val="24"/>
          <w:lang w:eastAsia="ru-RU"/>
        </w:rPr>
        <w:t>Այդուհանդերձ, ներկայում հանրային պաշտպանի գրասենյակն աշխատում է գերծանրաբեռնված: Վարվող գ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ործերի գրանցվող աճի</w:t>
      </w: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և օրենսդրական փոփոխությունների արդյունքում կանխատեսվող ծավալի ավելացման պայմաններում</w:t>
      </w:r>
      <w:r w:rsidR="00B522C7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,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="00B522C7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գործող հաստիքների քանակի հաշվառմամբ,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="00B522C7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վտանգված է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քրեական գործերով վարույթ իրականացնող մարմինների որոշումների ժամանակին կատարման ապահովումը, և հանրային պաշտպանի գրասենյակ դիմող բոլոր քաղաքացիներին անվճար որակյալ իրավաբանական օգնության ժամանակին տրամադրումը: </w:t>
      </w:r>
    </w:p>
    <w:p w:rsidR="00B522C7" w:rsidRDefault="00B522C7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Նշված իրավիճակը կարող է շտկվել միայն հանրային պաշտպանության ծառայության համար լրացուցիչ միջոցներ հատկացնելով՝ ավելացնելու անվճար իրավաբանական օգնություն ցուցաբերող հանրային պաշտպանների հաստիքների քանակը:</w:t>
      </w:r>
    </w:p>
    <w:p w:rsidR="00B013D4" w:rsidRPr="00B013D4" w:rsidRDefault="00B522C7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sz w:val="24"/>
          <w:szCs w:val="24"/>
          <w:lang w:eastAsia="ru-RU"/>
        </w:rPr>
        <w:t>Հարկ է նկատել, որ յ</w:t>
      </w:r>
      <w:r w:rsidR="00B013D4" w:rsidRPr="00B013D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ուրաքանչյուր տարի գրանցվում է հանրային պաշտպանի գրասենյակի ծանրաբեռնվածության  կայուն աճ, ընդ որում՝ բավականին զգալի: </w:t>
      </w:r>
    </w:p>
    <w:p w:rsidR="00B522C7" w:rsidRPr="00B522C7" w:rsidRDefault="00B522C7" w:rsidP="00B522C7">
      <w:pPr>
        <w:spacing w:after="0" w:line="276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</w:rPr>
      </w:pPr>
      <w:r w:rsidRPr="00B522C7">
        <w:rPr>
          <w:rFonts w:ascii="GHEA Grapalat" w:eastAsia="Calibri" w:hAnsi="GHEA Grapalat" w:cs="Times New Roman"/>
          <w:b/>
          <w:color w:val="000000"/>
          <w:sz w:val="24"/>
          <w:szCs w:val="24"/>
        </w:rPr>
        <w:t>ՎԻՃԱԿԱԳՐԱԿԱՆ ՏՎՅԱԼՆԵՐ</w:t>
      </w:r>
    </w:p>
    <w:tbl>
      <w:tblPr>
        <w:tblStyle w:val="TableGrid1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45"/>
      </w:tblGrid>
      <w:tr w:rsidR="00B522C7" w:rsidRPr="00B522C7" w:rsidTr="006506F8">
        <w:trPr>
          <w:trHeight w:val="737"/>
          <w:jc w:val="center"/>
        </w:trPr>
        <w:tc>
          <w:tcPr>
            <w:tcW w:w="1250" w:type="pct"/>
            <w:gridSpan w:val="4"/>
            <w:shd w:val="clear" w:color="auto" w:fill="DBDBDB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sz w:val="24"/>
                <w:szCs w:val="24"/>
              </w:rPr>
              <w:t>ՀԱՆՐԱՅԻՆ ՊԱՇՏՊԱՆԻ ԳՐԱՍԵՆՅԱԿԻ ՎԱՐԱԾ ՔՐԵԱԿԱՆ ԳՈՐԾԵՐԻ ՔԱՆԱԿԸ՝ ԸՍՏ ՏԱՐԻՆԵՐԻ</w:t>
            </w:r>
          </w:p>
        </w:tc>
      </w:tr>
      <w:tr w:rsidR="00B522C7" w:rsidRPr="00B522C7" w:rsidTr="006506F8">
        <w:trPr>
          <w:trHeight w:val="283"/>
          <w:jc w:val="center"/>
        </w:trPr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ind w:left="-144" w:right="-72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Ժամանակահատված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ind w:left="-72" w:right="-72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քանակ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աճ</w:t>
            </w:r>
          </w:p>
          <w:p w:rsidR="00B522C7" w:rsidRPr="00B522C7" w:rsidRDefault="00B522C7" w:rsidP="00B522C7">
            <w:pPr>
              <w:widowControl w:val="0"/>
              <w:ind w:left="-144" w:right="-72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թվով</w:t>
            </w:r>
          </w:p>
          <w:p w:rsidR="00B522C7" w:rsidRPr="00B522C7" w:rsidRDefault="00B522C7" w:rsidP="00B522C7">
            <w:pPr>
              <w:widowControl w:val="0"/>
              <w:ind w:left="-144" w:right="-72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նախորդ տարվա համեմատ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աճ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տոկոսով</w:t>
            </w:r>
          </w:p>
          <w:p w:rsidR="00B522C7" w:rsidRPr="00B522C7" w:rsidRDefault="00B522C7" w:rsidP="00B522C7">
            <w:pPr>
              <w:widowControl w:val="0"/>
              <w:ind w:left="-144" w:right="-144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նախորդ տարվա համեմատ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2011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2962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2012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3102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140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5%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2013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3219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117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2014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3666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447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2015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4600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934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25%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2016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5264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664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 xml:space="preserve">2017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  <w:vertAlign w:val="subscript"/>
              </w:rPr>
            </w:pPr>
            <w:r w:rsidRPr="00B522C7">
              <w:rPr>
                <w:rFonts w:ascii="GHEA Grapalat" w:hAnsi="GHEA Grapalat"/>
                <w:szCs w:val="24"/>
              </w:rPr>
              <w:t>5891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627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12%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2018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6688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797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14%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 xml:space="preserve"> 2019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7183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495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7.5%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2020*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7361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178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2,5%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lastRenderedPageBreak/>
              <w:t>2021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10492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3131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42,5%</w:t>
            </w:r>
          </w:p>
        </w:tc>
      </w:tr>
    </w:tbl>
    <w:p w:rsidR="00B522C7" w:rsidRPr="00B522C7" w:rsidRDefault="00B522C7" w:rsidP="00B522C7">
      <w:pPr>
        <w:spacing w:after="0" w:line="276" w:lineRule="auto"/>
        <w:rPr>
          <w:rFonts w:ascii="GHEA Grapalat" w:eastAsia="Calibri" w:hAnsi="GHEA Grapalat" w:cs="Times New Roman"/>
          <w:b/>
          <w:i/>
          <w:color w:val="000000"/>
          <w:sz w:val="24"/>
          <w:szCs w:val="24"/>
        </w:rPr>
      </w:pPr>
    </w:p>
    <w:tbl>
      <w:tblPr>
        <w:tblStyle w:val="TableGrid2"/>
        <w:tblW w:w="9312" w:type="dxa"/>
        <w:jc w:val="center"/>
        <w:tblLayout w:type="fixed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</w:tblGrid>
      <w:tr w:rsidR="00B522C7" w:rsidRPr="00B522C7" w:rsidTr="006506F8">
        <w:trPr>
          <w:trHeight w:val="737"/>
          <w:jc w:val="center"/>
        </w:trPr>
        <w:tc>
          <w:tcPr>
            <w:tcW w:w="1250" w:type="pct"/>
            <w:gridSpan w:val="4"/>
            <w:shd w:val="clear" w:color="auto" w:fill="DBDBDB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B522C7">
              <w:rPr>
                <w:rFonts w:ascii="GHEA Grapalat" w:hAnsi="GHEA Grapalat"/>
                <w:b/>
                <w:sz w:val="24"/>
                <w:szCs w:val="24"/>
              </w:rPr>
              <w:t xml:space="preserve">ՀԱՆՐԱՅԻՆ ՊԱՇՏՊԱՆԻ ԳՐԱՍԵՆՅԱԿԻ ՎԱՐԱԾ </w:t>
            </w:r>
            <w:r w:rsidRPr="00B522C7">
              <w:rPr>
                <w:rFonts w:ascii="GHEA Grapalat" w:hAnsi="GHEA Grapalat" w:cs="GHEA Grapalat"/>
                <w:b/>
                <w:sz w:val="24"/>
                <w:szCs w:val="24"/>
              </w:rPr>
              <w:t>ՔԱՂԱՔԱՑԻԱԿԱՆ, ՎԱՐՉԱԿԱՆ, ՍԱՀՄԱՆԱԴՐԱԿԱՆ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 w:cs="GHEA Grapalat"/>
                <w:b/>
                <w:sz w:val="24"/>
                <w:szCs w:val="24"/>
              </w:rPr>
              <w:t>ԳՈՐԾԵՐԸ</w:t>
            </w:r>
          </w:p>
        </w:tc>
      </w:tr>
      <w:tr w:rsidR="00B522C7" w:rsidRPr="00B522C7" w:rsidTr="006506F8">
        <w:trPr>
          <w:jc w:val="center"/>
        </w:trPr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Ժամանակահատված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քանակ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աճ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թվով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նախորդ տարվա համեմատ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Գործերի աճ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տոկոսով</w:t>
            </w:r>
          </w:p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B522C7">
              <w:rPr>
                <w:rFonts w:ascii="GHEA Grapalat" w:hAnsi="GHEA Grapalat"/>
                <w:b/>
                <w:i/>
                <w:szCs w:val="24"/>
              </w:rPr>
              <w:t>նախորդ տարվա համեմատ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2011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12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2012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17</w:t>
            </w:r>
          </w:p>
        </w:tc>
        <w:tc>
          <w:tcPr>
            <w:tcW w:w="1250" w:type="pct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5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42%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2013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363</w:t>
            </w:r>
          </w:p>
        </w:tc>
        <w:tc>
          <w:tcPr>
            <w:tcW w:w="1250" w:type="pct"/>
            <w:shd w:val="clear" w:color="auto" w:fill="EDEDED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346</w:t>
            </w:r>
          </w:p>
        </w:tc>
        <w:tc>
          <w:tcPr>
            <w:tcW w:w="1250" w:type="pct"/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2035%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2014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1334</w:t>
            </w:r>
          </w:p>
        </w:tc>
        <w:tc>
          <w:tcPr>
            <w:tcW w:w="1250" w:type="pct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971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267%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2015</w:t>
            </w:r>
          </w:p>
        </w:tc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2588</w:t>
            </w:r>
          </w:p>
        </w:tc>
        <w:tc>
          <w:tcPr>
            <w:tcW w:w="1250" w:type="pct"/>
            <w:shd w:val="clear" w:color="auto" w:fill="EDEDED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1254</w:t>
            </w:r>
          </w:p>
        </w:tc>
        <w:tc>
          <w:tcPr>
            <w:tcW w:w="1250" w:type="pct"/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94%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2016</w:t>
            </w:r>
          </w:p>
        </w:tc>
        <w:tc>
          <w:tcPr>
            <w:tcW w:w="1250" w:type="pct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4750</w:t>
            </w:r>
          </w:p>
        </w:tc>
        <w:tc>
          <w:tcPr>
            <w:tcW w:w="1250" w:type="pct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2162</w:t>
            </w:r>
          </w:p>
        </w:tc>
        <w:tc>
          <w:tcPr>
            <w:tcW w:w="1250" w:type="pct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84%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shd w:val="clear" w:color="auto" w:fill="EDEDED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2017</w:t>
            </w:r>
          </w:p>
        </w:tc>
        <w:tc>
          <w:tcPr>
            <w:tcW w:w="1250" w:type="pct"/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5865</w:t>
            </w:r>
          </w:p>
        </w:tc>
        <w:tc>
          <w:tcPr>
            <w:tcW w:w="1250" w:type="pct"/>
            <w:shd w:val="clear" w:color="auto" w:fill="EDEDED"/>
            <w:vAlign w:val="bottom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1115</w:t>
            </w:r>
          </w:p>
        </w:tc>
        <w:tc>
          <w:tcPr>
            <w:tcW w:w="1250" w:type="pct"/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23%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bottom w:val="single" w:sz="4" w:space="0" w:color="auto"/>
            </w:tcBorders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2018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</w:rPr>
            </w:pPr>
            <w:r w:rsidRPr="00B522C7">
              <w:rPr>
                <w:rFonts w:ascii="GHEA Grapalat" w:hAnsi="GHEA Grapalat"/>
                <w:szCs w:val="24"/>
              </w:rPr>
              <w:t>7021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1103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20%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2019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8608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1587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23%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2020*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7926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-682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-7,9%</w:t>
            </w:r>
          </w:p>
        </w:tc>
      </w:tr>
      <w:tr w:rsidR="00B522C7" w:rsidRPr="00B522C7" w:rsidTr="006506F8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B522C7">
              <w:rPr>
                <w:rFonts w:ascii="GHEA Grapalat" w:hAnsi="GHEA Grapalat"/>
                <w:color w:val="000000"/>
                <w:szCs w:val="24"/>
              </w:rPr>
              <w:t>2021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8800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874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B522C7" w:rsidRPr="00B522C7" w:rsidRDefault="00B522C7" w:rsidP="00B522C7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522C7">
              <w:rPr>
                <w:rFonts w:ascii="GHEA Grapalat" w:hAnsi="GHEA Grapalat"/>
                <w:szCs w:val="24"/>
              </w:rPr>
              <w:t>11%</w:t>
            </w:r>
          </w:p>
        </w:tc>
      </w:tr>
    </w:tbl>
    <w:p w:rsidR="00B522C7" w:rsidRPr="00B522C7" w:rsidRDefault="00B522C7" w:rsidP="00B522C7">
      <w:pPr>
        <w:spacing w:after="0" w:line="276" w:lineRule="auto"/>
        <w:ind w:firstLine="426"/>
        <w:rPr>
          <w:rFonts w:ascii="GHEA Grapalat" w:eastAsia="Calibri" w:hAnsi="GHEA Grapalat" w:cs="Times New Roman"/>
          <w:b/>
          <w:i/>
          <w:color w:val="000000"/>
          <w:sz w:val="4"/>
          <w:szCs w:val="24"/>
        </w:rPr>
      </w:pPr>
    </w:p>
    <w:p w:rsidR="00B522C7" w:rsidRPr="00B522C7" w:rsidRDefault="00B522C7" w:rsidP="00C9378C">
      <w:pPr>
        <w:spacing w:after="0" w:line="276" w:lineRule="auto"/>
        <w:ind w:left="284" w:right="190"/>
        <w:jc w:val="both"/>
        <w:rPr>
          <w:rFonts w:ascii="GHEA Grapalat" w:eastAsia="Calibri" w:hAnsi="GHEA Grapalat" w:cs="Times New Roman"/>
          <w:color w:val="000000"/>
        </w:rPr>
      </w:pPr>
      <w:r w:rsidRPr="00B522C7">
        <w:rPr>
          <w:rFonts w:ascii="GHEA Grapalat" w:eastAsia="Calibri" w:hAnsi="GHEA Grapalat" w:cs="Times New Roman"/>
          <w:color w:val="000000"/>
        </w:rPr>
        <w:t xml:space="preserve">* </w:t>
      </w:r>
      <w:r w:rsidRPr="00C9378C">
        <w:rPr>
          <w:rFonts w:ascii="GHEA Grapalat" w:eastAsia="Calibri" w:hAnsi="GHEA Grapalat" w:cs="Times New Roman"/>
          <w:color w:val="000000"/>
          <w:sz w:val="20"/>
          <w:szCs w:val="20"/>
        </w:rPr>
        <w:t>2020 թվականի ցուցանիշների վրա էական ազդեցություն է ունեցել համավարակը և դրանով պայմանավորված սահմանափակումները</w:t>
      </w:r>
    </w:p>
    <w:p w:rsidR="00B013D4" w:rsidRPr="00B013D4" w:rsidRDefault="00160D50" w:rsidP="00B522C7">
      <w:pPr>
        <w:spacing w:before="240"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Գ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ործերի</w:t>
      </w: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թվաքանակի՝ ն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երկայում </w:t>
      </w:r>
      <w:r w:rsidR="00B013D4"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արձանագրվող աճը պայմանավորված է մի շարք գործոններով՝</w:t>
      </w:r>
    </w:p>
    <w:p w:rsidR="00B013D4" w:rsidRPr="00B013D4" w:rsidRDefault="00B013D4" w:rsidP="00B522C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հանրային պաշտպան տրամադրելու վերաբերյալ քրեական վարույթն իրականացնող մարմիններից ստացվող </w:t>
      </w:r>
      <w:r w:rsidR="00B73DB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որոշումների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քանակի ավելացմամբ,</w:t>
      </w:r>
    </w:p>
    <w:p w:rsidR="00B013D4" w:rsidRPr="00B013D4" w:rsidRDefault="00B013D4" w:rsidP="00B522C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օրենսդրական լրացումների և նոր 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կարգավորումների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ընդունման արդյունքում հանրային պաշտպանի գրասենյակի շահառուների </w:t>
      </w:r>
      <w:r w:rsidR="00160D50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խմբերի ավելացմամբ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, </w:t>
      </w:r>
    </w:p>
    <w:p w:rsidR="00B013D4" w:rsidRPr="00B013D4" w:rsidRDefault="00B013D4" w:rsidP="00B522C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գրասենյակի գործունեության վերաբերյալ հանրային իրազեկ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ված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ության բարձրացմամբ,</w:t>
      </w:r>
    </w:p>
    <w:p w:rsidR="00B013D4" w:rsidRPr="00B013D4" w:rsidRDefault="00B013D4" w:rsidP="00B522C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հանրային պաշտպանների մասնագիտական պատրաստվածության </w:t>
      </w:r>
      <w:r w:rsidR="003F7FC6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շարունակական 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բարելավման և գրասենյակի նկատմամբ վստահության աճի հանգամանքներով,</w:t>
      </w:r>
    </w:p>
    <w:p w:rsidR="00B013D4" w:rsidRPr="00B013D4" w:rsidRDefault="00B013D4" w:rsidP="00B522C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հանրության իրավագիտակցության բարձրացմամբ:</w:t>
      </w:r>
    </w:p>
    <w:p w:rsidR="00B013D4" w:rsidRPr="00B013D4" w:rsidRDefault="00B013D4" w:rsidP="00B522C7">
      <w:pPr>
        <w:tabs>
          <w:tab w:val="left" w:pos="851"/>
        </w:tabs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lastRenderedPageBreak/>
        <w:t xml:space="preserve">Գրասենյակի ծանրաբեռնվածության հետագա աճը հղի է Սահմանադրությամբ և միջազգային փաստաթղթերով պետության </w:t>
      </w:r>
      <w:r w:rsidR="00160D50"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ստանձնած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պարտավորությունների չկատարելու կամ թերակատարելու վտանգով:</w:t>
      </w:r>
    </w:p>
    <w:p w:rsidR="00B013D4" w:rsidRPr="00B013D4" w:rsidRDefault="00B013D4" w:rsidP="003C2DA4">
      <w:pPr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Ներկայացված խնդիրը հատկապես օրհասական կդառնա </w:t>
      </w:r>
      <w:r w:rsidRPr="00B013D4">
        <w:rPr>
          <w:rFonts w:ascii="GHEA Grapalat" w:eastAsia="Times New Roman" w:hAnsi="GHEA Grapalat" w:cs="Tahoma"/>
          <w:b/>
          <w:bCs/>
          <w:sz w:val="24"/>
          <w:szCs w:val="24"/>
          <w:lang w:eastAsia="ru-RU"/>
        </w:rPr>
        <w:t>ՀՀ քրեական և ՀՀ քրեական դատավարության նոր օրենսգրքերը 2022 թվականի հուլիսի 1-ին ուժի մեջ մտնելու պարագայում</w:t>
      </w: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՝ պայմանավորված գրասենյակի ծանրաբեռնվածությունն ավելացնող նոր կարգավորումներով:</w:t>
      </w:r>
    </w:p>
    <w:p w:rsidR="00B013D4" w:rsidRPr="00B013D4" w:rsidRDefault="00B013D4" w:rsidP="003C2DA4">
      <w:pPr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B013D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Մասնավորապես, ՀՀ քրեական դատավարության նոր օրենսգիրքը նախատեսում է գրասենյակի ծանրաբեռնվածությունն ավելացնող հետևյալ  կարգավորումները.</w:t>
      </w:r>
      <w:r w:rsidRPr="00B013D4">
        <w:rPr>
          <w:rFonts w:ascii="GHEA Grapalat" w:eastAsia="Times New Roman" w:hAnsi="GHEA Grapalat" w:cs="Tahoma"/>
          <w:b/>
          <w:bCs/>
          <w:sz w:val="24"/>
          <w:szCs w:val="24"/>
          <w:lang w:eastAsia="ru-RU"/>
        </w:rPr>
        <w:t xml:space="preserve"> </w:t>
      </w:r>
    </w:p>
    <w:p w:rsidR="00B013D4" w:rsidRPr="003C2DA4" w:rsidRDefault="00B013D4" w:rsidP="003C2DA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Միևնույն վարույթի շրջանակներում նույն փաստաբանը (պաշտպանը), որպես կանոն, կարողանալու է ներկայացնել միայն մեկ անձի (մեղադրյալի), ունենալ մեկ վստահորդ: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Մինչդեռ, ներկայում գրասենյակի փաստաբաններ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կարողանում են ապահովել մի քանի մեղադրյալների պաշտպանություն նույն վարույթի շրջանակներում, կամ իրականացնել մի քանի վստահորդի ներկայացուցչություն, որը հնարավորություն է տալիս առկա ռեսուրսն օգտագործել ավելի արդյունավետ:</w:t>
      </w:r>
    </w:p>
    <w:p w:rsidR="00B013D4" w:rsidRPr="003C2DA4" w:rsidRDefault="00B013D4" w:rsidP="003C2DA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Անձին ձերբակալման որոշումը հանձնելու կամ անձին մեղադրանք ներկայացնելու պահից վարույթին պաշտպանի ներգրավումը լինելու է պարտադիր: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Գործող կարգավորում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նշված դեպքերի համար սահմանում է կասկածյալի կամ մեղադրյալի ցանկության պայմանը, որից հետո միայն վարույթն իրականացնող մարմնի համար առաջանում է պաշտպանով ապահովելու պարտականությունը: Սակայն նոր կանոնով, ըստ էության, գրեթե բոլոր քրեական գործերով պարտադիր է դառնալու պաշտպանի մասնակցությունը և ակնհայտ է, որ պաշտպանության ապահովման գերակշիռ բեռը կրելու է հանրային պաշտպանի գրասենյակը: Ի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դեպ, այս դրույթը ենթադրում է նաև հանրային պաշտպանների շուրջօրյա աշխատանք, տրանսպորտային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,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նյութատեխնիկական և այլ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խնդիրներ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,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որ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ն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առկա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սահմանափակ ֆինանսական ռեսուրսների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պայմաններում անհնար է կազմակերպել:</w:t>
      </w:r>
    </w:p>
    <w:p w:rsidR="00B013D4" w:rsidRPr="003C2DA4" w:rsidRDefault="00B013D4" w:rsidP="003C2DA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Ավելացվել են նաև պաշտպանի պարտադիր մասնակցության հիմքերը. </w:t>
      </w:r>
    </w:p>
    <w:p w:rsidR="00B013D4" w:rsidRPr="003C2DA4" w:rsidRDefault="00B013D4" w:rsidP="003C2DA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lastRenderedPageBreak/>
        <w:t>դատարանը կայացրել է տվյալ մեղադրյալին առնչվող ցուցմունքի դեպոնացում կատարելու մասին որոշում.</w:t>
      </w:r>
    </w:p>
    <w:p w:rsidR="00B013D4" w:rsidRPr="003C2DA4" w:rsidRDefault="00B013D4" w:rsidP="003C2DA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մեղադրյալը միջնորդել է դատական նիստն անցկացնել իր բացակայությամբ: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Այս պարագայում ակնհայտորեն </w:t>
      </w:r>
      <w:r w:rsidR="00567A08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ևս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ավելանալու</w:t>
      </w:r>
      <w:r w:rsidR="00567A08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են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քրեական վարույթն իրականացնող մարմիններից ստացվող միջնորդությունները՝ հանրային պաշտպանություն իրականացնելու մասին, եթե հաշվի առնենք ցուցմունքների դեպոնացման հնարավոր ծավալները, ինչպես նաև նոր խմբերի ավելացումը: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Ընդ որում, համագործակցության և հեռակա վարույթների դեպքում պաշտպանի մասնակցության պարտադիրության հիմքը թեև կատարված լրացումների արդյունքում արդեն իսկ ներառված է գործող օրենսգրքում, այդուհանդերձ գործնականում դրա կիրառումը դեռևս խիստ սահմանափ</w:t>
      </w:r>
      <w:r w:rsidR="00246BC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ակ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է, ուստի այդ փոփոխության ազդեցություն</w:t>
      </w:r>
      <w:r w:rsidR="00246BC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ն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ակնառու է լինելու նոր օրենսգիրքն ուժի մեջ մտնելուց հետո: Հարկ է նկատել, որ նշված լրացումները կատարվելուց հետո</w:t>
      </w:r>
      <w:r w:rsidR="00246BC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,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դրանցով պայմանավորված ծանրաբեռնվածության ավելացման հաշվառմամբ</w:t>
      </w:r>
      <w:r w:rsidR="00246BC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,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հանրային պաշտպանի գրասենյակին հատկացվող միջոցների վերանայում </w:t>
      </w:r>
      <w:r w:rsidR="00246BCD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դեռևս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չի կատարվել:</w:t>
      </w:r>
    </w:p>
    <w:p w:rsidR="00B013D4" w:rsidRPr="003C2DA4" w:rsidRDefault="00B013D4" w:rsidP="003C2DA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Քրեական դատավարության նոր օրենսդրությամբ պաշտպանին վերապահվել են նոր իրավունքներ, մասնավորապես՝</w:t>
      </w:r>
    </w:p>
    <w:p w:rsidR="00B013D4" w:rsidRPr="003C2DA4" w:rsidRDefault="00B013D4" w:rsidP="003C2DA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ընդարձակվել են ապացուցողական գործողություններին մասնակցելու հնարավորությունները,</w:t>
      </w:r>
    </w:p>
    <w:p w:rsidR="00B013D4" w:rsidRPr="003C2DA4" w:rsidRDefault="00B013D4" w:rsidP="003C2DA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ընդլայնվել է տրամադրման ենթակա փաստաթղթերի շրջանակը,</w:t>
      </w:r>
    </w:p>
    <w:p w:rsidR="00B013D4" w:rsidRPr="003C2DA4" w:rsidRDefault="00B013D4" w:rsidP="003C2DA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վերապահվել է ապացույցներ ձեռք բերելու և ներկայացնելու իրավունք: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Ընդլայնված իրավունքների շրջանակը որակյալ իրավաբանական օգնություն տրամադրելու դեպքում ինքնին ենթադրում է լրացուցիչ աշխատանքների ծավալ՝ ապացույցների և փաստաթղթերի ձեռք բերմանն ուղղված գործողությունների շարք: 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5</w:t>
      </w:r>
      <w:r w:rsidR="003C2DA4" w:rsidRPr="007B402C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)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Քրեական դատավարության նոր օրենսդրությամբ ներդրվելու է մասնավոր մեղադրանքի ինստիտուտը, որը, հաշվի առնելով քրեական հայցի նախաձեռնողների շրջանակը, ենթադրում է նաև փաստաբանների, տվյալ դեպքում՝ հանրային պաշտպանների լրացուցիչ ներգրավվածություն: 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lastRenderedPageBreak/>
        <w:t>6</w:t>
      </w:r>
      <w:r w:rsidR="003C2DA4" w:rsidRPr="007B402C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)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Քննչական և </w:t>
      </w:r>
      <w:r w:rsidR="003C2DA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որոշ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դատավարական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այլ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գործողությունների,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դրանց բողոքարկումների համար սահմանվել են առավել սեղմ  ժամկետներ: Նշվածը ենթադրում է աշխատանքների կատարման ինտենսիվության ավելացում և սահմանափակ պայմաններ, ինչն առկա ծանրաբեռնվածության և զբաղվածության պայմաններում վտանգելու է իրավաբանական օգնության որակը, ընդհուպ՝ հանգեցնելու թերացումների:</w:t>
      </w:r>
    </w:p>
    <w:p w:rsidR="00B013D4" w:rsidRPr="003C2DA4" w:rsidRDefault="003C2DA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>Օրենսդրության փոփոխության արդյունքում հ</w:t>
      </w:r>
      <w:r w:rsidR="00B013D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անրային պաշտպ</w:t>
      </w:r>
      <w:r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անի գրասենյակի ծանրաբեռնվածությունն ավելացնող ներկայացված գործոնները </w:t>
      </w:r>
      <w:r w:rsidR="00B013D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սպառիչ չեն: 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Հարկ է նկատել, որ ՀՀ քրեական դատավարության նոր օրենսգրքի ընդունմամբ պայմանավորված հանրային պաշտպանի գրասենյակին հավելյալ միջոցնե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ր հատկացնելու անհրաժեշտությունն արձանագրվել է նաև օրենսգրքի </w:t>
      </w:r>
      <w:r w:rsidR="003C2DA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նախագծի հանրային և մասնագիտական քննարկումների ժամանակ, 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այդ թվում՝</w:t>
      </w:r>
      <w:r w:rsidR="003C2DA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նախագծի հեղինակների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 xml:space="preserve"> </w:t>
      </w:r>
      <w:r w:rsidR="003C2DA4"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կ</w:t>
      </w:r>
      <w:r w:rsid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ողմից: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Դատավարական օրենսդրության նոր կարգավորումներին զուգահեռ, ներկայում շրջանառության մեջ է դրված նաև ««Փաստաբանության մասին» Հայաստանի Հանրապետության օրենքում փոփոխություններ և լրացումներ կատարելու մասին» օրենքի նախագիծը, որով նախատեսվում է ընդլայնել անվճար իրավաբանական օգնություն ստանալու իրավունք ունեցող անձանց շրջանակը:</w:t>
      </w:r>
    </w:p>
    <w:p w:rsidR="00B013D4" w:rsidRPr="003C2DA4" w:rsidRDefault="00B013D4" w:rsidP="003C2DA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i/>
          <w:sz w:val="24"/>
          <w:szCs w:val="24"/>
          <w:lang w:eastAsia="ru-RU"/>
        </w:rPr>
      </w:pPr>
      <w:r w:rsidRPr="003C2DA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Ստեղծված իրավիճակի շարունակականության և գործերի կանխատեսվող հետագա աճի պայմաններում այլևս խնդրահարույց կլինի </w:t>
      </w:r>
      <w:r w:rsidR="00B61AAC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օրենսդրությամբ նախատեսված դեպքերում </w:t>
      </w:r>
      <w:r w:rsidRPr="003C2DA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արդյունավետ պաշտպանության իրականացումը և իրավաբանական օգնության ցուցաբերումը: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Նշված իրավիճակը կարող է շտկվել</w:t>
      </w:r>
      <w:r w:rsidRPr="003C2DA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Pr="003C2DA4">
        <w:rPr>
          <w:rFonts w:ascii="GHEA Grapalat" w:eastAsia="Times New Roman" w:hAnsi="GHEA Grapalat" w:cs="Tahoma"/>
          <w:bCs/>
          <w:sz w:val="24"/>
          <w:szCs w:val="24"/>
          <w:lang w:eastAsia="ru-RU"/>
        </w:rPr>
        <w:t>միայն գրասենյակին հավելյալ միջոցների՝ հանրային պաշտպանների</w:t>
      </w:r>
      <w:r w:rsidRPr="003C2DA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լրացուցիչ հաստիքների տրամադրման դեպքում՝ դրանով հնարավորինս մեղմելով հանրային պաշտպանների ծանրաբեռնվածությ</w:t>
      </w:r>
      <w:r w:rsidR="00246BCD">
        <w:rPr>
          <w:rFonts w:ascii="GHEA Grapalat" w:eastAsia="Times New Roman" w:hAnsi="GHEA Grapalat" w:cs="Tahoma"/>
          <w:sz w:val="24"/>
          <w:szCs w:val="24"/>
          <w:lang w:eastAsia="ru-RU"/>
        </w:rPr>
        <w:t>ան աճը</w:t>
      </w:r>
      <w:r w:rsidRPr="003C2DA4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: </w:t>
      </w:r>
    </w:p>
    <w:p w:rsidR="00EE5D56" w:rsidRDefault="00EE5D56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D626EA">
        <w:rPr>
          <w:rFonts w:ascii="GHEA Grapalat" w:eastAsia="Times New Roman" w:hAnsi="GHEA Grapalat" w:cs="Tahoma"/>
          <w:sz w:val="24"/>
          <w:szCs w:val="24"/>
          <w:lang w:eastAsia="ru-RU"/>
        </w:rPr>
        <w:t>Նախագծով նախատեսված վերաբաշխման արդյունքում ՀՀ պետական բյուջեի հաշվին ֆինանսական միջոցների վերականգնման, ինչպես նաև լրացուցիչ ֆինանս</w:t>
      </w:r>
      <w:r w:rsidR="00B61AAC" w:rsidRPr="00D626EA">
        <w:rPr>
          <w:rFonts w:ascii="GHEA Grapalat" w:eastAsia="Times New Roman" w:hAnsi="GHEA Grapalat" w:cs="Tahoma"/>
          <w:sz w:val="24"/>
          <w:szCs w:val="24"/>
          <w:lang w:eastAsia="ru-RU"/>
        </w:rPr>
        <w:t>ա</w:t>
      </w:r>
      <w:r w:rsidRPr="00D626EA">
        <w:rPr>
          <w:rFonts w:ascii="GHEA Grapalat" w:eastAsia="Times New Roman" w:hAnsi="GHEA Grapalat" w:cs="Tahoma"/>
          <w:sz w:val="24"/>
          <w:szCs w:val="24"/>
          <w:lang w:eastAsia="ru-RU"/>
        </w:rPr>
        <w:t>կան միջոցների անհրաժեշտություն չի առաջանա։</w:t>
      </w:r>
      <w:r w:rsidRPr="00EE5D56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</w:p>
    <w:p w:rsidR="007B402C" w:rsidRPr="00EE5D56" w:rsidRDefault="007B402C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E5D56" w:rsidRPr="00EE5D56" w:rsidRDefault="00EE5D56" w:rsidP="00B522C7">
      <w:pPr>
        <w:spacing w:before="48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  <w:lastRenderedPageBreak/>
        <w:t>3.Ակնկալվող արդյունքը</w:t>
      </w:r>
    </w:p>
    <w:p w:rsidR="00B61AAC" w:rsidRDefault="00EE5D56" w:rsidP="00B522C7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noProof/>
          <w:color w:val="000000"/>
          <w:sz w:val="24"/>
          <w:szCs w:val="24"/>
          <w:lang w:eastAsia="ru-RU"/>
        </w:rPr>
      </w:pPr>
      <w:r w:rsidRPr="00EE5D56">
        <w:rPr>
          <w:rFonts w:ascii="GHEA Grapalat" w:eastAsia="Times New Roman" w:hAnsi="GHEA Grapalat" w:cs="Sylfaen"/>
          <w:noProof/>
          <w:color w:val="000000"/>
          <w:sz w:val="24"/>
          <w:szCs w:val="24"/>
          <w:lang w:eastAsia="ru-RU"/>
        </w:rPr>
        <w:t xml:space="preserve">Նախագծի ընդունման արդյունքում </w:t>
      </w:r>
      <w:r w:rsidR="00B61AAC">
        <w:rPr>
          <w:rFonts w:ascii="GHEA Grapalat" w:eastAsia="Times New Roman" w:hAnsi="GHEA Grapalat" w:cs="Sylfaen"/>
          <w:noProof/>
          <w:color w:val="000000"/>
          <w:sz w:val="24"/>
          <w:szCs w:val="24"/>
          <w:lang w:eastAsia="ru-RU"/>
        </w:rPr>
        <w:t xml:space="preserve">հնարավոր կլինի 2022 թվականի երկրորդ կիսամյակի ընթացքում ապահովել Սահմանադրությամբ երաշխավորված պատշաճ և որակյալ անվճար իրավաբանական օգնությունը օրենսդրությամբ նախատեսված դեպքերում: </w:t>
      </w:r>
    </w:p>
    <w:p w:rsidR="00EE5D56" w:rsidRPr="00EE5D56" w:rsidRDefault="00EE5D56" w:rsidP="00B522C7">
      <w:pPr>
        <w:spacing w:before="480"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</w:pPr>
      <w:r w:rsidRPr="00EE5D5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  <w:t>4.Նախագիծը մշակող պատասխանատու մարմինը</w:t>
      </w:r>
    </w:p>
    <w:p w:rsidR="00EE5D56" w:rsidRPr="00EE5D56" w:rsidRDefault="00EE5D56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 նախագիծը մշակվել է Հայաստանի Հանրապետության արդարադատության նախարարության կողմից:</w:t>
      </w:r>
    </w:p>
    <w:p w:rsidR="00EE5D56" w:rsidRPr="00EE5D56" w:rsidRDefault="00EE5D56" w:rsidP="00B522C7">
      <w:pPr>
        <w:spacing w:after="0" w:line="360" w:lineRule="auto"/>
        <w:ind w:firstLine="567"/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eastAsia="ru-RU"/>
        </w:rPr>
      </w:pPr>
    </w:p>
    <w:p w:rsidR="00EE5D56" w:rsidRPr="00EE5D56" w:rsidRDefault="00EE5D56" w:rsidP="00B522C7">
      <w:pPr>
        <w:spacing w:after="0" w:line="360" w:lineRule="auto"/>
        <w:ind w:firstLine="567"/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eastAsia="ru-RU"/>
        </w:rPr>
      </w:pPr>
      <w:r w:rsidRPr="00EE5D56"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eastAsia="ru-RU"/>
        </w:rPr>
        <w:t>5.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EE5D56" w:rsidRPr="00EE5D56" w:rsidRDefault="00EE5D56" w:rsidP="00B522C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26EA">
        <w:rPr>
          <w:rFonts w:ascii="GHEA Grapalat" w:eastAsia="Times New Roman" w:hAnsi="GHEA Grapalat" w:cs="Times New Roman"/>
          <w:sz w:val="24"/>
          <w:szCs w:val="24"/>
          <w:lang w:eastAsia="ru-RU"/>
        </w:rPr>
        <w:t>ՀՀ կառավարության սույն որոշման նախագծի ընդունումը ՀՀ 2022 թվականի պետական բյուջեի եկամուտների և ծախսերի փոփոխության չի հանգեցնի:</w:t>
      </w:r>
    </w:p>
    <w:p w:rsidR="00EE5D56" w:rsidRPr="00EE5D56" w:rsidRDefault="00EE5D56" w:rsidP="00B522C7">
      <w:pPr>
        <w:spacing w:before="360" w:line="360" w:lineRule="auto"/>
        <w:ind w:left="360" w:firstLine="567"/>
        <w:contextualSpacing/>
        <w:jc w:val="both"/>
        <w:rPr>
          <w:rFonts w:ascii="GHEA Grapalat" w:eastAsia="Calibri" w:hAnsi="GHEA Grapalat" w:cs="Sylfaen"/>
          <w:b/>
          <w:sz w:val="24"/>
          <w:szCs w:val="24"/>
        </w:rPr>
      </w:pPr>
    </w:p>
    <w:p w:rsidR="00EE5D56" w:rsidRPr="00EE5D56" w:rsidRDefault="00EE5D56" w:rsidP="00B522C7">
      <w:pPr>
        <w:spacing w:before="360" w:line="360" w:lineRule="auto"/>
        <w:ind w:left="360" w:firstLine="567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fr-FR"/>
        </w:rPr>
      </w:pPr>
      <w:r w:rsidRPr="00EE5D56">
        <w:rPr>
          <w:rFonts w:ascii="GHEA Grapalat" w:eastAsia="Calibri" w:hAnsi="GHEA Grapalat" w:cs="Sylfaen"/>
          <w:b/>
          <w:sz w:val="24"/>
          <w:szCs w:val="24"/>
        </w:rPr>
        <w:t>6. Նախագծի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ընդունման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առնչությամբ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ընդունվելիք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այլ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իրավական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ակտերի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Times New Roman"/>
          <w:b/>
          <w:sz w:val="24"/>
          <w:szCs w:val="24"/>
        </w:rPr>
        <w:t>նախագծերը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կամ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դրանց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ընդունման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անհրաժեշտության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բացակայության</w:t>
      </w:r>
      <w:r w:rsidRPr="00EE5D5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EE5D56">
        <w:rPr>
          <w:rFonts w:ascii="GHEA Grapalat" w:eastAsia="Calibri" w:hAnsi="GHEA Grapalat" w:cs="Sylfaen"/>
          <w:b/>
          <w:sz w:val="24"/>
          <w:szCs w:val="24"/>
        </w:rPr>
        <w:t>մասին</w:t>
      </w:r>
    </w:p>
    <w:p w:rsidR="00EE5D56" w:rsidRPr="00EE5D56" w:rsidRDefault="00EE5D56" w:rsidP="00B522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E5D56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 նախագծի ընդունմամբ այլ իրավական ակտերում փոփոխություններ և/կամ լրացումներ կատարելու անհրաժեշտություն չկա։</w:t>
      </w:r>
    </w:p>
    <w:p w:rsidR="00EE5D56" w:rsidRPr="00EE5D56" w:rsidRDefault="00EE5D56" w:rsidP="00B522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E5D56" w:rsidRPr="00152A34" w:rsidRDefault="00EE5D56" w:rsidP="00B522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152A3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7. Կապը ռազմավարական փաստաթղթերի հետ. Հայաստանի վերափոխման ռազմավարություն 2050, Կառավարության 2021-2026թթ. ծրագիր, ոլորտային և/կամ այլ ռազմավարություններ </w:t>
      </w:r>
    </w:p>
    <w:p w:rsidR="00343751" w:rsidRPr="00343751" w:rsidRDefault="00343751" w:rsidP="0034375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34375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4375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«Հայաստանի Հանրապետության դատական և իրավական բարեփոխումների 2022-2026 թվականների ռազմավարությունը և դրանից բխող գործողությունների ծրագիրը հաստատելու և Հայաստանի Հանրապետության կառավարության 2019 թվականի հոկտեմբերի 10-ի N 1441-Լ որոշումն ուժը կորցրած ճանաչելու մասին» Կառավարության որոշման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նախագ</w:t>
      </w:r>
      <w:r w:rsidRPr="00343751">
        <w:rPr>
          <w:rFonts w:ascii="GHEA Grapalat" w:eastAsia="Times New Roman" w:hAnsi="GHEA Grapalat" w:cs="Times New Roman"/>
          <w:sz w:val="24"/>
          <w:szCs w:val="24"/>
          <w:lang w:eastAsia="ru-RU"/>
        </w:rPr>
        <w:t>ծ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ով ներկայումս առաջարկվում </w:t>
      </w:r>
      <w:r w:rsidR="00253B7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է որպես իրավաբանական ոլորտի </w:t>
      </w:r>
      <w:r w:rsidR="00253B7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lastRenderedPageBreak/>
        <w:t>բարեփոխումների գործողություն ամրագրել նաև հանրային պաշտպանների թվի ավելացումը:</w:t>
      </w:r>
    </w:p>
    <w:p w:rsidR="00343751" w:rsidRPr="00343751" w:rsidRDefault="00343751" w:rsidP="0034375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F3422" w:rsidRDefault="00A3344D"/>
    <w:sectPr w:rsidR="00CF3422" w:rsidSect="00B80789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DB6"/>
    <w:multiLevelType w:val="hybridMultilevel"/>
    <w:tmpl w:val="248C574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D5813"/>
    <w:multiLevelType w:val="hybridMultilevel"/>
    <w:tmpl w:val="89D66BBE"/>
    <w:lvl w:ilvl="0" w:tplc="59E621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E7CEC"/>
    <w:multiLevelType w:val="hybridMultilevel"/>
    <w:tmpl w:val="4E183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181"/>
    <w:multiLevelType w:val="hybridMultilevel"/>
    <w:tmpl w:val="D6FE654E"/>
    <w:lvl w:ilvl="0" w:tplc="FF0631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A87"/>
    <w:multiLevelType w:val="hybridMultilevel"/>
    <w:tmpl w:val="5D8E7A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D233ECB"/>
    <w:multiLevelType w:val="hybridMultilevel"/>
    <w:tmpl w:val="E18AF124"/>
    <w:lvl w:ilvl="0" w:tplc="E2D23A38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4EE8"/>
    <w:rsid w:val="00013771"/>
    <w:rsid w:val="00107AAD"/>
    <w:rsid w:val="00152A34"/>
    <w:rsid w:val="00160D50"/>
    <w:rsid w:val="00223840"/>
    <w:rsid w:val="00246BCD"/>
    <w:rsid w:val="00253B71"/>
    <w:rsid w:val="002C1D71"/>
    <w:rsid w:val="00343751"/>
    <w:rsid w:val="00380E04"/>
    <w:rsid w:val="003C2DA4"/>
    <w:rsid w:val="003F7FC6"/>
    <w:rsid w:val="004055C2"/>
    <w:rsid w:val="00494EE8"/>
    <w:rsid w:val="004B4150"/>
    <w:rsid w:val="004E0383"/>
    <w:rsid w:val="00567A08"/>
    <w:rsid w:val="005C3F0A"/>
    <w:rsid w:val="00616ACA"/>
    <w:rsid w:val="006B057C"/>
    <w:rsid w:val="006F7602"/>
    <w:rsid w:val="00726D0B"/>
    <w:rsid w:val="007B402C"/>
    <w:rsid w:val="009E6A01"/>
    <w:rsid w:val="00A3344D"/>
    <w:rsid w:val="00A656D6"/>
    <w:rsid w:val="00B013D4"/>
    <w:rsid w:val="00B27C53"/>
    <w:rsid w:val="00B522C7"/>
    <w:rsid w:val="00B61AAC"/>
    <w:rsid w:val="00B62E7C"/>
    <w:rsid w:val="00B73DBD"/>
    <w:rsid w:val="00B80789"/>
    <w:rsid w:val="00C251DD"/>
    <w:rsid w:val="00C9378C"/>
    <w:rsid w:val="00CE4B3C"/>
    <w:rsid w:val="00D626EA"/>
    <w:rsid w:val="00D757D8"/>
    <w:rsid w:val="00E375AC"/>
    <w:rsid w:val="00E467DE"/>
    <w:rsid w:val="00EE5D56"/>
    <w:rsid w:val="00F74FFC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427A"/>
  <w15:docId w15:val="{4AFEE2C4-E565-441C-80E5-5B40320C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7DE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522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22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1614</Words>
  <Characters>9205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 Aklunts</dc:creator>
  <cp:keywords/>
  <dc:description/>
  <cp:lastModifiedBy>A-Sujyan</cp:lastModifiedBy>
  <cp:revision>17</cp:revision>
  <dcterms:created xsi:type="dcterms:W3CDTF">2022-05-20T08:11:00Z</dcterms:created>
  <dcterms:modified xsi:type="dcterms:W3CDTF">2022-06-07T14:06:00Z</dcterms:modified>
</cp:coreProperties>
</file>