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FE8" w:rsidRPr="00DC1DC6" w:rsidRDefault="00B65FE8" w:rsidP="00DC1DC6">
      <w:pPr>
        <w:spacing w:after="15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56A09" w:rsidRPr="00690655" w:rsidRDefault="00C56A09" w:rsidP="00DC1DC6">
      <w:pPr>
        <w:spacing w:after="15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90655">
        <w:rPr>
          <w:rFonts w:ascii="GHEA Grapalat" w:eastAsia="Times New Roman" w:hAnsi="GHEA Grapalat" w:cs="Times New Roman"/>
          <w:sz w:val="24"/>
          <w:szCs w:val="24"/>
          <w:lang w:val="hy-AM"/>
        </w:rPr>
        <w:t>Նախագիծ</w:t>
      </w:r>
    </w:p>
    <w:p w:rsidR="00C56A09" w:rsidRPr="00690655" w:rsidRDefault="00C56A09" w:rsidP="00DC1DC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906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C56A09" w:rsidRPr="00690655" w:rsidRDefault="00C56A09" w:rsidP="00DC1DC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9065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C56A09" w:rsidRPr="00690655" w:rsidRDefault="00C56A09" w:rsidP="00DC1DC6">
      <w:pPr>
        <w:spacing w:after="15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6906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ԿԱՌԱՎԱՐՈՒԹՅՈՒՆ</w:t>
      </w:r>
    </w:p>
    <w:p w:rsidR="00C56A09" w:rsidRPr="00690655" w:rsidRDefault="00C56A09" w:rsidP="00DC1DC6">
      <w:pPr>
        <w:spacing w:after="15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56A09" w:rsidRPr="00690655" w:rsidRDefault="00C56A09" w:rsidP="00DC1DC6">
      <w:pPr>
        <w:spacing w:after="15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90655">
        <w:rPr>
          <w:rFonts w:ascii="GHEA Grapalat" w:eastAsia="Times New Roman" w:hAnsi="GHEA Grapalat" w:cs="Times New Roman"/>
          <w:sz w:val="24"/>
          <w:szCs w:val="24"/>
          <w:lang w:val="hy-AM"/>
        </w:rPr>
        <w:t>«       »                                    2022թ.                                                                      թիվ   -Ն</w:t>
      </w:r>
    </w:p>
    <w:p w:rsidR="00C56A09" w:rsidRPr="00690655" w:rsidRDefault="00C56A09" w:rsidP="00DC1DC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C56A09" w:rsidRPr="00690655" w:rsidRDefault="00C56A09" w:rsidP="00DC1DC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C56A09" w:rsidRPr="00690655" w:rsidRDefault="00C56A09" w:rsidP="00DC1DC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906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:rsidR="00C56A09" w:rsidRPr="00690655" w:rsidRDefault="00C56A09" w:rsidP="00DC1DC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9065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C56A09" w:rsidRPr="00690655" w:rsidRDefault="00C56A09" w:rsidP="00DC1DC6">
      <w:pPr>
        <w:spacing w:after="15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906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2016 ԹՎԱԿԱՆԻ ՀՈԿՏԵՄԲԵՐԻ 27</w:t>
      </w:r>
      <w:r w:rsidRPr="006906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noBreakHyphen/>
        <w:t xml:space="preserve">Ի </w:t>
      </w:r>
      <w:r w:rsidRPr="0069065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N</w:t>
      </w:r>
      <w:r w:rsidRPr="006906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1109-Ն ՈՐՈՇՄԱՆ ՄԵՋ ՓՈՓՈԽՈՒԹՅՈՒՆՆԵՐ</w:t>
      </w:r>
      <w:r w:rsidR="00CA775E" w:rsidRPr="006906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ԵՎ ԼՐԱՑՈՒՄՆԵՐ</w:t>
      </w:r>
      <w:r w:rsidRPr="006906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ԿԱՏԱՐԵԼՈՒ ՄԱՍԻՆ</w:t>
      </w:r>
    </w:p>
    <w:p w:rsidR="00C56A09" w:rsidRPr="00690655" w:rsidRDefault="00C56A09" w:rsidP="00DC1DC6">
      <w:pPr>
        <w:shd w:val="clear" w:color="auto" w:fill="FFFFFF"/>
        <w:tabs>
          <w:tab w:val="left" w:pos="992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C56A09" w:rsidRPr="00690655" w:rsidRDefault="00C56A09" w:rsidP="00DC1DC6">
      <w:pPr>
        <w:shd w:val="clear" w:color="auto" w:fill="FFFFFF"/>
        <w:tabs>
          <w:tab w:val="left" w:pos="992"/>
        </w:tabs>
        <w:spacing w:after="0" w:line="360" w:lineRule="auto"/>
        <w:ind w:firstLine="567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6906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Ղեկավարվելով </w:t>
      </w:r>
      <w:r w:rsidRPr="00690655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690655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«</w:t>
      </w:r>
      <w:r w:rsidRPr="006906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Նորմատիվ իրավական ակտերի մասին» Հայաստանի Հանրապետության օրենքի 33-րդ և 34-րդ հոդվածներով՝ Հայաստանի Հանրապետության կառավարությունը</w:t>
      </w:r>
      <w:r w:rsidRPr="00690655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690655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C56A09" w:rsidRPr="00690655" w:rsidRDefault="00C56A09" w:rsidP="00DC1DC6">
      <w:pPr>
        <w:pStyle w:val="ListParagraph"/>
        <w:numPr>
          <w:ilvl w:val="0"/>
          <w:numId w:val="1"/>
        </w:numPr>
        <w:shd w:val="clear" w:color="auto" w:fill="FFFFFF"/>
        <w:tabs>
          <w:tab w:val="left" w:pos="85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6906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2016 թվականի հոկտեմբերի 27-ի</w:t>
      </w:r>
      <w:r w:rsidR="000755D0" w:rsidRPr="006906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D6E87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«Պետական իշխանության մարմինների սպասարկման գրասենյակների գործառույթներ իրականացնող օպերատորների ցանկը հաստատելու, գործառույթների իրականացումն օպերատորին պատվիրակելու, գործառույթների ցանկը հաստատելու, օպերատորի հետ կնքվող ծառայությունների մատուցման պայմանագրի օրինակելի ձևը և օպերատորին առաջադրվող նվազագույն տեխնիկական պահանջները սահմանելու մասին»</w:t>
      </w:r>
      <w:r w:rsidR="001D6E87" w:rsidRPr="006906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906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11</w:t>
      </w:r>
      <w:r w:rsidR="001D6E87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09</w:t>
      </w:r>
      <w:r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-Ն որոշման (այսուհետ՝ Որոշում) մեջ կատարել հետևյալ փոփոխությունները.</w:t>
      </w:r>
    </w:p>
    <w:p w:rsidR="00A4022F" w:rsidRPr="00690655" w:rsidRDefault="004652AE" w:rsidP="00DC1DC6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  <w:tab w:val="left" w:pos="850"/>
          <w:tab w:val="left" w:pos="992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1-ին կետը լրացնել հետևյալ բովանդակությամբ նոր նախադասությամբ</w:t>
      </w:r>
      <w:r w:rsidR="001E1491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.</w:t>
      </w:r>
      <w:r w:rsidRPr="00690655" w:rsidDel="004652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«Սահմանել, որ Հավելված N 1-ում նախատեսված օպերատորների կողմից </w:t>
      </w:r>
      <w:r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lastRenderedPageBreak/>
        <w:t>օպերատորի` Հավելված N</w:t>
      </w:r>
      <w:r w:rsidR="00A6162C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2-ով ամրագրված գործառույթներն իրականացվում են Հայաստանի Հանրապետության ամբողջ տարածքում, բացառությամբ Աբովյան համայնքի, որտեղ </w:t>
      </w:r>
      <w:r w:rsidR="00277C3F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Հավելված N</w:t>
      </w:r>
      <w:r w:rsidR="00277C3F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="00277C3F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</w:t>
      </w:r>
      <w:r w:rsidR="00277C3F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.1-ով սահմանված</w:t>
      </w:r>
      <w:r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գործառույթներ</w:t>
      </w:r>
      <w:r w:rsidR="00277C3F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</w:t>
      </w:r>
      <w:r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իրականացնում է միայն Հավելված N 1-ի 1-ին կետով նախատեսված օպերատորը՝ քաղաքացիական կենտրոնի գործարկման եղանակով</w:t>
      </w:r>
      <w:r w:rsidR="00C72843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»,</w:t>
      </w:r>
      <w:r w:rsidR="00A4022F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</w:p>
    <w:p w:rsidR="0075438B" w:rsidRPr="00690655" w:rsidRDefault="00C56A09" w:rsidP="00DC1DC6">
      <w:pPr>
        <w:shd w:val="clear" w:color="auto" w:fill="FFFFFF"/>
        <w:tabs>
          <w:tab w:val="left" w:pos="992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2  Որոշումը լրացնել</w:t>
      </w:r>
      <w:r w:rsidR="0075438B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90655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r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90655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բով</w:t>
      </w:r>
      <w:r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անդակությ</w:t>
      </w:r>
      <w:r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ամբ</w:t>
      </w:r>
      <w:r w:rsidR="004652AE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նոր՝ 2.2 կետով.</w:t>
      </w:r>
    </w:p>
    <w:p w:rsidR="00C56A09" w:rsidRPr="00690655" w:rsidRDefault="00C56A09" w:rsidP="003C65DF">
      <w:pPr>
        <w:shd w:val="clear" w:color="auto" w:fill="FFFFFF"/>
        <w:tabs>
          <w:tab w:val="left" w:pos="992"/>
        </w:tabs>
        <w:spacing w:after="0" w:line="360" w:lineRule="auto"/>
        <w:ind w:left="9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</w:t>
      </w:r>
      <w:r w:rsidR="0075438B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Քաղաքացիական կենտրոն Է համարվում  «Հայփոստ» ՓԲԸ կողմից հիմնված այն գրասենյակը, որը իրականացնում է պետական մարմինների կողմից քաղաքացիների սպասարկման գրասենյակների՝ սույն որոշման հավելված N 2</w:t>
      </w:r>
      <w:r w:rsidR="007846D3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.1</w:t>
      </w:r>
      <w:r w:rsidR="0075438B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</w:t>
      </w:r>
      <w:r w:rsidR="009B6027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</w:t>
      </w:r>
      <w:r w:rsidR="0075438B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գործառույթներ (ծառայություններ)</w:t>
      </w:r>
      <w:r w:rsidR="00D930AD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բացառապես իր աշխատակիցների միջոցո</w:t>
      </w:r>
      <w:r w:rsidR="0038658D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</w:t>
      </w:r>
      <w:r w:rsidR="00A55CEB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</w:t>
      </w:r>
      <w:r w:rsidR="00980F78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:rsidR="00324441" w:rsidRPr="00690655" w:rsidRDefault="000D744F" w:rsidP="003C65DF">
      <w:pPr>
        <w:pStyle w:val="ListParagraph"/>
        <w:numPr>
          <w:ilvl w:val="0"/>
          <w:numId w:val="10"/>
        </w:numPr>
        <w:shd w:val="clear" w:color="auto" w:fill="FFFFFF"/>
        <w:tabs>
          <w:tab w:val="left" w:pos="567"/>
          <w:tab w:val="left" w:pos="850"/>
        </w:tabs>
        <w:spacing w:after="0" w:line="360" w:lineRule="auto"/>
        <w:ind w:left="9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2C4171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5-րդ կետի 1-ին ենթակետ</w:t>
      </w:r>
      <w:r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ը </w:t>
      </w:r>
      <w:r w:rsidR="002C4171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լրաց</w:t>
      </w:r>
      <w:r w:rsidR="004652AE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նել</w:t>
      </w:r>
      <w:r w:rsidR="002C4171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775E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հետևյալ բովանդակությամբ</w:t>
      </w:r>
      <w:r w:rsidR="004652AE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նոր նախադասությամբ.</w:t>
      </w:r>
      <w:r w:rsidR="00CA775E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2C4171" w:rsidRPr="00690655" w:rsidRDefault="00324441" w:rsidP="003C65DF">
      <w:pPr>
        <w:shd w:val="clear" w:color="auto" w:fill="FFFFFF"/>
        <w:tabs>
          <w:tab w:val="left" w:pos="567"/>
          <w:tab w:val="left" w:pos="850"/>
        </w:tabs>
        <w:spacing w:after="0" w:line="360" w:lineRule="auto"/>
        <w:ind w:left="9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ab/>
      </w:r>
      <w:r w:rsidR="00CA775E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«</w:t>
      </w:r>
      <w:r w:rsidR="004652AE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Պ</w:t>
      </w:r>
      <w:r w:rsidR="00CA775E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այմանագրի օրինակելի ձևի դրույթները կիրառելի են</w:t>
      </w:r>
      <w:r w:rsidR="006C49A4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և ենթակա են լրացման</w:t>
      </w:r>
      <w:r w:rsidR="00CA775E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Քաղաքացիական կենտրոնում մատուցվող</w:t>
      </w:r>
      <w:r w:rsidR="006C49A4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ծառայությունների</w:t>
      </w:r>
      <w:r w:rsidR="00CA775E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49A4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="00B0615A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775E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այնքանով</w:t>
      </w:r>
      <w:r w:rsidR="00980F78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,</w:t>
      </w:r>
      <w:r w:rsidR="00CA775E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որքանով իրենց էությամբ չեն հակասում սույն որոշմամբ սահմանված կարգավորումներին»</w:t>
      </w:r>
      <w:r w:rsidR="00980F78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536F7" w:rsidRPr="00690655" w:rsidRDefault="009536F7" w:rsidP="00DC1DC6">
      <w:pPr>
        <w:pStyle w:val="ListParagraph"/>
        <w:numPr>
          <w:ilvl w:val="0"/>
          <w:numId w:val="1"/>
        </w:numPr>
        <w:shd w:val="clear" w:color="auto" w:fill="FFFFFF"/>
        <w:tabs>
          <w:tab w:val="left" w:pos="85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Որոշումը լրացնել </w:t>
      </w:r>
      <w:r w:rsidRPr="00690655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r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90655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բով</w:t>
      </w:r>
      <w:r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անդակությ</w:t>
      </w:r>
      <w:r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ամբ նոր՝ 4.1 կետով</w:t>
      </w:r>
      <w:r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</w:p>
    <w:p w:rsidR="009536F7" w:rsidRPr="00690655" w:rsidRDefault="009536F7" w:rsidP="00B51759">
      <w:pPr>
        <w:pStyle w:val="ListParagraph"/>
        <w:shd w:val="clear" w:color="auto" w:fill="FFFFFF"/>
        <w:tabs>
          <w:tab w:val="left" w:pos="850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«Հաստատել Քաղաքացիական կենտրոնում մառուցվող ծառայությունների ցանկը համաձայն N 2.1 հավելվածի»</w:t>
      </w:r>
      <w:r w:rsidR="00CD2BD7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,</w:t>
      </w:r>
      <w:r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</w:p>
    <w:p w:rsidR="009536F7" w:rsidRPr="00690655" w:rsidRDefault="009536F7" w:rsidP="00DC1DC6">
      <w:pPr>
        <w:pStyle w:val="ListParagraph"/>
        <w:numPr>
          <w:ilvl w:val="0"/>
          <w:numId w:val="1"/>
        </w:numPr>
        <w:shd w:val="clear" w:color="auto" w:fill="FFFFFF"/>
        <w:tabs>
          <w:tab w:val="left" w:pos="85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Որոշումը լրացնել N 2.1 </w:t>
      </w:r>
      <w:r w:rsidR="00CD2BD7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հավելվածով՝ համաձայն հավելված</w:t>
      </w:r>
      <w:r w:rsidR="00EF66C2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N</w:t>
      </w:r>
      <w:r w:rsidR="00CD2BD7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2.1-ի,</w:t>
      </w:r>
    </w:p>
    <w:p w:rsidR="00BF103A" w:rsidRPr="00690655" w:rsidRDefault="00B47FF9" w:rsidP="00DC1DC6">
      <w:pPr>
        <w:pStyle w:val="ListParagraph"/>
        <w:numPr>
          <w:ilvl w:val="0"/>
          <w:numId w:val="1"/>
        </w:numPr>
        <w:shd w:val="clear" w:color="auto" w:fill="FFFFFF"/>
        <w:tabs>
          <w:tab w:val="left" w:pos="85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</w:t>
      </w:r>
      <w:r w:rsidR="00BF103A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արձր տեխնոլոգիական արդյունաբերության նախարարին</w:t>
      </w:r>
      <w:r w:rsidR="00194C95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,</w:t>
      </w:r>
      <w:r w:rsidR="00BF103A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մինչև 2022 թվականի հուլիսի 11-</w:t>
      </w:r>
      <w:r w:rsidR="00194C95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 Կ</w:t>
      </w:r>
      <w:r w:rsidR="00BF103A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առավ</w:t>
      </w:r>
      <w:bookmarkStart w:id="0" w:name="_GoBack"/>
      <w:bookmarkEnd w:id="0"/>
      <w:r w:rsidR="00BF103A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արության հաստատմանը ներկայացնել </w:t>
      </w:r>
      <w:r w:rsidR="00A55CEB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</w:t>
      </w:r>
      <w:r w:rsidR="00BF103A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Հայփոստ» ՓԲԸ կանոնադրական կապիտալ</w:t>
      </w:r>
      <w:r w:rsidR="00A55CEB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</w:t>
      </w:r>
      <w:r w:rsidR="00BF103A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ավելացման վերաբերյալ առաջարկ՝ Աբովյան համայնքում քաղաքացիական կենտրոնի կառուցման</w:t>
      </w:r>
      <w:r w:rsidR="00A55CEB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,</w:t>
      </w:r>
      <w:r w:rsidR="00BF103A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կահավորման</w:t>
      </w:r>
      <w:r w:rsidR="00A55CEB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, ինչպես նաև համակարգը պետական համակարգերին «Հայփոստ» ՓԲԸ առաջնային սպասարկում ապահովող համակարգի ինտեգրման</w:t>
      </w:r>
      <w:r w:rsidR="00BF103A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աշխատանքներ</w:t>
      </w:r>
      <w:r w:rsidR="00A55CEB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</w:t>
      </w:r>
      <w:r w:rsidR="00BF103A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ապահովելու նպատակով։</w:t>
      </w:r>
    </w:p>
    <w:p w:rsidR="00BF103A" w:rsidRPr="00690655" w:rsidRDefault="00B47FF9" w:rsidP="00BF103A">
      <w:pPr>
        <w:pStyle w:val="ListParagraph"/>
        <w:numPr>
          <w:ilvl w:val="0"/>
          <w:numId w:val="1"/>
        </w:numPr>
        <w:shd w:val="clear" w:color="auto" w:fill="FFFFFF"/>
        <w:tabs>
          <w:tab w:val="left" w:pos="85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lastRenderedPageBreak/>
        <w:t>Ֆ</w:t>
      </w:r>
      <w:r w:rsidR="00BF103A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ինանսների նախարարին և Հանրային ծառայությունները կարգավորող հանձնաժողովի նախագահին (համաձայնությամբ)՝ մինչև 2022 թվականի սեպտեմբեր 26-ը </w:t>
      </w:r>
      <w:r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</w:t>
      </w:r>
      <w:r w:rsidR="00BF103A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առավարության հաստատմանը ներկայացնել Աբովյան համայնքում ս</w:t>
      </w:r>
      <w:r w:rsidR="00FD5748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տեղծվելիք Քաղաքացիական կենտրոնի </w:t>
      </w:r>
      <w:r w:rsidR="00BF103A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ծառայությունների մատուցման գնագոյացման մեթոդաբանության նախագիծը։</w:t>
      </w:r>
    </w:p>
    <w:p w:rsidR="00BF103A" w:rsidRPr="00690655" w:rsidRDefault="00B47FF9" w:rsidP="00BF103A">
      <w:pPr>
        <w:pStyle w:val="ListParagraph"/>
        <w:numPr>
          <w:ilvl w:val="0"/>
          <w:numId w:val="1"/>
        </w:numPr>
        <w:shd w:val="clear" w:color="auto" w:fill="FFFFFF"/>
        <w:tabs>
          <w:tab w:val="left" w:pos="85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</w:t>
      </w:r>
      <w:r w:rsidR="00BF103A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րդարադատության նախարարին՝ մինչ 2022 թվականի դեկտեմբերի 31-ը </w:t>
      </w:r>
      <w:r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</w:t>
      </w:r>
      <w:r w:rsidR="00BF103A" w:rsidRPr="006906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առավարության հաստատմանը ներկայացնել Աբովյան համայնքում Քաղաքացիական կենտրոնում մատուցված </w:t>
      </w:r>
      <w:r w:rsidR="00BF103A" w:rsidRPr="00690655">
        <w:rPr>
          <w:rFonts w:ascii="GHEA Grapalat" w:hAnsi="GHEA Grapalat"/>
          <w:sz w:val="24"/>
          <w:szCs w:val="24"/>
          <w:lang w:val="hy-AM"/>
        </w:rPr>
        <w:t>ծառայությունների մոնիտորինգի և որակի կառավարման համակարգի նախագիծը։</w:t>
      </w:r>
    </w:p>
    <w:p w:rsidR="001E26B7" w:rsidRPr="00690655" w:rsidRDefault="00B47FF9" w:rsidP="00DC1DC6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</w:t>
      </w:r>
      <w:r w:rsidR="001E26B7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րդարադատության նախարարին,</w:t>
      </w:r>
      <w:r w:rsidR="00FF1C93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Բարձր տեխնոլոգիական արդյունաբերության նախարարին,</w:t>
      </w:r>
      <w:r w:rsidR="001E26B7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Տարածքային կառավարման և ենթակառուցվածքների նախարարին, Աշխատանքի և սոցիալական հարցերի նախարարին, Ոստիկանության պետին, Պետական եկամուտների կոմիտեի նախագահին, Կադաստրի կոմիտեի ղեկավարին՝ մինչև </w:t>
      </w:r>
      <w:r w:rsidR="007349EE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Աբովյան համայնքում քաղաքացիական կենտրոնի գործարկումը ապահովել</w:t>
      </w:r>
      <w:r w:rsidR="00A80C40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755D0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նշված</w:t>
      </w:r>
      <w:r w:rsidR="00A80C40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համայնքում</w:t>
      </w:r>
      <w:r w:rsidR="001E26B7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ծառայությ</w:t>
      </w:r>
      <w:r w:rsidR="007349EE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ուններ մատուցող պետական մարմինների </w:t>
      </w:r>
      <w:r w:rsidR="00A80C40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սպասարկման կենտրոնների հանրային ծառայողների, այլ աշխա</w:t>
      </w:r>
      <w:r w:rsidR="00760BB5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տակիցների հաստիքների կրճատումը և</w:t>
      </w:r>
      <w:r w:rsidR="00A80C40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«Հայփոստ» ՓԲԸ քաղաքացիական կենտրոն</w:t>
      </w:r>
      <w:r w:rsidR="00760BB5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ում նոր հաստիքների ստեղծումը՝ դրանց համալրման առաջնահերթությունը տալով պետական մարմինների սպասարկման կենտրոնների նախկին աշխատակիցներին</w:t>
      </w:r>
      <w:r w:rsidR="00A80C40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  <w:r w:rsidR="007220AD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A55CEB" w:rsidRPr="00690655" w:rsidRDefault="00EC7348" w:rsidP="00DC1DC6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963AD9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Հավելված 1-ով սահմանված օպերատորների կողմից (բացառությամբ հավելվածի 1-ի կետով սահմանված</w:t>
      </w:r>
      <w:r w:rsidR="004652AE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օպերատորի</w:t>
      </w:r>
      <w:r w:rsidR="00963AD9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) պետական իշխանության սպասարկման գրասենյակների գործառույթների իրականացնելու իրավունքը </w:t>
      </w:r>
      <w:r w:rsidR="004652AE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Աբովյան </w:t>
      </w:r>
      <w:r w:rsidR="00963AD9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համայնքում դադարում է և որոշման 6</w:t>
      </w:r>
      <w:r w:rsidR="00AD5D06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-րդ կետ</w:t>
      </w:r>
      <w:r w:rsidR="00DC1DC6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</w:t>
      </w:r>
      <w:r w:rsidR="00AD5D06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63AD9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1-ին կետի</w:t>
      </w:r>
      <w:r w:rsidR="00AD5D06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1-ին ենթակետին</w:t>
      </w:r>
      <w:r w:rsidR="00963AD9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համապատասխան կնքված պայմանագիրը ենթակա է դառնում լուծման </w:t>
      </w:r>
      <w:r w:rsidR="0075438B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Աբովյան համայնքում</w:t>
      </w:r>
      <w:r w:rsidR="00881E0F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ք</w:t>
      </w:r>
      <w:r w:rsidR="00963AD9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աղաքացիական կենտրո</w:t>
      </w:r>
      <w:r w:rsidR="00881E0F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</w:t>
      </w:r>
      <w:r w:rsidR="00963AD9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ի գործարկման պահից: </w:t>
      </w:r>
      <w:r w:rsidR="00963AD9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Քաղաքացիական </w:t>
      </w:r>
      <w:r w:rsidR="001E26B7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կենտրոն</w:t>
      </w:r>
      <w:r w:rsidR="00963AD9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ի գործարկման </w:t>
      </w:r>
      <w:r w:rsidR="004652AE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օր </w:t>
      </w:r>
      <w:r w:rsidR="00963AD9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է համարվում Արդարադատության նախարարության կողմից հրա</w:t>
      </w:r>
      <w:r w:rsidR="004652AE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պ</w:t>
      </w:r>
      <w:r w:rsidR="00963AD9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արակային ծանուցումների պաշտոնական </w:t>
      </w:r>
      <w:r w:rsidR="001E1491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www.</w:t>
      </w:r>
      <w:r w:rsidR="00963AD9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azdarar.am կայքում այդ մասին հայտարարություն տարածել</w:t>
      </w:r>
      <w:r w:rsidR="004652AE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ու օրը</w:t>
      </w:r>
      <w:r w:rsidR="001E26B7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 Աբովյան համայնքում քաղաքացիական կենտրոնի գործարկման վերջնաժամկետ</w:t>
      </w:r>
      <w:r w:rsidR="00952A35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="001E26B7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սահման</w:t>
      </w:r>
      <w:r w:rsidR="00952A35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վում</w:t>
      </w:r>
      <w:r w:rsidR="001E26B7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2023 թվականի հունվարի 1-ը:</w:t>
      </w:r>
      <w:r w:rsidR="00A55CEB" w:rsidRPr="006906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B51759" w:rsidRPr="00690655" w:rsidDel="0034685D" w:rsidRDefault="00B51759" w:rsidP="00B51759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690655" w:rsidDel="003468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օրվանից, բացառությամբ 1-ին կետի, որն ուժի մեջ է մտնում «Հայփոստ» ՓԲԸ կողմից քաղաքացիական կենտրոնի գործարկման օրվանից:</w:t>
      </w:r>
    </w:p>
    <w:p w:rsidR="00963AD9" w:rsidRPr="00690655" w:rsidRDefault="00963AD9" w:rsidP="00DC1DC6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C56A09" w:rsidRPr="00690655" w:rsidTr="0084681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C56A09" w:rsidRPr="00690655" w:rsidRDefault="00C56A09" w:rsidP="00DC1DC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9065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Հայաստանի Հանրապետության</w:t>
            </w:r>
            <w:r w:rsidRPr="0069065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56A09" w:rsidRPr="00690655" w:rsidRDefault="00C56A09" w:rsidP="00DC1DC6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9065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Ն. Փաշինյան</w:t>
            </w:r>
          </w:p>
        </w:tc>
      </w:tr>
    </w:tbl>
    <w:p w:rsidR="00D370BD" w:rsidRPr="00690655" w:rsidRDefault="00F2127F" w:rsidP="00DC1DC6">
      <w:pPr>
        <w:spacing w:line="360" w:lineRule="auto"/>
        <w:rPr>
          <w:sz w:val="24"/>
          <w:szCs w:val="24"/>
        </w:rPr>
      </w:pPr>
    </w:p>
    <w:p w:rsidR="00DC1DC6" w:rsidRPr="00690655" w:rsidRDefault="00DC1DC6" w:rsidP="00DC1DC6">
      <w:pPr>
        <w:spacing w:line="360" w:lineRule="auto"/>
        <w:rPr>
          <w:sz w:val="24"/>
          <w:szCs w:val="24"/>
        </w:rPr>
      </w:pPr>
    </w:p>
    <w:p w:rsidR="00DC1DC6" w:rsidRPr="00690655" w:rsidRDefault="00DC1DC6" w:rsidP="00DC1DC6">
      <w:pPr>
        <w:spacing w:line="360" w:lineRule="auto"/>
        <w:rPr>
          <w:sz w:val="24"/>
          <w:szCs w:val="24"/>
        </w:rPr>
      </w:pPr>
    </w:p>
    <w:p w:rsidR="00DC1DC6" w:rsidRPr="00690655" w:rsidRDefault="00DC1DC6" w:rsidP="00DC1DC6">
      <w:pPr>
        <w:spacing w:after="160" w:line="360" w:lineRule="auto"/>
        <w:rPr>
          <w:sz w:val="24"/>
          <w:szCs w:val="24"/>
        </w:rPr>
      </w:pPr>
      <w:r w:rsidRPr="00690655">
        <w:rPr>
          <w:sz w:val="24"/>
          <w:szCs w:val="24"/>
        </w:rPr>
        <w:br w:type="page"/>
      </w:r>
    </w:p>
    <w:p w:rsidR="00DC1DC6" w:rsidRPr="00690655" w:rsidRDefault="00DC1DC6" w:rsidP="0060439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906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ՀԻՄՆԱՎՈՐՈՒՄ</w:t>
      </w:r>
    </w:p>
    <w:p w:rsidR="00DC1DC6" w:rsidRPr="00690655" w:rsidRDefault="00DC1DC6" w:rsidP="0060439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906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2016 ԹՎԱԿԱՆԻ ՀՈԿՏԵՄԲԵՐԻ 27</w:t>
      </w:r>
      <w:r w:rsidRPr="006906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noBreakHyphen/>
        <w:t>Ի N 1109-Ն ՈՐՈՇՄԱՆ ՄԵՋ ՓՈՓՈԽՈՒԹՅՈՒՆՆԵՐ ԵՎ ԼՐԱՑՈՒՄՆԵՐ ԿԱՏԱՐԵԼՈՒ ՄԱՍԻՆ ՆԱԽԱԳԾԻ ՎԵՐԱԲԵՐՅԱԼ</w:t>
      </w:r>
    </w:p>
    <w:p w:rsidR="00DC1DC6" w:rsidRPr="00690655" w:rsidRDefault="00DC1DC6" w:rsidP="00DC1DC6">
      <w:pPr>
        <w:spacing w:line="360" w:lineRule="auto"/>
        <w:ind w:left="-54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C1DC6" w:rsidRPr="00690655" w:rsidRDefault="00DC1DC6" w:rsidP="00DC1DC6">
      <w:pPr>
        <w:pStyle w:val="ListParagraph"/>
        <w:numPr>
          <w:ilvl w:val="0"/>
          <w:numId w:val="8"/>
        </w:numPr>
        <w:tabs>
          <w:tab w:val="left" w:pos="567"/>
        </w:tabs>
        <w:spacing w:after="160" w:line="360" w:lineRule="auto"/>
        <w:ind w:left="0" w:firstLine="567"/>
        <w:jc w:val="both"/>
        <w:rPr>
          <w:rFonts w:ascii="GHEA Grapalat" w:hAnsi="GHEA Grapalat" w:cs="Sylfaen"/>
          <w:b/>
          <w:i/>
          <w:iCs/>
          <w:sz w:val="24"/>
          <w:szCs w:val="24"/>
          <w:lang w:val="hy-AM"/>
        </w:rPr>
      </w:pPr>
      <w:r w:rsidRPr="00690655">
        <w:rPr>
          <w:rFonts w:ascii="GHEA Grapalat" w:hAnsi="GHEA Grapalat" w:cs="Sylfaen"/>
          <w:b/>
          <w:i/>
          <w:iCs/>
          <w:sz w:val="24"/>
          <w:szCs w:val="24"/>
        </w:rPr>
        <w:t>Ընթացիկ</w:t>
      </w:r>
      <w:r w:rsidRPr="00690655">
        <w:rPr>
          <w:rFonts w:ascii="GHEA Grapalat" w:hAnsi="GHEA Grapalat" w:cs="Sylfaen"/>
          <w:b/>
          <w:i/>
          <w:iCs/>
          <w:sz w:val="24"/>
          <w:szCs w:val="24"/>
          <w:lang w:val="af-ZA"/>
        </w:rPr>
        <w:t xml:space="preserve"> </w:t>
      </w:r>
      <w:r w:rsidRPr="00690655">
        <w:rPr>
          <w:rFonts w:ascii="GHEA Grapalat" w:hAnsi="GHEA Grapalat" w:cs="Sylfaen"/>
          <w:b/>
          <w:i/>
          <w:iCs/>
          <w:sz w:val="24"/>
          <w:szCs w:val="24"/>
        </w:rPr>
        <w:t>իրավիճակը</w:t>
      </w:r>
      <w:r w:rsidRPr="00690655">
        <w:rPr>
          <w:rFonts w:ascii="GHEA Grapalat" w:hAnsi="GHEA Grapalat" w:cs="Sylfaen"/>
          <w:b/>
          <w:i/>
          <w:iCs/>
          <w:sz w:val="24"/>
          <w:szCs w:val="24"/>
          <w:lang w:val="af-ZA"/>
        </w:rPr>
        <w:t xml:space="preserve"> </w:t>
      </w:r>
      <w:r w:rsidRPr="00690655">
        <w:rPr>
          <w:rFonts w:ascii="GHEA Grapalat" w:hAnsi="GHEA Grapalat" w:cs="Sylfaen"/>
          <w:b/>
          <w:i/>
          <w:iCs/>
          <w:sz w:val="24"/>
          <w:szCs w:val="24"/>
        </w:rPr>
        <w:t>և</w:t>
      </w:r>
      <w:r w:rsidRPr="00690655">
        <w:rPr>
          <w:rFonts w:ascii="GHEA Grapalat" w:hAnsi="GHEA Grapalat" w:cs="Sylfaen"/>
          <w:b/>
          <w:i/>
          <w:iCs/>
          <w:sz w:val="24"/>
          <w:szCs w:val="24"/>
          <w:lang w:val="af-ZA"/>
        </w:rPr>
        <w:t xml:space="preserve"> </w:t>
      </w:r>
      <w:r w:rsidRPr="00690655">
        <w:rPr>
          <w:rFonts w:ascii="GHEA Grapalat" w:hAnsi="GHEA Grapalat" w:cs="Sylfaen"/>
          <w:b/>
          <w:i/>
          <w:iCs/>
          <w:sz w:val="24"/>
          <w:szCs w:val="24"/>
        </w:rPr>
        <w:t>ի</w:t>
      </w:r>
      <w:r w:rsidRPr="00690655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 xml:space="preserve">րավական ակտի </w:t>
      </w:r>
      <w:r w:rsidRPr="00690655">
        <w:rPr>
          <w:rFonts w:ascii="GHEA Grapalat" w:hAnsi="GHEA Grapalat" w:cs="Sylfaen"/>
          <w:b/>
          <w:i/>
          <w:iCs/>
          <w:sz w:val="24"/>
          <w:szCs w:val="24"/>
        </w:rPr>
        <w:t>ընդունման</w:t>
      </w:r>
      <w:r w:rsidRPr="00690655">
        <w:rPr>
          <w:rFonts w:ascii="GHEA Grapalat" w:hAnsi="GHEA Grapalat" w:cs="Sylfaen"/>
          <w:b/>
          <w:i/>
          <w:iCs/>
          <w:sz w:val="24"/>
          <w:szCs w:val="24"/>
          <w:lang w:val="af-ZA"/>
        </w:rPr>
        <w:t xml:space="preserve"> </w:t>
      </w:r>
      <w:r w:rsidRPr="00690655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>անհրաժեշտությունը</w:t>
      </w:r>
      <w:r w:rsidRPr="00690655">
        <w:rPr>
          <w:rFonts w:ascii="GHEA Grapalat" w:hAnsi="GHEA Grapalat" w:cs="Sylfaen"/>
          <w:b/>
          <w:i/>
          <w:iCs/>
          <w:sz w:val="24"/>
          <w:szCs w:val="24"/>
          <w:lang w:val="af-ZA"/>
        </w:rPr>
        <w:t>.</w:t>
      </w:r>
    </w:p>
    <w:p w:rsidR="00A333FF" w:rsidRPr="00690655" w:rsidRDefault="00DC1DC6" w:rsidP="005B5FA8">
      <w:pPr>
        <w:spacing w:after="0" w:line="360" w:lineRule="auto"/>
        <w:ind w:right="270" w:firstLine="54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690655">
        <w:rPr>
          <w:rFonts w:ascii="GHEA Grapalat" w:hAnsi="GHEA Grapalat" w:cs="Sylfaen"/>
          <w:sz w:val="24"/>
          <w:szCs w:val="24"/>
          <w:lang w:val="pt-BR"/>
        </w:rPr>
        <w:t xml:space="preserve">Կառավարության 2021-2026 թվականների ծրագրի 6.2-րդ կետով նախատեսվել է, որ պետական ծառայությունների համընդհանուր հասանելիությունն ապահովելու նպատակով Կառավարությունը նախաձեռնելու է ծառայությունների միասնական գրասենյակների արդիական մոդելի մշակումը և ներդնումը, սահմանելու է պետական ծառայությունների մատուցման պատվիրակման ընթացակարգերը։ </w:t>
      </w:r>
    </w:p>
    <w:p w:rsidR="00A333FF" w:rsidRPr="00A333FF" w:rsidRDefault="005B5FA8" w:rsidP="005B5FA8">
      <w:pPr>
        <w:spacing w:after="0" w:line="360" w:lineRule="auto"/>
        <w:ind w:right="270" w:firstLine="54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690655">
        <w:rPr>
          <w:rFonts w:ascii="GHEA Grapalat" w:hAnsi="GHEA Grapalat" w:cs="Sylfaen"/>
          <w:sz w:val="24"/>
          <w:szCs w:val="24"/>
          <w:lang w:val="pt-BR"/>
        </w:rPr>
        <w:t>Կառավարության 2022 թվականի մայիսի 13-ի «Հանրային կառավարման բարեփոխումների ռազմավարությունը, 2022-2024 թվականների ճանապարհային քարտեզը և արդյունքային շրջանակը, ռազմավարության իրականացման հսկողությունն ու համակարգումն ապահովող անձանց ցանկը հաստատելու մասին» N 691-Լ որոշման հավելվածի 4.2 ենթաբաժնում՝ 30-րդ կետում որպես կատարման ենթակա գործողություն է ամրագրված</w:t>
      </w:r>
      <w:r w:rsidR="00A333FF" w:rsidRPr="00A333FF">
        <w:rPr>
          <w:rFonts w:ascii="GHEA Grapalat" w:hAnsi="GHEA Grapalat" w:cs="Sylfaen"/>
          <w:sz w:val="24"/>
          <w:szCs w:val="24"/>
          <w:lang w:val="pt-BR"/>
        </w:rPr>
        <w:t xml:space="preserve"> հանրային ծառայությունների մատուցումը ոչ պետական օպերատորին պատվիրակելու նպատակով ինստիտուցիոնալ և իրավական հիմքեր</w:t>
      </w:r>
      <w:r w:rsidRPr="00690655">
        <w:rPr>
          <w:rFonts w:ascii="GHEA Grapalat" w:hAnsi="GHEA Grapalat" w:cs="Sylfaen"/>
          <w:sz w:val="24"/>
          <w:szCs w:val="24"/>
          <w:lang w:val="pt-BR"/>
        </w:rPr>
        <w:t xml:space="preserve">ի </w:t>
      </w:r>
      <w:r w:rsidRPr="00A333FF">
        <w:rPr>
          <w:rFonts w:ascii="GHEA Grapalat" w:hAnsi="GHEA Grapalat" w:cs="Sylfaen"/>
          <w:sz w:val="24"/>
          <w:szCs w:val="24"/>
          <w:lang w:val="pt-BR"/>
        </w:rPr>
        <w:t>ներդր</w:t>
      </w:r>
      <w:r w:rsidRPr="00690655">
        <w:rPr>
          <w:rFonts w:ascii="GHEA Grapalat" w:hAnsi="GHEA Grapalat" w:cs="Sylfaen"/>
          <w:sz w:val="24"/>
          <w:szCs w:val="24"/>
          <w:lang w:val="pt-BR"/>
        </w:rPr>
        <w:t>ումը</w:t>
      </w:r>
      <w:r w:rsidR="00A333FF" w:rsidRPr="00A333FF">
        <w:rPr>
          <w:rFonts w:ascii="GHEA Grapalat" w:hAnsi="GHEA Grapalat" w:cs="Sylfaen"/>
          <w:sz w:val="24"/>
          <w:szCs w:val="24"/>
          <w:lang w:val="pt-BR"/>
        </w:rPr>
        <w:t>:</w:t>
      </w:r>
      <w:r w:rsidRPr="00690655">
        <w:rPr>
          <w:rFonts w:ascii="GHEA Grapalat" w:hAnsi="GHEA Grapalat" w:cs="Sylfaen"/>
          <w:sz w:val="24"/>
          <w:szCs w:val="24"/>
          <w:lang w:val="pt-BR"/>
        </w:rPr>
        <w:t xml:space="preserve"> Ըստ նույն գործողության՝</w:t>
      </w:r>
      <w:r w:rsidR="00A333FF" w:rsidRPr="00A333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90655">
        <w:rPr>
          <w:rFonts w:ascii="GHEA Grapalat" w:hAnsi="GHEA Grapalat" w:cs="Sylfaen"/>
          <w:sz w:val="24"/>
          <w:szCs w:val="24"/>
          <w:lang w:val="pt-BR"/>
        </w:rPr>
        <w:t>ծ</w:t>
      </w:r>
      <w:r w:rsidR="00A333FF" w:rsidRPr="00A333FF">
        <w:rPr>
          <w:rFonts w:ascii="GHEA Grapalat" w:hAnsi="GHEA Grapalat" w:cs="Sylfaen"/>
          <w:sz w:val="24"/>
          <w:szCs w:val="24"/>
          <w:lang w:val="pt-BR"/>
        </w:rPr>
        <w:t>առայությունների պատվիրակման հիմքում կդրվեն ծառայությունների մատուցման որակը բարձրացնելու, լիարժեք հասանելիություն ապահովելու և ծախսարդյունավետության նպատակները:</w:t>
      </w:r>
      <w:r w:rsidRPr="00690655">
        <w:rPr>
          <w:rFonts w:ascii="GHEA Grapalat" w:hAnsi="GHEA Grapalat" w:cs="Sylfaen"/>
          <w:sz w:val="24"/>
          <w:szCs w:val="24"/>
          <w:lang w:val="pt-BR"/>
        </w:rPr>
        <w:t xml:space="preserve"> Նույն ենթաբաժնի 30-րդ կետում ամրագրված է </w:t>
      </w:r>
      <w:r w:rsidR="00A333FF" w:rsidRPr="00690655">
        <w:rPr>
          <w:rFonts w:ascii="GHEA Grapalat" w:hAnsi="GHEA Grapalat" w:cs="Sylfaen"/>
          <w:sz w:val="24"/>
          <w:szCs w:val="24"/>
          <w:lang w:val="pt-BR"/>
        </w:rPr>
        <w:t xml:space="preserve">միասնական գրասենյակի ձևաչափով ծառայությունների </w:t>
      </w:r>
      <w:r w:rsidR="00A333FF" w:rsidRPr="00690655">
        <w:rPr>
          <w:rFonts w:ascii="GHEA Grapalat" w:hAnsi="GHEA Grapalat" w:cs="Sylfaen"/>
          <w:sz w:val="24"/>
          <w:szCs w:val="24"/>
          <w:lang w:val="pt-BR"/>
        </w:rPr>
        <w:lastRenderedPageBreak/>
        <w:t>մատուցման մոդել</w:t>
      </w:r>
      <w:r w:rsidRPr="00690655">
        <w:rPr>
          <w:rFonts w:ascii="GHEA Grapalat" w:hAnsi="GHEA Grapalat" w:cs="Sylfaen"/>
          <w:sz w:val="24"/>
          <w:szCs w:val="24"/>
          <w:lang w:val="pt-BR"/>
        </w:rPr>
        <w:t xml:space="preserve"> ներդրումը</w:t>
      </w:r>
      <w:r w:rsidR="00A333FF" w:rsidRPr="00690655">
        <w:rPr>
          <w:rFonts w:ascii="GHEA Grapalat" w:hAnsi="GHEA Grapalat" w:cs="Sylfaen"/>
          <w:sz w:val="24"/>
          <w:szCs w:val="24"/>
          <w:lang w:val="pt-BR"/>
        </w:rPr>
        <w:t>՝ հանրային ծառայությունների քաղաքականության ընդհանուր տրամաբանության ներքո։</w:t>
      </w:r>
    </w:p>
    <w:p w:rsidR="00DC1DC6" w:rsidRPr="00690655" w:rsidRDefault="00A333FF" w:rsidP="00235F7A">
      <w:pPr>
        <w:spacing w:after="0" w:line="360" w:lineRule="auto"/>
        <w:ind w:right="270" w:firstLine="54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690655">
        <w:rPr>
          <w:rFonts w:ascii="GHEA Grapalat" w:hAnsi="GHEA Grapalat" w:cs="Sylfaen"/>
          <w:sz w:val="24"/>
          <w:szCs w:val="24"/>
          <w:lang w:val="pt-BR"/>
        </w:rPr>
        <w:t>Միաժամանակ</w:t>
      </w:r>
      <w:r w:rsidR="00DC1DC6" w:rsidRPr="00690655">
        <w:rPr>
          <w:rFonts w:ascii="GHEA Grapalat" w:hAnsi="GHEA Grapalat" w:cs="Sylfaen"/>
          <w:sz w:val="24"/>
          <w:szCs w:val="24"/>
          <w:lang w:val="pt-BR"/>
        </w:rPr>
        <w:t xml:space="preserve"> 2022 թվականի փետրվարի 17-ին Արդարադատության նախարարության և «Հայփոստ» ՓԲԸ-ի միջև կնքվել է համագործակցության վերաբերյալ համաձայնագիր (այսուհետ՝ Համաձայնագիր): Համաձայնագրում որպես համագործակցության ռազմավարական նպատակ է նշվել «Հայփոստ» ՓԲԸ-ի փոստային ցանցի հնարավորությունների օգտագործմամբ պետական, ինչպես նաև տեղական ինքնակառավարման մարմինների գործառույթներից բխող հանրային որակյալ ծառայությունների հասանելիության ու մատչելիության բարձր մակարդակի ապահովումը Հայաստանի Հանրապետության ողջ տարածքում, և բոլոր տարածքների բնակիչների ու տնտեսվարողների համար հավասար հնարավորությունների ապահովումը:</w:t>
      </w:r>
    </w:p>
    <w:p w:rsidR="00DC1DC6" w:rsidRPr="00690655" w:rsidRDefault="00DC1DC6" w:rsidP="00DC1DC6">
      <w:pPr>
        <w:spacing w:line="360" w:lineRule="auto"/>
        <w:ind w:right="270"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pt-BR"/>
        </w:rPr>
      </w:pPr>
      <w:r w:rsidRPr="00690655">
        <w:rPr>
          <w:rFonts w:ascii="GHEA Grapalat" w:hAnsi="GHEA Grapalat" w:cs="Sylfaen"/>
          <w:sz w:val="24"/>
          <w:szCs w:val="24"/>
          <w:lang w:val="pt-BR"/>
        </w:rPr>
        <w:t xml:space="preserve">Հայաստանի Հանրապետության դատական և իրավական բարեփոխումների 2019-2023 թվականների ռազմավարությամբ ամրագրված </w:t>
      </w:r>
      <w:r w:rsidRPr="00690655">
        <w:rPr>
          <w:rFonts w:ascii="GHEA Grapalat" w:hAnsi="GHEA Grapalat" w:cs="Tahoma"/>
          <w:sz w:val="24"/>
          <w:szCs w:val="24"/>
          <w:lang w:val="hy-AM"/>
        </w:rPr>
        <w:t>Կառավարության առաջնահերթություններից է պետական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Tahoma"/>
          <w:sz w:val="24"/>
          <w:szCs w:val="24"/>
          <w:lang w:val="hy-AM"/>
        </w:rPr>
        <w:t>կառավարման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Tahoma"/>
          <w:sz w:val="24"/>
          <w:szCs w:val="24"/>
          <w:lang w:val="hy-AM"/>
        </w:rPr>
        <w:t>արդյունավետության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Tahoma"/>
          <w:sz w:val="24"/>
          <w:szCs w:val="24"/>
          <w:lang w:val="hy-AM"/>
        </w:rPr>
        <w:t>բարձրացումը, որը ենթադրում է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690655">
        <w:rPr>
          <w:rFonts w:ascii="GHEA Grapalat" w:hAnsi="GHEA Grapalat" w:cs="Tahoma"/>
          <w:sz w:val="24"/>
          <w:szCs w:val="24"/>
          <w:lang w:val="hy-AM"/>
        </w:rPr>
        <w:t>կրկնվող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Tahoma"/>
          <w:sz w:val="24"/>
          <w:szCs w:val="24"/>
          <w:lang w:val="hy-AM"/>
        </w:rPr>
        <w:t>գործառույթների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Tahoma"/>
          <w:sz w:val="24"/>
          <w:szCs w:val="24"/>
          <w:lang w:val="hy-AM"/>
        </w:rPr>
        <w:t>վերհանում,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Tahoma"/>
          <w:sz w:val="24"/>
          <w:szCs w:val="24"/>
          <w:lang w:val="hy-AM"/>
        </w:rPr>
        <w:t>դանդաղ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90655">
        <w:rPr>
          <w:rFonts w:ascii="GHEA Grapalat" w:hAnsi="GHEA Grapalat" w:cs="Tahoma"/>
          <w:sz w:val="24"/>
          <w:szCs w:val="24"/>
          <w:lang w:val="hy-AM"/>
        </w:rPr>
        <w:t>ոչ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Tahoma"/>
          <w:sz w:val="24"/>
          <w:szCs w:val="24"/>
          <w:lang w:val="hy-AM"/>
        </w:rPr>
        <w:t>արդյունավետ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90655">
        <w:rPr>
          <w:rFonts w:ascii="GHEA Grapalat" w:hAnsi="GHEA Grapalat" w:cs="Tahoma"/>
          <w:sz w:val="24"/>
          <w:szCs w:val="24"/>
          <w:lang w:val="hy-AM"/>
        </w:rPr>
        <w:t>անհարկի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Tahoma"/>
          <w:sz w:val="24"/>
          <w:szCs w:val="24"/>
          <w:lang w:val="hy-AM"/>
        </w:rPr>
        <w:t>բյուրոկրատական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Tahoma"/>
          <w:sz w:val="24"/>
          <w:szCs w:val="24"/>
          <w:lang w:val="hy-AM"/>
        </w:rPr>
        <w:t>ընթացակարգերի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Tahoma"/>
          <w:sz w:val="24"/>
          <w:szCs w:val="24"/>
          <w:lang w:val="hy-AM"/>
        </w:rPr>
        <w:t>կրճատում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90655">
        <w:rPr>
          <w:rFonts w:ascii="GHEA Grapalat" w:hAnsi="GHEA Grapalat" w:cs="Tahoma"/>
          <w:sz w:val="24"/>
          <w:szCs w:val="24"/>
          <w:lang w:val="hy-AM"/>
        </w:rPr>
        <w:t>տարբեր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Tahoma"/>
          <w:sz w:val="24"/>
          <w:szCs w:val="24"/>
          <w:lang w:val="hy-AM"/>
        </w:rPr>
        <w:t>պետական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Tahoma"/>
          <w:sz w:val="24"/>
          <w:szCs w:val="24"/>
          <w:lang w:val="hy-AM"/>
        </w:rPr>
        <w:t>հիմնարկներում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Tahoma"/>
          <w:sz w:val="24"/>
          <w:szCs w:val="24"/>
          <w:lang w:val="hy-AM"/>
        </w:rPr>
        <w:t>և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Tahoma"/>
          <w:sz w:val="24"/>
          <w:szCs w:val="24"/>
          <w:lang w:val="hy-AM"/>
        </w:rPr>
        <w:t>ստորաբաժանումներում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Tahoma"/>
          <w:sz w:val="24"/>
          <w:szCs w:val="24"/>
          <w:lang w:val="hy-AM"/>
        </w:rPr>
        <w:t>իրականացվող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Tahoma"/>
          <w:sz w:val="24"/>
          <w:szCs w:val="24"/>
          <w:lang w:val="hy-AM"/>
        </w:rPr>
        <w:t>միևնույն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Tahoma"/>
          <w:sz w:val="24"/>
          <w:szCs w:val="24"/>
          <w:lang w:val="hy-AM"/>
        </w:rPr>
        <w:t>տեսակի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Tahoma"/>
          <w:sz w:val="24"/>
          <w:szCs w:val="24"/>
          <w:lang w:val="hy-AM"/>
        </w:rPr>
        <w:t>գործառույթների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Tahoma"/>
          <w:sz w:val="24"/>
          <w:szCs w:val="24"/>
          <w:lang w:val="hy-AM"/>
        </w:rPr>
        <w:t>կենտրոնացում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Tahoma"/>
          <w:sz w:val="24"/>
          <w:szCs w:val="24"/>
          <w:lang w:val="hy-AM"/>
        </w:rPr>
        <w:t>և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մեկտեղում, գործառույթների ծախսատարության գնահատում և ծախսերի նվազեցմանն ուղղված շարունակական բարեփոխումների իրականացում, պետության կողմից մատուցվող ծառայությունների որակի արդիականացում, ավտոմատացում և թվայնացում: </w:t>
      </w:r>
      <w:r w:rsidR="00A55CEB" w:rsidRPr="0069065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բոլոր բնակավայրերում հանրային ծառայությունների մատուցման հասանելիության և մատչելիության ապահովման նպատակը ամրագրված է նաև վարչապետի աշխատակազմ ներկայացված </w:t>
      </w:r>
      <w:r w:rsidRPr="00690655">
        <w:rPr>
          <w:rFonts w:ascii="GHEA Grapalat" w:hAnsi="GHEA Grapalat"/>
          <w:sz w:val="24"/>
          <w:szCs w:val="24"/>
          <w:lang w:val="hy-AM"/>
        </w:rPr>
        <w:lastRenderedPageBreak/>
        <w:t>Դատական և իրավական բարեփոխումների 2022-2026 թվականների ռազմավարության նախագծում:</w:t>
      </w:r>
    </w:p>
    <w:p w:rsidR="00DC1DC6" w:rsidRPr="00690655" w:rsidRDefault="00DC1DC6" w:rsidP="00DC1DC6">
      <w:pPr>
        <w:pStyle w:val="norm"/>
        <w:tabs>
          <w:tab w:val="left" w:pos="851"/>
        </w:tabs>
        <w:spacing w:line="360" w:lineRule="auto"/>
        <w:ind w:firstLine="567"/>
        <w:rPr>
          <w:rFonts w:ascii="GHEA Grapalat" w:hAnsi="GHEA Grapalat" w:cs="Tahoma"/>
          <w:sz w:val="24"/>
          <w:szCs w:val="24"/>
          <w:lang w:val="pt-BR"/>
        </w:rPr>
      </w:pPr>
      <w:r w:rsidRPr="00690655">
        <w:rPr>
          <w:rFonts w:ascii="GHEA Grapalat" w:hAnsi="GHEA Grapalat" w:cs="Tahoma"/>
          <w:sz w:val="24"/>
          <w:szCs w:val="24"/>
          <w:lang w:val="pt-BR"/>
        </w:rPr>
        <w:t xml:space="preserve"> </w:t>
      </w:r>
    </w:p>
    <w:p w:rsidR="00DC1DC6" w:rsidRPr="00690655" w:rsidRDefault="00DC1DC6" w:rsidP="00DC1DC6">
      <w:pPr>
        <w:pStyle w:val="ListParagraph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690655">
        <w:rPr>
          <w:rFonts w:ascii="GHEA Grapalat" w:hAnsi="GHEA Grapalat"/>
          <w:b/>
          <w:bCs/>
          <w:i/>
          <w:iCs/>
          <w:sz w:val="24"/>
          <w:szCs w:val="24"/>
          <w:lang w:val="pt-BR"/>
        </w:rPr>
        <w:t>Առաջարկվող կարգավորման բնույթը</w:t>
      </w:r>
      <w:r w:rsidRPr="0069065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.</w:t>
      </w:r>
    </w:p>
    <w:p w:rsidR="00DC1DC6" w:rsidRPr="00690655" w:rsidRDefault="00DC1DC6" w:rsidP="00DC1DC6">
      <w:pPr>
        <w:spacing w:line="360" w:lineRule="auto"/>
        <w:ind w:right="270"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9065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Նախագծով առաջարկվում է որպես </w:t>
      </w:r>
      <w:r w:rsidR="00A55CEB" w:rsidRPr="0069065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ողջ տարածքում հանրային փոստային ցանցի սպասարկման կետերի միջոցով հանրային ծառայություններ մատուցող քաղաքացիական կենտրոնների ստեղծման հերթական</w:t>
      </w:r>
      <w:r w:rsidR="00235F7A" w:rsidRPr="00690655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քայլ ամրագրել Քաղաքացիական կենտրոնի ստեղծումը Աբովյան համայնքում և տվյալ Քաղաքացիական կենտրոնի միջոցով հանրային ծառայությունների մատուցման բացառիկ լիազորության վերապահումը</w:t>
      </w:r>
      <w:r w:rsidR="00BB0ED2" w:rsidRPr="0069065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«Հայփոստ» ՓԲԸ-ին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: </w:t>
      </w:r>
    </w:p>
    <w:p w:rsidR="00DC1DC6" w:rsidRPr="00690655" w:rsidRDefault="00DC1DC6" w:rsidP="00DC1DC6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/>
          <w:iCs/>
          <w:sz w:val="24"/>
          <w:szCs w:val="24"/>
          <w:lang w:val="pt-BR"/>
        </w:rPr>
      </w:pPr>
      <w:r w:rsidRPr="00690655">
        <w:rPr>
          <w:rFonts w:ascii="GHEA Grapalat" w:hAnsi="GHEA Grapalat"/>
          <w:b/>
          <w:bCs/>
          <w:i/>
          <w:iCs/>
          <w:sz w:val="24"/>
          <w:szCs w:val="24"/>
          <w:lang w:val="pt-BR"/>
        </w:rPr>
        <w:t>Ակնկալվող արդյունքը.</w:t>
      </w:r>
    </w:p>
    <w:p w:rsidR="00DC1DC6" w:rsidRPr="00690655" w:rsidRDefault="00DC1DC6" w:rsidP="00DC1DC6">
      <w:pPr>
        <w:spacing w:line="360" w:lineRule="auto"/>
        <w:ind w:right="270"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pt-BR"/>
        </w:rPr>
      </w:pPr>
      <w:r w:rsidRPr="00690655">
        <w:rPr>
          <w:rFonts w:ascii="GHEA Grapalat" w:hAnsi="GHEA Grapalat"/>
          <w:sz w:val="24"/>
          <w:szCs w:val="24"/>
          <w:shd w:val="clear" w:color="auto" w:fill="FFFFFF"/>
        </w:rPr>
        <w:t>Պետության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մատուցվող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ծառայությունների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միասնական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հարթակի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ստեղծման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ճանապարհին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կարևոր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քայլ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հանդիսանալու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«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Հայփոստ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»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ՓԲԸ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>-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ին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պետության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վերահսկվող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A55CEB" w:rsidRPr="0069065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հանրային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փոստային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ցանցի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սպասարկման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կետերում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հանրային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(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)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համայնքային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ծառայությունների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մատուցման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ապահովումը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, 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</w:rPr>
        <w:t>Աբովյան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</w:rPr>
        <w:t>համայնքում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</w:rPr>
        <w:t>քաղաքացիական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</w:rPr>
        <w:t>կենտրոնի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</w:rPr>
        <w:t>բարեհաջող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</w:rPr>
        <w:t>գործարկումն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</w:rPr>
        <w:t>ու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</w:rPr>
        <w:t>ակնկալվող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</w:rPr>
        <w:t>արդյունքի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</w:rPr>
        <w:t>ձեռքբերում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</w:rPr>
        <w:t>հնարավոորւթյուն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</w:rPr>
        <w:t>կստեղծի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աստիճանաբար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A55CEB" w:rsidRPr="0069065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բոլոր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բնակավայրերում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</w:rPr>
        <w:t>ապահովել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</w:rPr>
        <w:t>հանրային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522767" w:rsidRPr="00690655">
        <w:rPr>
          <w:rFonts w:ascii="GHEA Grapalat" w:hAnsi="GHEA Grapalat"/>
          <w:sz w:val="24"/>
          <w:szCs w:val="24"/>
          <w:shd w:val="clear" w:color="auto" w:fill="FFFFFF"/>
        </w:rPr>
        <w:t>ծառայությունների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հասանելիությունը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69065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690655">
        <w:rPr>
          <w:rFonts w:ascii="GHEA Grapalat" w:hAnsi="GHEA Grapalat"/>
          <w:sz w:val="24"/>
          <w:szCs w:val="24"/>
          <w:shd w:val="clear" w:color="auto" w:fill="FFFFFF"/>
        </w:rPr>
        <w:t>մատչելիությունը։</w:t>
      </w:r>
    </w:p>
    <w:p w:rsidR="00DC1DC6" w:rsidRPr="00690655" w:rsidRDefault="00DC1DC6" w:rsidP="00DC1DC6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/>
          <w:iCs/>
          <w:sz w:val="24"/>
          <w:szCs w:val="24"/>
          <w:lang w:val="pt-BR"/>
        </w:rPr>
      </w:pPr>
      <w:r w:rsidRPr="00690655">
        <w:rPr>
          <w:rFonts w:ascii="GHEA Grapalat" w:hAnsi="GHEA Grapalat"/>
          <w:b/>
          <w:bCs/>
          <w:i/>
          <w:iCs/>
          <w:sz w:val="24"/>
          <w:szCs w:val="24"/>
          <w:lang w:val="pt-BR"/>
        </w:rPr>
        <w:t>Նախագծի մշակման գործընթացում ներգրավված ինստիտուտները և անձինք.</w:t>
      </w:r>
    </w:p>
    <w:p w:rsidR="00DC1DC6" w:rsidRPr="00690655" w:rsidRDefault="00DC1DC6" w:rsidP="00DC1DC6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90655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Pr="00690655">
        <w:rPr>
          <w:rFonts w:ascii="GHEA Grapalat" w:hAnsi="GHEA Grapalat"/>
          <w:sz w:val="24"/>
          <w:szCs w:val="24"/>
          <w:lang w:val="pt-BR"/>
        </w:rPr>
        <w:t>Արդարադատության նախարարության կողմից</w:t>
      </w:r>
      <w:r w:rsidRPr="00690655">
        <w:rPr>
          <w:rFonts w:ascii="GHEA Grapalat" w:hAnsi="GHEA Grapalat"/>
          <w:sz w:val="24"/>
          <w:szCs w:val="24"/>
          <w:lang w:val="hy-AM"/>
        </w:rPr>
        <w:t>:</w:t>
      </w:r>
    </w:p>
    <w:p w:rsidR="00DC1DC6" w:rsidRPr="00690655" w:rsidRDefault="00DC1DC6" w:rsidP="00DC1DC6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90" w:firstLine="540"/>
        <w:jc w:val="both"/>
        <w:rPr>
          <w:rFonts w:ascii="GHEA Grapalat" w:hAnsi="GHEA Grapalat"/>
          <w:b/>
          <w:bCs/>
          <w:i/>
          <w:iCs/>
          <w:sz w:val="24"/>
          <w:szCs w:val="24"/>
          <w:lang w:val="pt-BR"/>
        </w:rPr>
      </w:pPr>
      <w:r w:rsidRPr="00690655">
        <w:rPr>
          <w:rFonts w:ascii="GHEA Grapalat" w:hAnsi="GHEA Grapalat"/>
          <w:b/>
          <w:bCs/>
          <w:i/>
          <w:iCs/>
          <w:sz w:val="24"/>
          <w:szCs w:val="24"/>
          <w:lang w:val="pt-BR"/>
        </w:rPr>
        <w:lastRenderedPageBreak/>
        <w:t xml:space="preserve"> Նախագծի ընդունման կապակցությամբ Հայաստանի Հանրապետության պետական բյուջեում ծախսերի  և եկամուտների նվազեցման կամ ավելացման մասին</w:t>
      </w:r>
      <w:r w:rsidRPr="0069065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.</w:t>
      </w:r>
    </w:p>
    <w:p w:rsidR="00DC1DC6" w:rsidRPr="00690655" w:rsidRDefault="00DC1DC6" w:rsidP="00DC1DC6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90655">
        <w:rPr>
          <w:rFonts w:ascii="GHEA Grapalat" w:hAnsi="GHEA Grapalat" w:cs="Sylfaen"/>
          <w:sz w:val="24"/>
          <w:szCs w:val="24"/>
          <w:lang w:val="hy-AM"/>
        </w:rPr>
        <w:t>Ն</w:t>
      </w:r>
      <w:r w:rsidRPr="00690655">
        <w:rPr>
          <w:rFonts w:ascii="GHEA Grapalat" w:hAnsi="GHEA Grapalat"/>
          <w:sz w:val="24"/>
          <w:szCs w:val="24"/>
        </w:rPr>
        <w:t>ախագծի</w:t>
      </w:r>
      <w:r w:rsidRPr="006906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0655">
        <w:rPr>
          <w:rFonts w:ascii="GHEA Grapalat" w:hAnsi="GHEA Grapalat" w:cs="Sylfaen"/>
          <w:sz w:val="24"/>
          <w:szCs w:val="24"/>
          <w:lang w:val="af-ZA"/>
        </w:rPr>
        <w:t xml:space="preserve">ընդունման արդյունքում Հայաստանի Հանրապետության պետական բյուջեում </w:t>
      </w:r>
      <w:r w:rsidRPr="00690655">
        <w:rPr>
          <w:rFonts w:ascii="GHEA Grapalat" w:hAnsi="GHEA Grapalat"/>
          <w:sz w:val="24"/>
          <w:szCs w:val="24"/>
          <w:lang w:val="af-ZA"/>
        </w:rPr>
        <w:t xml:space="preserve">լրացուցիչ </w:t>
      </w:r>
      <w:r w:rsidRPr="00690655">
        <w:rPr>
          <w:rFonts w:ascii="GHEA Grapalat" w:hAnsi="GHEA Grapalat" w:cs="Sylfaen"/>
          <w:sz w:val="24"/>
          <w:szCs w:val="24"/>
          <w:lang w:val="af-ZA"/>
        </w:rPr>
        <w:t xml:space="preserve">ծախսերի չափը ենթակա է հետագա հստակեցման: </w:t>
      </w:r>
    </w:p>
    <w:p w:rsidR="00DC1DC6" w:rsidRPr="00690655" w:rsidRDefault="00DC1DC6" w:rsidP="00DC1DC6">
      <w:pPr>
        <w:pStyle w:val="BodyText"/>
        <w:tabs>
          <w:tab w:val="left" w:pos="851"/>
          <w:tab w:val="left" w:pos="993"/>
        </w:tabs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  <w:r w:rsidRPr="00690655">
        <w:rPr>
          <w:rFonts w:ascii="GHEA Grapalat" w:hAnsi="GHEA Grapalat"/>
          <w:b/>
          <w:lang w:val="hy-AM"/>
        </w:rPr>
        <w:t>6</w:t>
      </w:r>
      <w:r w:rsidRPr="00690655">
        <w:rPr>
          <w:rFonts w:ascii="MS Mincho" w:eastAsia="MS Mincho" w:hAnsi="MS Mincho" w:cs="MS Mincho" w:hint="eastAsia"/>
          <w:b/>
          <w:lang w:val="hy-AM"/>
        </w:rPr>
        <w:t>․</w:t>
      </w:r>
      <w:r w:rsidRPr="00690655">
        <w:rPr>
          <w:rFonts w:ascii="GHEA Grapalat" w:hAnsi="GHEA Grapalat"/>
          <w:b/>
          <w:lang w:val="hy-AM"/>
        </w:rPr>
        <w:t xml:space="preserve"> «Կապը ռազմավարական փաստաթղթերի հետ. Հայաստանի վերափոխման ռազմավարություն 2050, Կառավարության 2021-2026թթ. ծրագիր, ոլորտային և/կամ այլ ռազմավարություններ» </w:t>
      </w:r>
      <w:r w:rsidRPr="00690655">
        <w:rPr>
          <w:rFonts w:ascii="GHEA Grapalat" w:hAnsi="GHEA Grapalat"/>
          <w:b/>
          <w:lang w:val="hy-AM"/>
        </w:rPr>
        <w:tab/>
      </w:r>
    </w:p>
    <w:p w:rsidR="00DC1DC6" w:rsidRPr="00690655" w:rsidRDefault="00DC1DC6" w:rsidP="00604392">
      <w:pPr>
        <w:tabs>
          <w:tab w:val="left" w:pos="720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90655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նախագիծ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ը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բխում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A55CEB"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Հայաստանի Հանրապետության </w:t>
      </w:r>
      <w:r w:rsidRPr="0069065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2021 </w:t>
      </w:r>
      <w:r w:rsidRPr="0069065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Sylfaen"/>
          <w:sz w:val="24"/>
          <w:szCs w:val="24"/>
          <w:lang w:val="hy-AM"/>
        </w:rPr>
        <w:t>օգոստոսի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18-</w:t>
      </w:r>
      <w:r w:rsidRPr="00690655">
        <w:rPr>
          <w:rFonts w:ascii="GHEA Grapalat" w:hAnsi="GHEA Grapalat" w:cs="Sylfaen"/>
          <w:sz w:val="24"/>
          <w:szCs w:val="24"/>
          <w:lang w:val="hy-AM"/>
        </w:rPr>
        <w:t>ի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N 1363 - </w:t>
      </w:r>
      <w:r w:rsidRPr="00690655">
        <w:rPr>
          <w:rFonts w:ascii="GHEA Grapalat" w:hAnsi="GHEA Grapalat" w:cs="Sylfaen"/>
          <w:sz w:val="24"/>
          <w:szCs w:val="24"/>
          <w:lang w:val="hy-AM"/>
        </w:rPr>
        <w:t>Ա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Sylfaen"/>
          <w:sz w:val="24"/>
          <w:szCs w:val="24"/>
          <w:lang w:val="hy-AM"/>
        </w:rPr>
        <w:t>հաստատված՝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Հայաստանի Հանրապետության կառավարության 2021-2026թթ</w:t>
      </w:r>
      <w:r w:rsidRPr="0069065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 xml:space="preserve"> ծրագրի 5</w:t>
      </w:r>
      <w:r w:rsidRPr="0069065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5 կետով սահմանված՝ հանրային ծառայությունների միասնական գրասենյակների բոլոր մարզերում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ծավալման նպատակից: </w:t>
      </w:r>
    </w:p>
    <w:p w:rsidR="00DC1DC6" w:rsidRPr="00690655" w:rsidRDefault="00DC1DC6" w:rsidP="00604392">
      <w:pPr>
        <w:tabs>
          <w:tab w:val="left" w:pos="720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Նախագծի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ընդունման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անհրաժեշտությունը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պայմանավորված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A55CEB"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Հայաստանի Հանրապետության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կառավարության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2021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թվականի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նոյեմբերի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18-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N 1902-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Լ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որոշմամբ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հաստատված՝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Հայաստանի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Հանրապետության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կառավարության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2021-2026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թվականների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գործունեության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միջոցառումների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ծրագրի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12 </w:t>
      </w:r>
      <w:r w:rsidRPr="00690655">
        <w:rPr>
          <w:rFonts w:ascii="GHEA Grapalat" w:hAnsi="GHEA Grapalat" w:cs="Sylfaen"/>
          <w:sz w:val="24"/>
          <w:szCs w:val="24"/>
          <w:lang w:val="hy-AM"/>
        </w:rPr>
        <w:t>կետով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Sylfaen"/>
          <w:sz w:val="24"/>
          <w:szCs w:val="24"/>
          <w:lang w:val="hy-AM"/>
        </w:rPr>
        <w:t>սահմանված՝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Sylfaen"/>
          <w:sz w:val="24"/>
          <w:szCs w:val="24"/>
          <w:lang w:val="hy-AM"/>
        </w:rPr>
        <w:t>մարզերում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690655">
        <w:rPr>
          <w:rFonts w:ascii="GHEA Grapalat" w:hAnsi="GHEA Grapalat" w:cs="Sylfaen"/>
          <w:sz w:val="24"/>
          <w:szCs w:val="24"/>
          <w:lang w:val="hy-AM"/>
        </w:rPr>
        <w:t>Մեկ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Sylfaen"/>
          <w:sz w:val="24"/>
          <w:szCs w:val="24"/>
          <w:lang w:val="hy-AM"/>
        </w:rPr>
        <w:t>պատուհանի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690655">
        <w:rPr>
          <w:rFonts w:ascii="GHEA Grapalat" w:hAnsi="GHEA Grapalat" w:cs="Sylfaen"/>
          <w:sz w:val="24"/>
          <w:szCs w:val="24"/>
          <w:lang w:val="hy-AM"/>
        </w:rPr>
        <w:t>սկզբունքով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Sylfaen"/>
          <w:sz w:val="24"/>
          <w:szCs w:val="24"/>
          <w:lang w:val="hy-AM"/>
        </w:rPr>
        <w:t>գրասենյակի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Sylfaen"/>
          <w:sz w:val="24"/>
          <w:szCs w:val="24"/>
          <w:lang w:val="hy-AM"/>
        </w:rPr>
        <w:t>գործարկում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Sylfaen"/>
          <w:sz w:val="24"/>
          <w:szCs w:val="24"/>
          <w:lang w:val="hy-AM"/>
        </w:rPr>
        <w:t>միջոցառման</w:t>
      </w:r>
      <w:r w:rsidRPr="00690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hAnsi="GHEA Grapalat" w:cs="Sylfaen"/>
          <w:sz w:val="24"/>
          <w:szCs w:val="24"/>
          <w:lang w:val="hy-AM"/>
        </w:rPr>
        <w:t>իրականացմամբ։</w:t>
      </w:r>
    </w:p>
    <w:p w:rsidR="00DC1DC6" w:rsidRPr="00DC1DC6" w:rsidRDefault="00DC1DC6" w:rsidP="00DC1DC6">
      <w:pPr>
        <w:tabs>
          <w:tab w:val="left" w:pos="720"/>
          <w:tab w:val="left" w:pos="851"/>
          <w:tab w:val="left" w:pos="993"/>
        </w:tabs>
        <w:spacing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Նախագծի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ընդունումը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բխում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նաև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Կառավարության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2019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թվականի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հոկտեմբերի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10-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69065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690655">
        <w:rPr>
          <w:rFonts w:ascii="GHEA Grapalat" w:eastAsia="GHEA Grapalat" w:hAnsi="GHEA Grapalat" w:cs="Sylfaen"/>
          <w:sz w:val="24"/>
          <w:szCs w:val="24"/>
          <w:lang w:val="hy-AM"/>
        </w:rPr>
        <w:t>Հայաստանի Հանրապետության դատական և իրավական բարեփոխումների 2019-2023 թվականների ռազմավարությունը և դրանից բխող գործողությունների ծրագրերը հաստատելու մասին» N 1441-Լ որոշման հավելված N 1-ում սահմանված՝ «մեկ կանգառ, մեկ պատուհան» սկզբունքով ծառայությունների մատուցման միասնական կենտրոնի ստեղծման  նպատակից:</w:t>
      </w:r>
    </w:p>
    <w:p w:rsidR="00DC1DC6" w:rsidRPr="007220AD" w:rsidRDefault="00DC1DC6" w:rsidP="00DC1DC6">
      <w:pPr>
        <w:spacing w:line="360" w:lineRule="auto"/>
        <w:rPr>
          <w:sz w:val="24"/>
          <w:szCs w:val="24"/>
          <w:lang w:val="hy-AM"/>
        </w:rPr>
      </w:pPr>
    </w:p>
    <w:sectPr w:rsidR="00DC1DC6" w:rsidRPr="00722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63DE4" w16cex:dateUtc="2022-05-23T13:00:00Z"/>
  <w16cex:commentExtensible w16cex:durableId="26363DE5" w16cex:dateUtc="2022-05-23T12:05:00Z"/>
  <w16cex:commentExtensible w16cex:durableId="26363DE6" w16cex:dateUtc="2022-05-23T1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69C166" w16cid:durableId="26363DE4"/>
  <w16cid:commentId w16cid:paraId="7DB49CA6" w16cid:durableId="26363DE5"/>
  <w16cid:commentId w16cid:paraId="14EA7522" w16cid:durableId="26363DE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27F" w:rsidRDefault="00F2127F" w:rsidP="00DC1DC6">
      <w:pPr>
        <w:spacing w:after="0" w:line="240" w:lineRule="auto"/>
      </w:pPr>
      <w:r>
        <w:separator/>
      </w:r>
    </w:p>
  </w:endnote>
  <w:endnote w:type="continuationSeparator" w:id="0">
    <w:p w:rsidR="00F2127F" w:rsidRDefault="00F2127F" w:rsidP="00DC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27F" w:rsidRDefault="00F2127F" w:rsidP="00DC1DC6">
      <w:pPr>
        <w:spacing w:after="0" w:line="240" w:lineRule="auto"/>
      </w:pPr>
      <w:r>
        <w:separator/>
      </w:r>
    </w:p>
  </w:footnote>
  <w:footnote w:type="continuationSeparator" w:id="0">
    <w:p w:rsidR="00F2127F" w:rsidRDefault="00F2127F" w:rsidP="00DC1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6367"/>
    <w:multiLevelType w:val="hybridMultilevel"/>
    <w:tmpl w:val="C200F876"/>
    <w:lvl w:ilvl="0" w:tplc="8D50D0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7BD1802"/>
    <w:multiLevelType w:val="hybridMultilevel"/>
    <w:tmpl w:val="46F48812"/>
    <w:lvl w:ilvl="0" w:tplc="171C1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6A8C"/>
    <w:multiLevelType w:val="hybridMultilevel"/>
    <w:tmpl w:val="536847FE"/>
    <w:lvl w:ilvl="0" w:tplc="95404920">
      <w:start w:val="3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D56CDB"/>
    <w:multiLevelType w:val="hybridMultilevel"/>
    <w:tmpl w:val="BBBE0434"/>
    <w:lvl w:ilvl="0" w:tplc="954049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01624C"/>
    <w:multiLevelType w:val="hybridMultilevel"/>
    <w:tmpl w:val="BBBE0434"/>
    <w:lvl w:ilvl="0" w:tplc="954049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4C1977"/>
    <w:multiLevelType w:val="hybridMultilevel"/>
    <w:tmpl w:val="E8C8CB02"/>
    <w:lvl w:ilvl="0" w:tplc="073498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C320A9"/>
    <w:multiLevelType w:val="hybridMultilevel"/>
    <w:tmpl w:val="0E9848B2"/>
    <w:lvl w:ilvl="0" w:tplc="D638C7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31DFF"/>
    <w:multiLevelType w:val="hybridMultilevel"/>
    <w:tmpl w:val="1A6AC0A2"/>
    <w:lvl w:ilvl="0" w:tplc="7A3CE3FE">
      <w:start w:val="1"/>
      <w:numFmt w:val="decimal"/>
      <w:lvlText w:val="%1."/>
      <w:lvlJc w:val="left"/>
      <w:pPr>
        <w:ind w:left="1429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2077D95"/>
    <w:multiLevelType w:val="hybridMultilevel"/>
    <w:tmpl w:val="4A225164"/>
    <w:lvl w:ilvl="0" w:tplc="0800470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2E0134"/>
    <w:multiLevelType w:val="hybridMultilevel"/>
    <w:tmpl w:val="B670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3MLE0tzQwMTMyNzJW0lEKTi0uzszPAykwrAUAE8FfyiwAAAA="/>
  </w:docVars>
  <w:rsids>
    <w:rsidRoot w:val="00496466"/>
    <w:rsid w:val="000755D0"/>
    <w:rsid w:val="000A2CC5"/>
    <w:rsid w:val="000B42E5"/>
    <w:rsid w:val="000C6AC8"/>
    <w:rsid w:val="000D744F"/>
    <w:rsid w:val="001009E3"/>
    <w:rsid w:val="00194C95"/>
    <w:rsid w:val="001D6E87"/>
    <w:rsid w:val="001E1491"/>
    <w:rsid w:val="001E26B7"/>
    <w:rsid w:val="00201361"/>
    <w:rsid w:val="0020666B"/>
    <w:rsid w:val="00213798"/>
    <w:rsid w:val="00235F7A"/>
    <w:rsid w:val="002514F2"/>
    <w:rsid w:val="002655C9"/>
    <w:rsid w:val="00277C3F"/>
    <w:rsid w:val="002C16A8"/>
    <w:rsid w:val="002C4171"/>
    <w:rsid w:val="002F7EE1"/>
    <w:rsid w:val="00324441"/>
    <w:rsid w:val="003264A2"/>
    <w:rsid w:val="0033773B"/>
    <w:rsid w:val="0034685D"/>
    <w:rsid w:val="003741E6"/>
    <w:rsid w:val="00385E3A"/>
    <w:rsid w:val="0038658D"/>
    <w:rsid w:val="003905A5"/>
    <w:rsid w:val="003B0FAB"/>
    <w:rsid w:val="003C65DF"/>
    <w:rsid w:val="003F1AE6"/>
    <w:rsid w:val="004652AE"/>
    <w:rsid w:val="00496466"/>
    <w:rsid w:val="00504AE3"/>
    <w:rsid w:val="00522767"/>
    <w:rsid w:val="005239AC"/>
    <w:rsid w:val="005248C4"/>
    <w:rsid w:val="00526EF8"/>
    <w:rsid w:val="00547912"/>
    <w:rsid w:val="0055256D"/>
    <w:rsid w:val="0059109F"/>
    <w:rsid w:val="005B5FA8"/>
    <w:rsid w:val="005B7376"/>
    <w:rsid w:val="005C6C62"/>
    <w:rsid w:val="005E19F1"/>
    <w:rsid w:val="00604392"/>
    <w:rsid w:val="00611534"/>
    <w:rsid w:val="00682D4D"/>
    <w:rsid w:val="00684491"/>
    <w:rsid w:val="00690655"/>
    <w:rsid w:val="00694655"/>
    <w:rsid w:val="006B714C"/>
    <w:rsid w:val="006C2E69"/>
    <w:rsid w:val="006C49A4"/>
    <w:rsid w:val="007220AD"/>
    <w:rsid w:val="007349EE"/>
    <w:rsid w:val="0075438B"/>
    <w:rsid w:val="00760BB5"/>
    <w:rsid w:val="00771561"/>
    <w:rsid w:val="00775C12"/>
    <w:rsid w:val="00782839"/>
    <w:rsid w:val="007846D3"/>
    <w:rsid w:val="007911AF"/>
    <w:rsid w:val="007964D9"/>
    <w:rsid w:val="007A281D"/>
    <w:rsid w:val="007C5F8B"/>
    <w:rsid w:val="00806B04"/>
    <w:rsid w:val="00861525"/>
    <w:rsid w:val="00881E0F"/>
    <w:rsid w:val="008C2878"/>
    <w:rsid w:val="00926B9C"/>
    <w:rsid w:val="00952A35"/>
    <w:rsid w:val="009536F7"/>
    <w:rsid w:val="00963AD9"/>
    <w:rsid w:val="00980F78"/>
    <w:rsid w:val="00987B37"/>
    <w:rsid w:val="00996712"/>
    <w:rsid w:val="009B6027"/>
    <w:rsid w:val="00A15402"/>
    <w:rsid w:val="00A333FF"/>
    <w:rsid w:val="00A4022F"/>
    <w:rsid w:val="00A55CEB"/>
    <w:rsid w:val="00A6162C"/>
    <w:rsid w:val="00A80C40"/>
    <w:rsid w:val="00AD5D06"/>
    <w:rsid w:val="00AE37CE"/>
    <w:rsid w:val="00AF717A"/>
    <w:rsid w:val="00B0615A"/>
    <w:rsid w:val="00B1029C"/>
    <w:rsid w:val="00B16F3C"/>
    <w:rsid w:val="00B355F6"/>
    <w:rsid w:val="00B47FF9"/>
    <w:rsid w:val="00B51759"/>
    <w:rsid w:val="00B65FE8"/>
    <w:rsid w:val="00BB0ED2"/>
    <w:rsid w:val="00BE284A"/>
    <w:rsid w:val="00BF103A"/>
    <w:rsid w:val="00C401E1"/>
    <w:rsid w:val="00C56A09"/>
    <w:rsid w:val="00C72843"/>
    <w:rsid w:val="00C732F6"/>
    <w:rsid w:val="00CA6F83"/>
    <w:rsid w:val="00CA775E"/>
    <w:rsid w:val="00CD2BD7"/>
    <w:rsid w:val="00D930AD"/>
    <w:rsid w:val="00D96D71"/>
    <w:rsid w:val="00DC1DC6"/>
    <w:rsid w:val="00E00331"/>
    <w:rsid w:val="00E61513"/>
    <w:rsid w:val="00EC7348"/>
    <w:rsid w:val="00EF66C2"/>
    <w:rsid w:val="00F04739"/>
    <w:rsid w:val="00F1709B"/>
    <w:rsid w:val="00F2127F"/>
    <w:rsid w:val="00F36016"/>
    <w:rsid w:val="00F5363C"/>
    <w:rsid w:val="00F67102"/>
    <w:rsid w:val="00FC620F"/>
    <w:rsid w:val="00FD5748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CC8CE"/>
  <w15:chartTrackingRefBased/>
  <w15:docId w15:val="{37823749-0D1A-4A80-9F02-AE0B0F88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A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6A09"/>
    <w:rPr>
      <w:i/>
      <w:iCs/>
    </w:rPr>
  </w:style>
  <w:style w:type="paragraph" w:styleId="ListParagraph">
    <w:name w:val="List Paragraph"/>
    <w:basedOn w:val="Normal"/>
    <w:uiPriority w:val="34"/>
    <w:qFormat/>
    <w:rsid w:val="00C56A09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EC7348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rsid w:val="00EC734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2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D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D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D4D"/>
    <w:rPr>
      <w:rFonts w:ascii="Segoe UI" w:hAnsi="Segoe UI" w:cs="Segoe UI"/>
      <w:sz w:val="18"/>
      <w:szCs w:val="18"/>
    </w:rPr>
  </w:style>
  <w:style w:type="paragraph" w:customStyle="1" w:styleId="norm">
    <w:name w:val="norm"/>
    <w:basedOn w:val="Normal"/>
    <w:link w:val="normChar"/>
    <w:rsid w:val="001E26B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normChar">
    <w:name w:val="norm Char"/>
    <w:link w:val="norm"/>
    <w:locked/>
    <w:rsid w:val="001E26B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75C12"/>
    <w:pPr>
      <w:spacing w:after="0" w:line="240" w:lineRule="auto"/>
    </w:pPr>
  </w:style>
  <w:style w:type="paragraph" w:styleId="BodyText">
    <w:name w:val="Body Text"/>
    <w:basedOn w:val="Normal"/>
    <w:link w:val="BodyTextChar"/>
    <w:rsid w:val="00DC1DC6"/>
    <w:pPr>
      <w:spacing w:after="0" w:line="240" w:lineRule="auto"/>
      <w:jc w:val="center"/>
    </w:pPr>
    <w:rPr>
      <w:rFonts w:ascii="Times Armenian" w:eastAsia="Times New Roman" w:hAnsi="Times Armenian" w:cs="Times New Roman"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C1DC6"/>
    <w:rPr>
      <w:rFonts w:ascii="Times Armenian" w:eastAsia="Times New Roman" w:hAnsi="Times Armenian" w:cs="Times New Rom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C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C1D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1D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C1D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C1DC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B5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9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 Sujyan</dc:creator>
  <cp:keywords/>
  <dc:description/>
  <cp:lastModifiedBy>A-Sujyan</cp:lastModifiedBy>
  <cp:revision>33</cp:revision>
  <dcterms:created xsi:type="dcterms:W3CDTF">2022-05-23T14:07:00Z</dcterms:created>
  <dcterms:modified xsi:type="dcterms:W3CDTF">2022-06-06T12:08:00Z</dcterms:modified>
</cp:coreProperties>
</file>