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3B" w:rsidRPr="005D0525" w:rsidRDefault="00A8043B" w:rsidP="006275BC">
      <w:pPr>
        <w:spacing w:after="0" w:line="240" w:lineRule="auto"/>
        <w:jc w:val="right"/>
        <w:rPr>
          <w:rFonts w:ascii="GHEA Mariam" w:eastAsia="Times New Roman" w:hAnsi="GHEA Mariam" w:cs="Times New Roman"/>
          <w:sz w:val="24"/>
          <w:szCs w:val="24"/>
        </w:rPr>
      </w:pPr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Հավելված N </w:t>
      </w:r>
      <w:r w:rsidR="00582665">
        <w:rPr>
          <w:rFonts w:ascii="GHEA Mariam" w:eastAsia="Times New Roman" w:hAnsi="GHEA Mariam" w:cs="Times New Roman"/>
          <w:b/>
          <w:bCs/>
          <w:sz w:val="24"/>
          <w:szCs w:val="24"/>
          <w:lang w:val="en-US"/>
        </w:rPr>
        <w:t>4</w:t>
      </w:r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br/>
        <w:t>ՀՀ կառավարության</w:t>
      </w:r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br/>
        <w:t>2022 թվականի _______ __-ի</w:t>
      </w:r>
      <w:r w:rsidRPr="005D0525">
        <w:rPr>
          <w:rFonts w:ascii="GHEA Mariam" w:eastAsia="Times New Roman" w:hAnsi="GHEA Mariam" w:cs="Times New Roman"/>
          <w:b/>
          <w:bCs/>
          <w:sz w:val="24"/>
          <w:szCs w:val="24"/>
        </w:rPr>
        <w:br/>
        <w:t>N ____-Ն որոշման</w:t>
      </w:r>
    </w:p>
    <w:p w:rsidR="00A8043B" w:rsidRDefault="00A8043B" w:rsidP="006275BC">
      <w:pPr>
        <w:spacing w:after="0"/>
        <w:jc w:val="center"/>
        <w:rPr>
          <w:rFonts w:ascii="GHEA Mariam" w:hAnsi="GHEA Mariam"/>
          <w:b/>
          <w:sz w:val="28"/>
          <w:szCs w:val="28"/>
          <w:lang w:val="en-US"/>
        </w:rPr>
      </w:pPr>
    </w:p>
    <w:p w:rsidR="0057190F" w:rsidRPr="00225519" w:rsidRDefault="00F52E96" w:rsidP="006275BC">
      <w:pPr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en-US"/>
        </w:rPr>
      </w:pPr>
      <w:r w:rsidRPr="00225519">
        <w:rPr>
          <w:rFonts w:ascii="GHEA Mariam" w:hAnsi="GHEA Mariam"/>
          <w:b/>
          <w:sz w:val="24"/>
          <w:szCs w:val="24"/>
          <w:lang w:val="en-US"/>
        </w:rPr>
        <w:t>ՊԱՇԱՐՆԵՐԻ ԳՆԱՀԱՏՄԱՆ ՍՏԱՆԴԱՐՏ</w:t>
      </w:r>
    </w:p>
    <w:p w:rsidR="00BB1A94" w:rsidRPr="00225519" w:rsidRDefault="00BB1A94" w:rsidP="006275BC">
      <w:pPr>
        <w:spacing w:after="0" w:line="360" w:lineRule="auto"/>
        <w:jc w:val="center"/>
        <w:rPr>
          <w:rFonts w:ascii="GHEA Mariam" w:hAnsi="GHEA Mariam"/>
          <w:b/>
          <w:sz w:val="28"/>
          <w:szCs w:val="28"/>
          <w:lang w:val="en-US"/>
        </w:rPr>
      </w:pPr>
    </w:p>
    <w:p w:rsidR="009C4F68" w:rsidRPr="00225519" w:rsidRDefault="009C4F68" w:rsidP="006275BC">
      <w:pPr>
        <w:spacing w:after="0" w:line="360" w:lineRule="auto"/>
        <w:jc w:val="center"/>
        <w:rPr>
          <w:rFonts w:ascii="GHEA Mariam" w:hAnsi="GHEA Mariam" w:cs="Times New Roman"/>
          <w:b/>
          <w:sz w:val="24"/>
          <w:szCs w:val="24"/>
          <w:lang w:val="hy-AM"/>
        </w:rPr>
      </w:pPr>
      <w:r w:rsidRPr="00225519">
        <w:rPr>
          <w:rFonts w:ascii="GHEA Mariam" w:hAnsi="GHEA Mariam" w:cs="Times New Roman"/>
          <w:b/>
          <w:sz w:val="24"/>
          <w:szCs w:val="24"/>
          <w:lang w:val="hy-AM"/>
        </w:rPr>
        <w:t xml:space="preserve">I. </w:t>
      </w:r>
      <w:r w:rsidR="008A26CD" w:rsidRPr="00225519">
        <w:rPr>
          <w:rFonts w:ascii="GHEA Mariam" w:hAnsi="GHEA Mariam" w:cs="Times New Roman"/>
          <w:b/>
          <w:sz w:val="24"/>
          <w:szCs w:val="24"/>
          <w:lang w:val="hy-AM"/>
        </w:rPr>
        <w:t>ՆԵՐԱԾՈՒԹՅՈՒՆ</w:t>
      </w:r>
    </w:p>
    <w:p w:rsidR="009C4F68" w:rsidRPr="00225519" w:rsidRDefault="009C4F68" w:rsidP="006275BC">
      <w:pPr>
        <w:tabs>
          <w:tab w:val="left" w:pos="718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225519">
        <w:rPr>
          <w:rStyle w:val="jlqj4b"/>
          <w:rFonts w:ascii="GHEA Mariam" w:hAnsi="GHEA Mariam"/>
          <w:sz w:val="24"/>
          <w:szCs w:val="24"/>
          <w:lang w:val="hy-AM"/>
        </w:rPr>
        <w:t xml:space="preserve">1. </w:t>
      </w:r>
      <w:r w:rsidRPr="00225519">
        <w:rPr>
          <w:rFonts w:ascii="GHEA Mariam" w:hAnsi="GHEA Mariam" w:cs="Sylfaen"/>
          <w:sz w:val="24"/>
          <w:szCs w:val="24"/>
          <w:lang w:val="hy-AM"/>
        </w:rPr>
        <w:t xml:space="preserve">Սույն որոշման N 1 հավելվածով սահմանված ստանդարտում (այսուհետ՝ Ընդհանուր ստանդարտ) </w:t>
      </w:r>
      <w:r w:rsidRPr="00225519">
        <w:rPr>
          <w:rStyle w:val="jlqj4b"/>
          <w:rFonts w:ascii="GHEA Mariam" w:hAnsi="GHEA Mariam"/>
          <w:sz w:val="24"/>
          <w:szCs w:val="24"/>
          <w:lang w:val="hy-AM"/>
        </w:rPr>
        <w:t>ներառված դրույ</w:t>
      </w:r>
      <w:r w:rsidR="00D424BE" w:rsidRPr="00225519">
        <w:rPr>
          <w:rStyle w:val="jlqj4b"/>
          <w:rFonts w:ascii="GHEA Mariam" w:hAnsi="GHEA Mariam"/>
          <w:sz w:val="24"/>
          <w:szCs w:val="24"/>
          <w:lang w:val="hy-AM"/>
        </w:rPr>
        <w:t>թ</w:t>
      </w:r>
      <w:r w:rsidRPr="00225519">
        <w:rPr>
          <w:rStyle w:val="jlqj4b"/>
          <w:rFonts w:ascii="GHEA Mariam" w:hAnsi="GHEA Mariam"/>
          <w:sz w:val="24"/>
          <w:szCs w:val="24"/>
          <w:lang w:val="hy-AM"/>
        </w:rPr>
        <w:t xml:space="preserve">ները </w:t>
      </w:r>
      <w:r w:rsidRPr="00225519">
        <w:rPr>
          <w:rFonts w:ascii="GHEA Mariam" w:hAnsi="GHEA Mariam" w:cs="Sylfaen"/>
          <w:sz w:val="24"/>
          <w:szCs w:val="24"/>
          <w:lang w:val="hy-AM"/>
        </w:rPr>
        <w:t>տարածվում</w:t>
      </w:r>
      <w:r w:rsidRPr="00225519">
        <w:rPr>
          <w:rStyle w:val="jlqj4b"/>
          <w:rFonts w:ascii="GHEA Mariam" w:hAnsi="GHEA Mariam"/>
          <w:sz w:val="24"/>
          <w:szCs w:val="24"/>
          <w:lang w:val="hy-AM"/>
        </w:rPr>
        <w:t xml:space="preserve"> են </w:t>
      </w:r>
      <w:r w:rsidRPr="00225519">
        <w:rPr>
          <w:rFonts w:ascii="GHEA Mariam" w:hAnsi="GHEA Mariam" w:cs="Sylfaen"/>
          <w:sz w:val="24"/>
          <w:szCs w:val="24"/>
          <w:lang w:val="hy-AM"/>
        </w:rPr>
        <w:t>նաև</w:t>
      </w:r>
      <w:r w:rsidRPr="00225519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83C1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պաշարների և պահուստային բաղադրիչ</w:t>
      </w:r>
      <w:r w:rsidR="00A3599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ների</w:t>
      </w:r>
      <w:r w:rsidR="00F83C1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225519">
        <w:rPr>
          <w:rStyle w:val="jlqj4b"/>
          <w:rFonts w:ascii="GHEA Mariam" w:hAnsi="GHEA Mariam"/>
          <w:sz w:val="24"/>
          <w:szCs w:val="24"/>
          <w:lang w:val="hy-AM"/>
        </w:rPr>
        <w:t>գնահատման վրա</w:t>
      </w:r>
      <w:r w:rsidR="00BF4E8B" w:rsidRPr="00225519">
        <w:rPr>
          <w:rStyle w:val="jlqj4b"/>
          <w:rFonts w:ascii="GHEA Mariam" w:hAnsi="GHEA Mariam"/>
          <w:sz w:val="24"/>
          <w:szCs w:val="24"/>
          <w:lang w:val="hy-AM"/>
        </w:rPr>
        <w:t>:</w:t>
      </w:r>
      <w:r w:rsidR="00803A26" w:rsidRPr="00225519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Pr="00225519">
        <w:rPr>
          <w:rStyle w:val="jlqj4b"/>
          <w:rFonts w:ascii="GHEA Mariam" w:hAnsi="GHEA Mariam"/>
          <w:sz w:val="24"/>
          <w:szCs w:val="24"/>
          <w:lang w:val="hy-AM"/>
        </w:rPr>
        <w:t>Սույն ստանդարտում ներկայացված պահանջները</w:t>
      </w:r>
      <w:r w:rsidR="00E324DB" w:rsidRPr="00225519">
        <w:rPr>
          <w:rStyle w:val="jlqj4b"/>
          <w:rFonts w:ascii="GHEA Mariam" w:hAnsi="GHEA Mariam"/>
          <w:sz w:val="24"/>
          <w:szCs w:val="24"/>
          <w:lang w:val="hy-AM"/>
        </w:rPr>
        <w:t xml:space="preserve"> և</w:t>
      </w:r>
      <w:r w:rsidRPr="00225519">
        <w:rPr>
          <w:rStyle w:val="jlqj4b"/>
          <w:rFonts w:ascii="GHEA Mariam" w:hAnsi="GHEA Mariam"/>
          <w:sz w:val="24"/>
          <w:szCs w:val="24"/>
          <w:lang w:val="hy-AM"/>
        </w:rPr>
        <w:t xml:space="preserve"> լրացուցիչ սկզբունքները ցույց են տալիս </w:t>
      </w:r>
      <w:r w:rsidR="00F1047A" w:rsidRPr="00225519">
        <w:rPr>
          <w:rStyle w:val="jlqj4b"/>
          <w:rFonts w:ascii="GHEA Mariam" w:hAnsi="GHEA Mariam"/>
          <w:sz w:val="24"/>
          <w:szCs w:val="24"/>
          <w:lang w:val="hy-AM"/>
        </w:rPr>
        <w:t xml:space="preserve">Ընդհանուր ստանդարտում ներկայացված պահանջների կիրառումը սույն ստանդարտի շրջանակներում: </w:t>
      </w:r>
    </w:p>
    <w:p w:rsidR="00DE69AB" w:rsidRPr="00225519" w:rsidRDefault="00DE69AB" w:rsidP="006275BC">
      <w:pPr>
        <w:tabs>
          <w:tab w:val="left" w:pos="718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</w:p>
    <w:p w:rsidR="009F5639" w:rsidRPr="00225519" w:rsidRDefault="006E2F55" w:rsidP="0096652F">
      <w:pPr>
        <w:spacing w:after="0" w:line="360" w:lineRule="auto"/>
        <w:ind w:firstLine="284"/>
        <w:jc w:val="center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 w:cs="Sylfaen"/>
          <w:b/>
          <w:sz w:val="24"/>
          <w:szCs w:val="24"/>
          <w:lang w:val="hy-AM"/>
        </w:rPr>
        <w:t xml:space="preserve">II. </w:t>
      </w:r>
      <w:r w:rsidRPr="00225519">
        <w:rPr>
          <w:rFonts w:ascii="GHEA Mariam" w:hAnsi="GHEA Mariam"/>
          <w:b/>
          <w:sz w:val="24"/>
          <w:szCs w:val="24"/>
          <w:lang w:val="hy-AM"/>
        </w:rPr>
        <w:t>ԸՆԴՀԱՆՈՒՐ ԴՐՈՒՅԹՆԵՐ</w:t>
      </w:r>
    </w:p>
    <w:p w:rsidR="002275D2" w:rsidRPr="00225519" w:rsidRDefault="00DE69FF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2.</w:t>
      </w:r>
      <w:r w:rsidR="002275D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D511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Սույն ստանդարտի իմաստով </w:t>
      </w:r>
      <w:r w:rsidR="006E0693" w:rsidRPr="00225519">
        <w:rPr>
          <w:rFonts w:ascii="GHEA Mariam" w:eastAsia="Times New Roman" w:hAnsi="GHEA Mariam" w:cs="Sylfaen"/>
          <w:sz w:val="24"/>
          <w:szCs w:val="24"/>
          <w:lang w:val="hy-AM"/>
        </w:rPr>
        <w:t>գնահատման օբյեկտ է</w:t>
      </w:r>
      <w:r w:rsidR="00A73181" w:rsidRPr="00225519">
        <w:rPr>
          <w:rFonts w:ascii="GHEA Mariam" w:eastAsia="Times New Roman" w:hAnsi="GHEA Mariam" w:cs="Sylfaen"/>
          <w:sz w:val="24"/>
          <w:szCs w:val="24"/>
          <w:lang w:val="hy-AM"/>
        </w:rPr>
        <w:t xml:space="preserve"> համարվում </w:t>
      </w:r>
      <w:r w:rsidR="002275D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ապրանքներ</w:t>
      </w:r>
      <w:r w:rsidR="00A7318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ը</w:t>
      </w:r>
      <w:r w:rsidR="002275D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որոնք </w:t>
      </w:r>
      <w:r w:rsidR="00A7318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պետք է օգտագործվեն </w:t>
      </w:r>
      <w:r w:rsidR="002275D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ապագա արտադրական գործընթացներում (հումք, մասեր, նյութեր), </w:t>
      </w:r>
      <w:r w:rsidR="00A7318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</w:t>
      </w:r>
      <w:r w:rsidR="002275D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րտադրական գործընթացում օգտագործվող ապրանքներ</w:t>
      </w:r>
      <w:r w:rsidR="00294FE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ը</w:t>
      </w:r>
      <w:r w:rsidR="002275D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(անավարտ արտադրություն) եւ ապրանքներ</w:t>
      </w:r>
      <w:r w:rsidR="008B306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ը</w:t>
      </w:r>
      <w:r w:rsidR="002275D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 որոնք սպասում են վաճառքի (պատրաստի արտադրանք):</w:t>
      </w:r>
    </w:p>
    <w:p w:rsidR="00DD7578" w:rsidRPr="00225519" w:rsidRDefault="004D7DEE" w:rsidP="006275BC">
      <w:pPr>
        <w:tabs>
          <w:tab w:val="left" w:pos="718"/>
        </w:tabs>
        <w:spacing w:after="0" w:line="360" w:lineRule="auto"/>
        <w:ind w:right="-1" w:firstLine="284"/>
        <w:jc w:val="both"/>
        <w:rPr>
          <w:rFonts w:ascii="GHEA Mariam" w:hAnsi="GHEA Mariam"/>
          <w:color w:val="0D0D0D" w:themeColor="text1" w:themeTint="F2"/>
          <w:sz w:val="24"/>
          <w:szCs w:val="24"/>
          <w:lang w:val="hy-AM"/>
        </w:rPr>
      </w:pPr>
      <w:r w:rsidRPr="00225519">
        <w:rPr>
          <w:rFonts w:ascii="GHEA Mariam" w:hAnsi="GHEA Mariam"/>
          <w:color w:val="0D0D0D" w:themeColor="text1" w:themeTint="F2"/>
          <w:sz w:val="24"/>
          <w:szCs w:val="24"/>
          <w:lang w:val="hy-AM"/>
        </w:rPr>
        <w:t>3</w:t>
      </w:r>
      <w:r w:rsidR="00DD7578" w:rsidRPr="00225519">
        <w:rPr>
          <w:rFonts w:ascii="GHEA Mariam" w:hAnsi="GHEA Mariam"/>
          <w:color w:val="0D0D0D" w:themeColor="text1" w:themeTint="F2"/>
          <w:sz w:val="24"/>
          <w:szCs w:val="24"/>
          <w:lang w:val="hy-AM"/>
        </w:rPr>
        <w:t xml:space="preserve">. </w:t>
      </w:r>
      <w:r w:rsidR="006577DF" w:rsidRPr="00225519">
        <w:rPr>
          <w:rFonts w:ascii="GHEA Mariam" w:hAnsi="GHEA Mariam"/>
          <w:color w:val="0D0D0D" w:themeColor="text1" w:themeTint="F2"/>
          <w:sz w:val="24"/>
          <w:szCs w:val="24"/>
          <w:lang w:val="hy-AM"/>
        </w:rPr>
        <w:t>Սույն</w:t>
      </w:r>
      <w:r w:rsidR="00DD7578" w:rsidRPr="00225519">
        <w:rPr>
          <w:rFonts w:ascii="GHEA Mariam" w:hAnsi="GHEA Mariam"/>
          <w:color w:val="0D0D0D" w:themeColor="text1" w:themeTint="F2"/>
          <w:sz w:val="24"/>
          <w:szCs w:val="24"/>
          <w:lang w:val="hy-AM"/>
        </w:rPr>
        <w:t xml:space="preserve"> ստանդարտը </w:t>
      </w:r>
      <w:r w:rsidR="00BF4E8B" w:rsidRPr="00225519">
        <w:rPr>
          <w:rFonts w:ascii="GHEA Mariam" w:hAnsi="GHEA Mariam"/>
          <w:color w:val="0D0D0D" w:themeColor="text1" w:themeTint="F2"/>
          <w:sz w:val="24"/>
          <w:szCs w:val="24"/>
          <w:lang w:val="hy-AM"/>
        </w:rPr>
        <w:t>տարածվում</w:t>
      </w:r>
      <w:r w:rsidR="00B71AF3" w:rsidRPr="00225519">
        <w:rPr>
          <w:rFonts w:ascii="GHEA Mariam" w:hAnsi="GHEA Mariam"/>
          <w:color w:val="0D0D0D" w:themeColor="text1" w:themeTint="F2"/>
          <w:sz w:val="24"/>
          <w:szCs w:val="24"/>
          <w:lang w:val="hy-AM"/>
        </w:rPr>
        <w:t xml:space="preserve"> է</w:t>
      </w:r>
      <w:r w:rsidR="00DD7578" w:rsidRPr="00225519">
        <w:rPr>
          <w:rFonts w:ascii="GHEA Mariam" w:hAnsi="GHEA Mariam"/>
          <w:color w:val="0D0D0D" w:themeColor="text1" w:themeTint="F2"/>
          <w:sz w:val="24"/>
          <w:szCs w:val="24"/>
          <w:lang w:val="hy-AM"/>
        </w:rPr>
        <w:t xml:space="preserve"> ֆիզիկական պաշարների գնահատման վրա </w:t>
      </w:r>
      <w:r w:rsidR="00BF4E8B" w:rsidRPr="00225519">
        <w:rPr>
          <w:rStyle w:val="jlqj4b"/>
          <w:rFonts w:ascii="GHEA Mariam" w:hAnsi="GHEA Mariam"/>
          <w:sz w:val="24"/>
          <w:szCs w:val="24"/>
          <w:lang w:val="hy-AM"/>
        </w:rPr>
        <w:t>(այսուհետ՝ Պաշար):</w:t>
      </w:r>
    </w:p>
    <w:p w:rsidR="003D596A" w:rsidRPr="00225519" w:rsidRDefault="0026540D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4</w:t>
      </w:r>
      <w:r w:rsidR="003025A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FC30C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</w:t>
      </w:r>
      <w:r w:rsidR="00EC398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աշար</w:t>
      </w:r>
      <w:r w:rsidR="0067510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ների</w:t>
      </w:r>
      <w:r w:rsidR="003025A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հաշվեկշռային արժեքը ներառում է միայն պատմական </w:t>
      </w:r>
      <w:r w:rsidR="005D6F0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ծախս</w:t>
      </w:r>
      <w:r w:rsidR="00EC398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երը և </w:t>
      </w:r>
      <w:r w:rsidR="003025A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արտադրական գործընթացում ստացված շահույթը, որն արտացոլում է արտադրության մեջ օգտագործ</w:t>
      </w:r>
      <w:bookmarkStart w:id="0" w:name="_GoBack"/>
      <w:bookmarkEnd w:id="0"/>
      <w:r w:rsidR="003025A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վող </w:t>
      </w:r>
      <w:r w:rsidR="00420F6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օբյեկտների</w:t>
      </w:r>
      <w:r w:rsidR="003025A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(ներառյալ շրջանառու միջոցները, հիմնական միջոցները</w:t>
      </w:r>
      <w:r w:rsidR="0011134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0749A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025A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սարքավորումները և ոչ նյութական ակտիվները) շահույթները</w:t>
      </w:r>
      <w:r w:rsidR="00BF4E8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FC30C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BF4E8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որոնք</w:t>
      </w:r>
      <w:r w:rsidR="003025A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չեն կապիտալացվում </w:t>
      </w:r>
      <w:r w:rsidR="0011134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արժեքի </w:t>
      </w:r>
      <w:r w:rsidR="003025A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հաշվեկշռում: Արդյունքում պաշարների շուկայական արժեքը </w:t>
      </w:r>
      <w:r w:rsidR="00215FF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հիմնականում</w:t>
      </w:r>
      <w:r w:rsidR="003025A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տարբերվում է պաշարների հաշվեկշռային արժեքից:</w:t>
      </w:r>
      <w:r w:rsidR="00996E6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</w:p>
    <w:p w:rsidR="00FE6BD3" w:rsidRPr="00225519" w:rsidRDefault="00BF4E8B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lastRenderedPageBreak/>
        <w:t>5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.</w:t>
      </w:r>
      <w:r w:rsidR="00F74A0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Պաշարի գնահատում</w:t>
      </w:r>
      <w:r w:rsidR="00116ED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ը կարող է 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իրականացվ</w:t>
      </w:r>
      <w:r w:rsidR="00116ED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ել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տարբեր նպատակներով։ Գնահատողը </w:t>
      </w:r>
      <w:r w:rsidR="0098423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պետք է </w:t>
      </w:r>
      <w:r w:rsidR="00BC280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հստակեցնի 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գնահատման նպատակը</w:t>
      </w: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1A418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ինչպես նաև </w:t>
      </w:r>
      <w:r w:rsidR="00427B0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896A0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պահուստները առանձին </w:t>
      </w:r>
      <w:r w:rsidR="00A2129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և </w:t>
      </w:r>
      <w:r w:rsidR="00896A0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օբյեկտների հետ միասին </w:t>
      </w:r>
      <w:r w:rsidR="00A2129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գնահատելու</w:t>
      </w:r>
      <w:r w:rsidR="00E7504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77431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հանգամանքը</w:t>
      </w:r>
      <w:r w:rsidR="006515A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</w:p>
    <w:p w:rsidR="003D596A" w:rsidRPr="00225519" w:rsidRDefault="005520E8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>
        <w:rPr>
          <w:rFonts w:ascii="GHEA Mariam" w:hAnsi="GHEA Mariam"/>
          <w:color w:val="000000" w:themeColor="text1"/>
          <w:sz w:val="24"/>
          <w:szCs w:val="24"/>
          <w:lang w:val="en-US"/>
        </w:rPr>
        <w:t xml:space="preserve">6. </w:t>
      </w:r>
      <w:r w:rsidR="00A1730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Հանգամանքները լին</w:t>
      </w:r>
      <w:r w:rsidR="00D1474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ում</w:t>
      </w:r>
      <w:r w:rsidR="00A1730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BF4E8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են.</w:t>
      </w:r>
    </w:p>
    <w:p w:rsidR="003D596A" w:rsidRPr="00225519" w:rsidRDefault="009E5802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Ֆինանսական հաշվետվությունների </w:t>
      </w:r>
      <w:r w:rsidR="00DD590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մշակման</w:t>
      </w:r>
      <w:r w:rsidR="000B14C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համար պաշարների </w:t>
      </w:r>
      <w:r w:rsidR="000B14C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գնահատումը</w:t>
      </w:r>
      <w:r w:rsidR="00DF566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հաճախ </w:t>
      </w:r>
      <w:r w:rsidR="000B14C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պահանջ</w:t>
      </w:r>
      <w:r w:rsidR="00DF566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ում է </w:t>
      </w:r>
      <w:r w:rsidR="000B14C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կատարել վերլուծություններ՝ 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ձեռնարկատիրական գործունեության միավորումների հաշվառման, </w:t>
      </w:r>
      <w:r w:rsidR="008B31E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օբյեկտների 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ձեռքբերման</w:t>
      </w:r>
      <w:r w:rsidR="00DF566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օտարման և արժեզրկման հետ</w:t>
      </w:r>
      <w:r w:rsidR="000B14C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կապված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3D596A" w:rsidRPr="00225519" w:rsidRDefault="009E5802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Հարկային </w:t>
      </w:r>
      <w:r w:rsidR="00C3314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հաշվետվություններ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C3314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կազմելու</w:t>
      </w:r>
      <w:r w:rsidR="00DD590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համար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283C1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պաշարների 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գնահատումը հաճախ </w:t>
      </w:r>
      <w:r w:rsidR="00C3314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պահանջվ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ում է տրանսֆերային գների վերլուծության, գույքի հարկի պլանավորման և հաշվետվությունների, ինչպես նաև արժեքային հարկի</w:t>
      </w:r>
      <w:r w:rsidR="00283C1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չափի 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վերլուծության համար:</w:t>
      </w:r>
      <w:r w:rsidR="00071F5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</w:p>
    <w:p w:rsidR="003D596A" w:rsidRPr="00225519" w:rsidRDefault="009E5802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Պաշարների գնահատումը կարող է </w:t>
      </w:r>
      <w:r w:rsidR="00A77BB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դատական գործընթացի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առարկա </w:t>
      </w:r>
      <w:r w:rsidR="00A77BB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հանդիսանա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լ՝ </w:t>
      </w:r>
      <w:r w:rsidR="00A77BB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որոշակի հանգամանքներում գնահատման վերլուծություն պահանջելով:</w:t>
      </w:r>
    </w:p>
    <w:p w:rsidR="003D596A" w:rsidRPr="00225519" w:rsidRDefault="009E5802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4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Գնահատողից </w:t>
      </w:r>
      <w:r w:rsidR="0063123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կարող է պահանջվել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գնահատել </w:t>
      </w:r>
      <w:r w:rsidR="00E67FA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Պաշարը</w:t>
      </w:r>
      <w:r w:rsidR="0020310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որպես ընդհանուր խորհրդատվության, գրավի տրամադրման, գործարքների աջակցության պարտավորությունների և անվճարունակության մաս:</w:t>
      </w:r>
    </w:p>
    <w:p w:rsidR="006A04CB" w:rsidRPr="00225519" w:rsidRDefault="006A04CB" w:rsidP="006275BC">
      <w:pPr>
        <w:spacing w:after="0" w:line="360" w:lineRule="auto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</w:p>
    <w:p w:rsidR="002275D2" w:rsidRPr="00225519" w:rsidRDefault="00B00A32" w:rsidP="00CD565A">
      <w:pPr>
        <w:tabs>
          <w:tab w:val="left" w:pos="0"/>
          <w:tab w:val="left" w:pos="890"/>
        </w:tabs>
        <w:spacing w:after="0" w:line="360" w:lineRule="auto"/>
        <w:ind w:right="4" w:firstLine="284"/>
        <w:jc w:val="center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 w:cs="Arial"/>
          <w:b/>
          <w:sz w:val="24"/>
          <w:szCs w:val="24"/>
          <w:lang w:val="hy-AM"/>
        </w:rPr>
        <w:t>I</w:t>
      </w:r>
      <w:r w:rsidR="00072A01" w:rsidRPr="00225519">
        <w:rPr>
          <w:rFonts w:ascii="GHEA Mariam" w:hAnsi="GHEA Mariam" w:cs="Arial"/>
          <w:b/>
          <w:sz w:val="24"/>
          <w:szCs w:val="24"/>
          <w:lang w:val="hy-AM"/>
        </w:rPr>
        <w:t>II</w:t>
      </w:r>
      <w:r w:rsidRPr="00225519">
        <w:rPr>
          <w:rFonts w:ascii="GHEA Mariam" w:hAnsi="GHEA Mariam" w:cs="Arial"/>
          <w:b/>
          <w:sz w:val="24"/>
          <w:szCs w:val="24"/>
          <w:lang w:val="hy-AM"/>
        </w:rPr>
        <w:t xml:space="preserve">. </w:t>
      </w:r>
      <w:r w:rsidR="004D6B57" w:rsidRPr="00225519">
        <w:rPr>
          <w:rFonts w:ascii="GHEA Mariam" w:hAnsi="GHEA Mariam" w:cs="Arial"/>
          <w:b/>
          <w:sz w:val="24"/>
          <w:szCs w:val="24"/>
          <w:lang w:val="hy-AM"/>
        </w:rPr>
        <w:t>ԳՆԱՀԱՏՄԱՆ ԱՐԺԵՔԻ ՏԵՍԱԿՆԵՐԸ</w:t>
      </w:r>
    </w:p>
    <w:p w:rsidR="00647167" w:rsidRPr="00225519" w:rsidRDefault="00CD565A" w:rsidP="006275BC">
      <w:pPr>
        <w:tabs>
          <w:tab w:val="left" w:pos="0"/>
          <w:tab w:val="left" w:pos="890"/>
        </w:tabs>
        <w:spacing w:after="0" w:line="360" w:lineRule="auto"/>
        <w:ind w:right="4" w:firstLine="284"/>
        <w:jc w:val="both"/>
        <w:rPr>
          <w:rFonts w:ascii="GHEA Mariam" w:hAnsi="GHEA Mariam" w:cs="Arial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lang w:val="en-US"/>
        </w:rPr>
        <w:t>7</w:t>
      </w:r>
      <w:r w:rsidR="00647167" w:rsidRPr="00225519">
        <w:rPr>
          <w:rFonts w:ascii="GHEA Mariam" w:hAnsi="GHEA Mariam" w:cs="Arial"/>
          <w:sz w:val="24"/>
          <w:szCs w:val="24"/>
          <w:lang w:val="hy-AM"/>
        </w:rPr>
        <w:t xml:space="preserve">. Ընդհանուր ստանդարտի </w:t>
      </w:r>
      <w:r w:rsidR="00647167" w:rsidRPr="00225519">
        <w:rPr>
          <w:rFonts w:ascii="GHEA Mariam" w:hAnsi="GHEA Mariam"/>
          <w:sz w:val="24"/>
          <w:szCs w:val="24"/>
          <w:lang w:val="hy-AM"/>
        </w:rPr>
        <w:t>IV գլխում</w:t>
      </w:r>
      <w:r w:rsidR="00647167" w:rsidRPr="00225519">
        <w:rPr>
          <w:rFonts w:ascii="GHEA Mariam" w:hAnsi="GHEA Mariam" w:cs="Arial"/>
          <w:sz w:val="24"/>
          <w:szCs w:val="24"/>
          <w:lang w:val="hy-AM"/>
        </w:rPr>
        <w:t xml:space="preserve"> («Գնահատման արժեքի տեսակները») </w:t>
      </w:r>
      <w:r w:rsidR="00BF4E8B" w:rsidRPr="00225519">
        <w:rPr>
          <w:rFonts w:ascii="GHEA Mariam" w:hAnsi="GHEA Mariam" w:cs="Arial"/>
          <w:sz w:val="24"/>
          <w:szCs w:val="24"/>
          <w:lang w:val="hy-AM"/>
        </w:rPr>
        <w:t>սահմանված</w:t>
      </w:r>
      <w:r w:rsidR="00127862" w:rsidRPr="00225519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647167" w:rsidRPr="00225519">
        <w:rPr>
          <w:rFonts w:ascii="GHEA Mariam" w:hAnsi="GHEA Mariam" w:cs="Arial"/>
          <w:sz w:val="24"/>
          <w:szCs w:val="24"/>
          <w:lang w:val="hy-AM"/>
        </w:rPr>
        <w:t xml:space="preserve">դրույթներին համաձայն, </w:t>
      </w:r>
      <w:r w:rsidR="00BF4E8B" w:rsidRPr="00225519">
        <w:rPr>
          <w:rStyle w:val="jlqj4b"/>
          <w:rFonts w:ascii="GHEA Mariam" w:hAnsi="GHEA Mariam"/>
          <w:sz w:val="24"/>
          <w:szCs w:val="24"/>
          <w:lang w:val="hy-AM"/>
        </w:rPr>
        <w:t>Պաշարների</w:t>
      </w:r>
      <w:r w:rsidR="00127862" w:rsidRPr="00225519">
        <w:rPr>
          <w:rStyle w:val="jlqj4b"/>
          <w:rFonts w:ascii="GHEA Mariam" w:hAnsi="GHEA Mariam"/>
          <w:sz w:val="24"/>
          <w:szCs w:val="24"/>
          <w:lang w:val="hy-AM"/>
        </w:rPr>
        <w:t xml:space="preserve"> գնահատման </w:t>
      </w:r>
      <w:r w:rsidR="00647167" w:rsidRPr="00225519">
        <w:rPr>
          <w:rFonts w:ascii="GHEA Mariam" w:hAnsi="GHEA Mariam" w:cs="Arial"/>
          <w:sz w:val="24"/>
          <w:szCs w:val="24"/>
          <w:lang w:val="hy-AM"/>
        </w:rPr>
        <w:t>ժամանակ գնահատողը պետք է ընտրի համապատասխան գնահատման արժեքի տեսակը:</w:t>
      </w:r>
    </w:p>
    <w:p w:rsidR="003D596A" w:rsidRPr="00225519" w:rsidRDefault="00855497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>
        <w:rPr>
          <w:rFonts w:ascii="GHEA Mariam" w:hAnsi="GHEA Mariam"/>
          <w:color w:val="000000" w:themeColor="text1"/>
          <w:sz w:val="24"/>
          <w:szCs w:val="24"/>
          <w:lang w:val="en-US"/>
        </w:rPr>
        <w:t>8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89042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Պաշարների գնահատման ժամանակ </w:t>
      </w:r>
      <w:r w:rsidR="009B564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Ընդհանուր ստանդարտի </w:t>
      </w:r>
      <w:r w:rsidR="00406D0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IV գլխում սահմանված դրույթներից բացի 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գնահատողը պետք է </w:t>
      </w:r>
      <w:r w:rsidR="0089042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առաջնորդվի </w:t>
      </w:r>
      <w:r w:rsidR="00406D0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նաև </w:t>
      </w:r>
      <w:r w:rsidR="0089042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ՀՀ նորմատիվ իրավական ակտերով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նախադեպային </w:t>
      </w:r>
      <w:r w:rsidR="00406D0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որոշումներ</w:t>
      </w:r>
      <w:r w:rsidR="0089042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ով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և այլ </w:t>
      </w:r>
      <w:r w:rsidR="0089042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միջազգային պայմանագրերով</w:t>
      </w:r>
      <w:r w:rsidR="00676D1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՝ 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հղում </w:t>
      </w:r>
      <w:r w:rsidR="00676D1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կատարելով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676D1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արժեքի </w:t>
      </w:r>
      <w:r w:rsidR="0016474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տեսակներին</w:t>
      </w:r>
      <w:r w:rsidR="00676D1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D5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գնահատման ամսաթվի դրությամբ:</w:t>
      </w:r>
    </w:p>
    <w:p w:rsidR="002275D2" w:rsidRPr="00225519" w:rsidRDefault="002275D2" w:rsidP="006275BC">
      <w:pPr>
        <w:spacing w:after="0" w:line="360" w:lineRule="auto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</w:p>
    <w:p w:rsidR="002275D2" w:rsidRPr="00225519" w:rsidRDefault="00E60883" w:rsidP="00855497">
      <w:pPr>
        <w:spacing w:after="0" w:line="360" w:lineRule="auto"/>
        <w:ind w:firstLine="284"/>
        <w:jc w:val="center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 w:cs="Arial"/>
          <w:b/>
          <w:sz w:val="24"/>
          <w:szCs w:val="24"/>
          <w:lang w:val="hy-AM"/>
        </w:rPr>
        <w:lastRenderedPageBreak/>
        <w:t>I</w:t>
      </w:r>
      <w:r w:rsidR="00B00A32" w:rsidRPr="00225519">
        <w:rPr>
          <w:rFonts w:ascii="GHEA Mariam" w:hAnsi="GHEA Mariam" w:cs="Sylfaen"/>
          <w:b/>
          <w:sz w:val="24"/>
          <w:szCs w:val="24"/>
          <w:lang w:val="hy-AM"/>
        </w:rPr>
        <w:t xml:space="preserve">V. </w:t>
      </w:r>
      <w:r w:rsidR="004F6BC6" w:rsidRPr="00225519">
        <w:rPr>
          <w:rFonts w:ascii="GHEA Mariam" w:hAnsi="GHEA Mariam" w:cs="Sylfaen"/>
          <w:b/>
          <w:sz w:val="24"/>
          <w:szCs w:val="24"/>
          <w:lang w:val="hy-AM"/>
        </w:rPr>
        <w:t>ԳՆԱՀԱՏՄԱՆ ՄՈՏԵՑՈՒՄՆԵՐԻ ԿԻՐԱՌՈՒՄԸ</w:t>
      </w:r>
    </w:p>
    <w:p w:rsidR="007C7737" w:rsidRPr="00225519" w:rsidRDefault="00855497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>
        <w:rPr>
          <w:rFonts w:ascii="GHEA Mariam" w:hAnsi="GHEA Mariam"/>
          <w:color w:val="000000" w:themeColor="text1"/>
          <w:sz w:val="24"/>
          <w:szCs w:val="24"/>
          <w:lang w:val="en-US"/>
        </w:rPr>
        <w:t>9</w:t>
      </w:r>
      <w:r w:rsidR="008C3DC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690A3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Ընդհանուր ստանդարտի </w:t>
      </w:r>
      <w:r w:rsidR="00690A39" w:rsidRPr="00225519">
        <w:rPr>
          <w:rFonts w:ascii="GHEA Mariam" w:hAnsi="GHEA Mariam"/>
          <w:sz w:val="24"/>
          <w:szCs w:val="24"/>
          <w:lang w:val="hy-AM"/>
        </w:rPr>
        <w:t>Vl</w:t>
      </w:r>
      <w:r w:rsidR="008C3DC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690A3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գլխում </w:t>
      </w:r>
      <w:r w:rsidR="0008706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սահմանված 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գնահատման </w:t>
      </w:r>
      <w:r w:rsidR="008C3DC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երեք 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մոտեցումները </w:t>
      </w:r>
      <w:r w:rsidR="00880D7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պետք է 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կիրառվե</w:t>
      </w:r>
      <w:r w:rsidR="00880D7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8C3DC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պաշարների 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գնահատման </w:t>
      </w:r>
      <w:r w:rsidR="005509F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ժամանակ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Ստորև նկարագրված մեթոդները միաժամանակ ցույց են տալիս </w:t>
      </w:r>
      <w:r w:rsidR="004A5D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համեմատական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</w:t>
      </w:r>
      <w:r w:rsidR="008C3DC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եկամտային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4A5D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և ծախսային 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մոտեցումների </w:t>
      </w:r>
      <w:r w:rsidR="00770C6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կիրառումը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 Եթե</w:t>
      </w:r>
      <w:r w:rsidR="007A67D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անհրաժեշտ է </w:t>
      </w:r>
      <w:r w:rsidR="003B79F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գնահատումն իրականացնել 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երեք մոտեցումներից</w:t>
      </w:r>
      <w:r w:rsidR="003B79F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որևէ 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մեկի </w:t>
      </w:r>
      <w:r w:rsidR="003B79F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սահմանված մեթոդով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</w:t>
      </w:r>
      <w:r w:rsidR="003B79F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ապա 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գնահատողը պետք է </w:t>
      </w:r>
      <w:r w:rsidR="007C773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հիմնավորի </w:t>
      </w:r>
      <w:r w:rsidR="009B212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կայաց</w:t>
      </w:r>
      <w:r w:rsidR="007C773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րած որոշումը</w:t>
      </w:r>
      <w:r w:rsidR="001E11D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Ընդհանուր ստանդարտի </w:t>
      </w:r>
      <w:r w:rsidR="00D075C5">
        <w:rPr>
          <w:rFonts w:ascii="GHEA Mariam" w:hAnsi="GHEA Mariam"/>
          <w:color w:val="000000" w:themeColor="text1"/>
          <w:sz w:val="24"/>
          <w:szCs w:val="24"/>
          <w:lang w:val="en-US"/>
        </w:rPr>
        <w:t>42</w:t>
      </w:r>
      <w:r w:rsidR="001E11D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-րդ կետի 1-ին ենթակետի դ. պարբերության պահանջի համաձայն</w:t>
      </w:r>
      <w:r w:rsidR="00606ED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CD77D4" w:rsidRPr="00225519" w:rsidRDefault="005C19CC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>
        <w:rPr>
          <w:rFonts w:ascii="GHEA Mariam" w:hAnsi="GHEA Mariam"/>
          <w:color w:val="000000" w:themeColor="text1"/>
          <w:sz w:val="24"/>
          <w:szCs w:val="24"/>
          <w:lang w:val="en-US"/>
        </w:rPr>
        <w:t>10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Մոտեցման և մեթոդի ընտրության ժամանակ, բացի սույն ստանդարտի պահանջներից, գնահատողը պետք է </w:t>
      </w:r>
      <w:r w:rsidR="00F1733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առաջնորդվի </w:t>
      </w:r>
      <w:r w:rsidR="00880D7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Ընդհանուր ստանդարտի VI գլխի </w:t>
      </w:r>
      <w:r w:rsidR="004F5799">
        <w:rPr>
          <w:rFonts w:ascii="GHEA Mariam" w:hAnsi="GHEA Mariam"/>
          <w:color w:val="000000" w:themeColor="text1"/>
          <w:sz w:val="24"/>
          <w:szCs w:val="24"/>
          <w:lang w:val="en-US"/>
        </w:rPr>
        <w:t>32</w:t>
      </w:r>
      <w:r w:rsidR="006437F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-րդ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կետ</w:t>
      </w:r>
      <w:r w:rsidR="00880D7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ի 2-րդ ենթակետ</w:t>
      </w:r>
      <w:r w:rsidR="00AF464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ի պահանջներով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CD77D4" w:rsidRPr="00225519" w:rsidRDefault="00BC3677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5C19CC">
        <w:rPr>
          <w:rFonts w:ascii="GHEA Mariam" w:hAnsi="GHEA Mariam"/>
          <w:color w:val="000000" w:themeColor="text1"/>
          <w:sz w:val="24"/>
          <w:szCs w:val="24"/>
          <w:lang w:val="en-US"/>
        </w:rPr>
        <w:t>1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E95F8B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Համեմատական մոտեցում.</w:t>
      </w:r>
      <w:r w:rsidR="00E95F8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F558B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Համեմատական </w:t>
      </w:r>
      <w:r w:rsidR="00A9457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մոտեցումը, որը </w:t>
      </w:r>
      <w:r w:rsidR="007A759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կապված է</w:t>
      </w:r>
      <w:r w:rsidR="0092575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925751" w:rsidRPr="00225519">
        <w:rPr>
          <w:rFonts w:ascii="GHEA Mariam" w:hAnsi="GHEA Mariam"/>
          <w:color w:val="0D0D0D" w:themeColor="text1" w:themeTint="F2"/>
          <w:sz w:val="24"/>
          <w:szCs w:val="24"/>
          <w:lang w:val="hy-AM"/>
        </w:rPr>
        <w:t xml:space="preserve">համադրելի </w:t>
      </w:r>
      <w:r w:rsidR="00A94576" w:rsidRPr="00225519">
        <w:rPr>
          <w:rFonts w:ascii="GHEA Mariam" w:hAnsi="GHEA Mariam"/>
          <w:color w:val="0D0D0D" w:themeColor="text1" w:themeTint="F2"/>
          <w:sz w:val="24"/>
          <w:szCs w:val="24"/>
          <w:lang w:val="hy-AM"/>
        </w:rPr>
        <w:t xml:space="preserve">կամ </w:t>
      </w:r>
      <w:r w:rsidR="00925751" w:rsidRPr="00225519">
        <w:rPr>
          <w:rFonts w:ascii="GHEA Mariam" w:hAnsi="GHEA Mariam"/>
          <w:color w:val="0D0D0D" w:themeColor="text1" w:themeTint="F2"/>
          <w:sz w:val="24"/>
          <w:szCs w:val="24"/>
          <w:lang w:val="hy-AM"/>
        </w:rPr>
        <w:t xml:space="preserve">համանման </w:t>
      </w:r>
      <w:r w:rsidR="00A9457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ապրանքներ</w:t>
      </w:r>
      <w:r w:rsidR="006C35F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ի հետ</w:t>
      </w:r>
      <w:r w:rsidR="00A9457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ունի միայն </w:t>
      </w:r>
      <w:r w:rsidR="00BB00A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նեղ 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կիրառություն պաշարների գնահատման </w:t>
      </w:r>
      <w:r w:rsidR="005509F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ժամանակ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Նման կիրառությունները </w:t>
      </w:r>
      <w:r w:rsidR="006D738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հիմնականում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ներառում են</w:t>
      </w:r>
      <w:r w:rsidR="00B9562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F3221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ապրանքային արտադրանքի պաշարներ </w:t>
      </w:r>
      <w:r w:rsidR="00B9562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66657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կամ </w:t>
      </w:r>
      <w:r w:rsidR="00A806A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պաշարներ</w:t>
      </w:r>
      <w:r w:rsidR="00F3221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որտեղ </w:t>
      </w:r>
      <w:r w:rsidR="00A806A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առկա է պաշարների շուկա 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արտադրական գործընթացի</w:t>
      </w:r>
      <w:r w:rsidR="00B9562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միջանկյալ փուլում: Ոչ առևտրային ապրանքների կամ </w:t>
      </w:r>
      <w:r w:rsidR="00AA025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այն ապրանքների համար, 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որոնց համար շուկան գոյություն ունի արտադրության միջանկյալ փուլում, նման </w:t>
      </w:r>
      <w:r w:rsidR="00AA025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բացթողնման 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գները պետք է ճշգրտվեն </w:t>
      </w:r>
      <w:r w:rsidR="00AA025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նվազեցման ուղղությամբ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՝ հաշվի առնելով շուկայավարման </w:t>
      </w:r>
      <w:r w:rsidR="00AA025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ծախսերը </w:t>
      </w:r>
      <w:r w:rsidR="00CD77D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և հարակից շահույթը։</w:t>
      </w:r>
    </w:p>
    <w:p w:rsidR="00585A23" w:rsidRPr="00225519" w:rsidRDefault="002B1FE9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E36D07">
        <w:rPr>
          <w:rFonts w:ascii="GHEA Mariam" w:hAnsi="GHEA Mariam"/>
          <w:color w:val="000000" w:themeColor="text1"/>
          <w:sz w:val="24"/>
          <w:szCs w:val="24"/>
          <w:lang w:val="en-US"/>
        </w:rPr>
        <w:t>2</w:t>
      </w:r>
      <w:r w:rsidR="005D71D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7D72E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</w:t>
      </w:r>
      <w:r w:rsidR="00AF728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աշարների գնահատման </w:t>
      </w:r>
      <w:r w:rsidR="005E68B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համար</w:t>
      </w:r>
      <w:r w:rsidR="00AF728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DD787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համեմատական </w:t>
      </w:r>
      <w:r w:rsidR="00AF728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մոտեցման կիրառ</w:t>
      </w:r>
      <w:r w:rsidR="00561B2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ման</w:t>
      </w:r>
      <w:r w:rsidR="00AF728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նպատակահարմարությունը որոշելիս գ</w:t>
      </w:r>
      <w:r w:rsidR="005D71D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նահատողը պետք է հետև</w:t>
      </w:r>
      <w:r w:rsidR="00561B2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ի Ընդհանուր ստանդարտի </w:t>
      </w:r>
      <w:r w:rsidR="00F60A37">
        <w:rPr>
          <w:rFonts w:ascii="GHEA Mariam" w:hAnsi="GHEA Mariam"/>
          <w:color w:val="000000" w:themeColor="text1"/>
          <w:sz w:val="24"/>
          <w:szCs w:val="24"/>
          <w:lang w:val="en-US"/>
        </w:rPr>
        <w:t>3</w:t>
      </w:r>
      <w:r w:rsidR="003F2734">
        <w:rPr>
          <w:rFonts w:ascii="GHEA Mariam" w:hAnsi="GHEA Mariam"/>
          <w:color w:val="000000" w:themeColor="text1"/>
          <w:sz w:val="24"/>
          <w:szCs w:val="24"/>
          <w:lang w:val="en-US"/>
        </w:rPr>
        <w:t>3</w:t>
      </w:r>
      <w:r w:rsidR="00BB707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-րդ կետի 2-րդ և 3-րդ ենթակետերով սահմանված պահանջ</w:t>
      </w:r>
      <w:r w:rsidR="00A131E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</w:t>
      </w:r>
      <w:r w:rsidR="00BB707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երին</w:t>
      </w:r>
      <w:r w:rsidR="005D71D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</w:p>
    <w:p w:rsidR="005D71DC" w:rsidRPr="00225519" w:rsidRDefault="00585A23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B80428">
        <w:rPr>
          <w:rFonts w:ascii="GHEA Mariam" w:hAnsi="GHEA Mariam"/>
          <w:color w:val="000000" w:themeColor="text1"/>
          <w:sz w:val="24"/>
          <w:szCs w:val="24"/>
          <w:lang w:val="en-US"/>
        </w:rPr>
        <w:t>3</w:t>
      </w: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Պաշարների գնահատման համար </w:t>
      </w:r>
      <w:r w:rsidR="00CA78C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համեմատական</w:t>
      </w:r>
      <w:r w:rsidR="005D71D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D19B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մոտեցում</w:t>
      </w: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ը պետք է կիրառվի</w:t>
      </w:r>
      <w:r w:rsidR="00CF141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հետևյալ դեպքերում</w:t>
      </w:r>
      <w:r w:rsidR="00FD139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F22755" w:rsidRPr="00225519" w:rsidRDefault="00C07E73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95422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11644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առկա է </w:t>
      </w:r>
      <w:r w:rsidR="0095422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գնահատման </w:t>
      </w:r>
      <w:r w:rsidR="0011644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կամ դրան մոտ </w:t>
      </w:r>
      <w:r w:rsidR="0095422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ամսաթվի </w:t>
      </w:r>
      <w:r w:rsidR="0011644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դրությամբ </w:t>
      </w:r>
      <w:r w:rsidR="002572FE" w:rsidRPr="00225519">
        <w:rPr>
          <w:rFonts w:ascii="GHEA Mariam" w:hAnsi="GHEA Mariam"/>
          <w:color w:val="0D0D0D" w:themeColor="text1" w:themeTint="F2"/>
          <w:sz w:val="24"/>
          <w:szCs w:val="24"/>
          <w:lang w:val="hy-AM"/>
        </w:rPr>
        <w:t xml:space="preserve">համադրելի կամ համանման </w:t>
      </w:r>
      <w:r w:rsidR="0095422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պաշարնե</w:t>
      </w:r>
      <w:r w:rsidR="002572F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ր</w:t>
      </w:r>
      <w:r w:rsidR="0011644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ի</w:t>
      </w:r>
      <w:r w:rsidR="0095422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2572F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գործարքների </w:t>
      </w:r>
      <w:r w:rsidR="0011644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վերաբերյալ </w:t>
      </w:r>
      <w:r w:rsidR="0095422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տեղեկություն, </w:t>
      </w:r>
    </w:p>
    <w:p w:rsidR="002215F4" w:rsidRPr="00225519" w:rsidRDefault="00C07E73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lastRenderedPageBreak/>
        <w:t>2</w:t>
      </w:r>
      <w:r w:rsidR="00F2275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առկա է բավարար տեղեկատվություն, որը թույլ կտա գնահատողին </w:t>
      </w:r>
      <w:r w:rsidR="0041042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ճշգրտել </w:t>
      </w:r>
      <w:r w:rsidR="00F7076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գնահատվող պաշարների</w:t>
      </w:r>
      <w:r w:rsidR="00F2275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և գործարքներում </w:t>
      </w:r>
      <w:r w:rsidR="0041042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ներգրավված </w:t>
      </w:r>
      <w:r w:rsidR="0037509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համեմատվող </w:t>
      </w:r>
      <w:r w:rsidR="00F7076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պաշարների </w:t>
      </w:r>
      <w:r w:rsidR="00F2275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միջև եղած բոլոր էական տարբերությունները:</w:t>
      </w:r>
    </w:p>
    <w:p w:rsidR="004100EC" w:rsidRPr="00225519" w:rsidRDefault="002B1FE9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B80428">
        <w:rPr>
          <w:rFonts w:ascii="GHEA Mariam" w:hAnsi="GHEA Mariam"/>
          <w:color w:val="000000" w:themeColor="text1"/>
          <w:sz w:val="24"/>
          <w:szCs w:val="24"/>
          <w:lang w:val="en-US"/>
        </w:rPr>
        <w:t>4</w:t>
      </w:r>
      <w:r w:rsidR="0037509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Եթե </w:t>
      </w:r>
      <w:r w:rsidR="00375096" w:rsidRPr="00225519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​​</w:t>
      </w:r>
      <w:r w:rsidR="0037509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առկա են շուկայական գների տվյալներ, գնահատողը պետք է ճշգր</w:t>
      </w:r>
      <w:r w:rsidR="00CB7F1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տի</w:t>
      </w:r>
      <w:r w:rsidR="0037509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դրանք՝ արտացոլելու գնահատվող </w:t>
      </w:r>
      <w:r w:rsidR="007D1CE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պաշարների</w:t>
      </w:r>
      <w:r w:rsidR="0037509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և գործարքներում ներգրավված </w:t>
      </w:r>
      <w:r w:rsidR="007D1CE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համեմատվող պաշարների</w:t>
      </w:r>
      <w:r w:rsidR="0037509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միջև եղած տարբերությունը</w:t>
      </w:r>
      <w:r w:rsidR="00CD03F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="005E776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Ճ</w:t>
      </w:r>
      <w:r w:rsidR="0059390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գրտումներ</w:t>
      </w:r>
      <w:r w:rsidR="005E776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</w:t>
      </w:r>
      <w:r w:rsidR="0059390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անհրաժեշտ են պաշարների առարկայ</w:t>
      </w:r>
      <w:r w:rsidR="005E776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ական</w:t>
      </w:r>
      <w:r w:rsidR="0059390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տարբերակիչ առանձնահատկությունների արտացոլման և գործողություններին մասնակցող անձանց համար: </w:t>
      </w:r>
      <w:r w:rsidR="0037509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Նման ճշգրտումները </w:t>
      </w:r>
      <w:r w:rsidR="005455B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սահմանվ</w:t>
      </w:r>
      <w:r w:rsidR="000F005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ում են </w:t>
      </w:r>
      <w:r w:rsidR="0037509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միայն որակական, </w:t>
      </w:r>
      <w:r w:rsidR="00602D1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այլ </w:t>
      </w:r>
      <w:r w:rsidR="0037509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ոչ թե քանակական </w:t>
      </w:r>
      <w:r w:rsidR="001C4C0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գործոնների </w:t>
      </w:r>
      <w:r w:rsidR="005A644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նկատմամբ</w:t>
      </w:r>
      <w:r w:rsidR="0037509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</w:p>
    <w:p w:rsidR="00AA4B4B" w:rsidRPr="00225519" w:rsidRDefault="00C373EB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9C2051">
        <w:rPr>
          <w:rFonts w:ascii="GHEA Mariam" w:hAnsi="GHEA Mariam"/>
          <w:color w:val="000000" w:themeColor="text1"/>
          <w:sz w:val="24"/>
          <w:szCs w:val="24"/>
          <w:lang w:val="en-US"/>
        </w:rPr>
        <w:t>5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.</w:t>
      </w:r>
      <w:r w:rsidR="00AA4B4B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b/>
          <w:color w:val="000000" w:themeColor="text1"/>
          <w:sz w:val="24"/>
          <w:szCs w:val="24"/>
          <w:lang w:val="hy-AM"/>
        </w:rPr>
        <w:t>Եկամտային</w:t>
      </w:r>
      <w:r w:rsidR="00AA4B4B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b/>
          <w:color w:val="000000" w:themeColor="text1"/>
          <w:sz w:val="24"/>
          <w:szCs w:val="24"/>
          <w:lang w:val="hy-AM"/>
        </w:rPr>
        <w:t>մոտեցում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284C4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պաշարների</w:t>
      </w:r>
      <w:r w:rsidR="00284C4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284C4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գնահատման ժամանակ</w:t>
      </w:r>
      <w:r w:rsidR="00284C4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284C4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եկամտային</w:t>
      </w:r>
      <w:r w:rsidR="00284C4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284C4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մոտեցման</w:t>
      </w:r>
      <w:r w:rsidR="00284C4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կ</w:t>
      </w:r>
      <w:r w:rsidR="00EE79A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իրառ</w:t>
      </w:r>
      <w:r w:rsidR="00284C4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ումը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պահանջում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է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գնահատման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ամսաթվից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առաջ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կատարված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շահույթի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արժեքի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բաշխում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գնահատման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ամսաթվից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հետո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կատարված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շահույթի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արժեքի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համեմատ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AA4B4B" w:rsidRPr="00225519" w:rsidRDefault="007E40C1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9C2051">
        <w:rPr>
          <w:rFonts w:ascii="GHEA Mariam" w:hAnsi="GHEA Mariam"/>
          <w:color w:val="000000" w:themeColor="text1"/>
          <w:sz w:val="24"/>
          <w:szCs w:val="24"/>
          <w:lang w:val="en-US"/>
        </w:rPr>
        <w:t>6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BA05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Պաշարների գնահատման համար </w:t>
      </w:r>
      <w:r w:rsidR="003A6F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եկամտային</w:t>
      </w:r>
      <w:r w:rsidR="00BA05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մոտեցման կիրառման նպատակահարմարությունը որոշելիս գնահատողը պետք է հետևի Ընդհանուր ստանդարտի </w:t>
      </w:r>
      <w:r w:rsidR="00F60A37">
        <w:rPr>
          <w:rFonts w:ascii="GHEA Mariam" w:hAnsi="GHEA Mariam"/>
          <w:color w:val="000000" w:themeColor="text1"/>
          <w:sz w:val="24"/>
          <w:szCs w:val="24"/>
          <w:lang w:val="en-US"/>
        </w:rPr>
        <w:t>35</w:t>
      </w:r>
      <w:r w:rsidR="00BA05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-րդ կետի 2-րդ և 3-րդ ենթակետերով սահմանված պահանջներին</w:t>
      </w:r>
      <w:r w:rsidR="00D45F1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AA4B4B" w:rsidRPr="00225519" w:rsidRDefault="00180009" w:rsidP="006275BC">
      <w:pPr>
        <w:spacing w:after="0" w:line="360" w:lineRule="auto"/>
        <w:ind w:firstLine="284"/>
        <w:jc w:val="both"/>
        <w:rPr>
          <w:rFonts w:ascii="GHEA Mariam" w:hAnsi="GHEA Mariam"/>
          <w:b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D55526">
        <w:rPr>
          <w:rFonts w:ascii="GHEA Mariam" w:hAnsi="GHEA Mariam"/>
          <w:color w:val="000000" w:themeColor="text1"/>
          <w:sz w:val="24"/>
          <w:szCs w:val="24"/>
          <w:lang w:val="en-US"/>
        </w:rPr>
        <w:t>7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9B251A" w:rsidRPr="00225519">
        <w:rPr>
          <w:rFonts w:ascii="GHEA Mariam" w:hAnsi="GHEA Mariam" w:cs="Sylfaen"/>
          <w:b/>
          <w:color w:val="000000" w:themeColor="text1"/>
          <w:sz w:val="24"/>
          <w:szCs w:val="24"/>
          <w:lang w:val="hy-AM"/>
        </w:rPr>
        <w:t>Նվազման մեթոդ</w:t>
      </w:r>
      <w:r w:rsidR="009B251A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. </w:t>
      </w:r>
      <w:r w:rsidR="00622580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Նվազման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մեթոդը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մնացորդային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մեթոդ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է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որը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սկսվում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է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վաճառքի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ենթադրյալ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գնից</w:t>
      </w:r>
      <w:r w:rsidR="00CD41E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</w:t>
      </w:r>
      <w:r w:rsidR="00CD41E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նվազեցնելով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F84C76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նացած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F84C76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ծախսերն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F84C76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ու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ակնկալվող</w:t>
      </w:r>
      <w:r w:rsidR="00CD41E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շահույթը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AA4B4B" w:rsidRPr="00225519" w:rsidRDefault="00CA78C8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D55526">
        <w:rPr>
          <w:rFonts w:ascii="GHEA Mariam" w:hAnsi="GHEA Mariam"/>
          <w:color w:val="000000" w:themeColor="text1"/>
          <w:sz w:val="24"/>
          <w:szCs w:val="24"/>
          <w:lang w:val="en-US"/>
        </w:rPr>
        <w:t>8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DA3D4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Նվազման մեթոդ</w:t>
      </w:r>
      <w:r w:rsidR="00174B5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ը</w:t>
      </w:r>
      <w:r w:rsidR="00DA3D4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կիրառվում է հետևյալ հաջորդականությամբ.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.</w:t>
      </w:r>
    </w:p>
    <w:p w:rsidR="00380F71" w:rsidRPr="00225519" w:rsidRDefault="00380F71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1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96160D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Վաճառքի </w:t>
      </w:r>
      <w:r w:rsidR="00CA78C8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ենթադրյալ </w:t>
      </w:r>
      <w:r w:rsidR="0096160D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գնի գնահատում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96160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Տ</w:t>
      </w:r>
      <w:r w:rsidR="0096160D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եղեկատվության առկայության դեպքում գ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նահատողը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պետք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է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հիմնվի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վաճառքի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գների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ուղղակի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դիտարկումների</w:t>
      </w:r>
      <w:r w:rsidR="00AA4B4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A4B4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վրա</w:t>
      </w:r>
      <w:r w:rsidR="001B0B2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170D8F" w:rsidRPr="00225519" w:rsidRDefault="00184D40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2)</w:t>
      </w:r>
      <w:r w:rsidR="0023609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80F7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վարտման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ծախսերի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գնահատում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միայն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ընթացքի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մեջ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գտնվող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աշխատանքներ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):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Ավարտման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ծախսերը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պետք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է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ներառեն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ուղղակի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կամ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B67DF3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անուղղակի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մնացած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բոլոր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ծախսերը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որոնք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պետք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է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կատարվեն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գնահատման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ամսաթվից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հետո</w:t>
      </w:r>
      <w:r w:rsidR="00CA78C8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,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ընթացքի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մեջ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գտնվող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9450B2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աշխատանքները</w:t>
      </w:r>
      <w:r w:rsidR="00796C7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ավարտելու համար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Ավարտման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ծախսերը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780132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lastRenderedPageBreak/>
        <w:t>ապագա</w:t>
      </w:r>
      <w:r w:rsidR="0078013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780132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ժամանակա</w:t>
      </w:r>
      <w:r w:rsidR="00221C7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հատվածում</w:t>
      </w:r>
      <w:r w:rsidR="00CC1D06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="00CE45EE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ծախսերը բացառելու համար գնահատողի կողմից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պետք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է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ճշգրտ</w:t>
      </w:r>
      <w:r w:rsidR="00CE45EE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վ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</w:t>
      </w:r>
      <w:r w:rsidR="00CE45EE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236383" w:rsidRPr="00225519" w:rsidRDefault="00731C49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5D071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Օտարման ծախսերի </w:t>
      </w:r>
      <w:r w:rsidR="00C3314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չափով նվազեցում: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Օտարման ծախսերը այն ծախսերն են, որոնք պետք է կատարվեին գնահատման ամսաթվից հետո՝ պատրաստի արտադրանքը վերջնական</w:t>
      </w:r>
      <w:r w:rsidR="00306BD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ապես </w:t>
      </w:r>
      <w:r w:rsidR="0014080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գնորդին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հասցնելու համար: Օտարման</w:t>
      </w:r>
      <w:r w:rsidR="00306BD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ծախսերը պետք է ճշգրտվեն ապագա ժամանակա</w:t>
      </w:r>
      <w:r w:rsidR="00221C7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հատվածում</w:t>
      </w:r>
      <w:r w:rsidR="00306BD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E028C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օգուտ</w:t>
      </w:r>
      <w:r w:rsidR="00306BD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բեր</w:t>
      </w:r>
      <w:r w:rsidR="006012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ելու</w:t>
      </w:r>
      <w:r w:rsidR="00306BD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ծախսերը</w:t>
      </w:r>
      <w:r w:rsidR="009F17E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բացառելով</w:t>
      </w:r>
      <w:r w:rsidR="00306BD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23638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Օտարման ծախսերը ճիշտ որոշելու համար </w:t>
      </w:r>
      <w:r w:rsidR="00441A6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Պաշարների</w:t>
      </w:r>
      <w:r w:rsidR="0023638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ցիկլի յուրաքանչյուր ծախս (ներառյալ անուղղակի վերադիր ծախսերը) պետք է դասակարգվի որպես կատարված և հետևաբար, </w:t>
      </w:r>
      <w:r w:rsidR="00C206C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ներառվի պատրաստի ապրանքների պաշարների արժեքի մեջ </w:t>
      </w:r>
      <w:r w:rsidR="0023638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կամ մնացորդին, որոնք կատարվելու են օտարման գործընթացում:</w:t>
      </w:r>
    </w:p>
    <w:p w:rsidR="00D027B1" w:rsidRPr="00225519" w:rsidRDefault="00731C49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4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) Աշխատանքի ավարտից (միայն ընթացքի մեջ գտնվող աշխատանք) և օտարման գործընթացից գնահատված շահույթ</w:t>
      </w:r>
      <w:r w:rsidR="00F603A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ի </w:t>
      </w:r>
      <w:r w:rsidR="00C3314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չափով նվազեցում: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C2A7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եկնարկային կետը կարող է լինել </w:t>
      </w:r>
      <w:r w:rsidR="001C2A7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տնտեսվարող սուբյեկտի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գործառնական շահույթի օգտագործումը: </w:t>
      </w:r>
    </w:p>
    <w:p w:rsidR="000C2DDE" w:rsidRPr="00225519" w:rsidRDefault="004B01FE" w:rsidP="006275BC">
      <w:pPr>
        <w:spacing w:after="0" w:line="360" w:lineRule="auto"/>
        <w:ind w:firstLine="284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5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186EF8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նհրաժեշտ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պահպանման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ծախսեր</w:t>
      </w:r>
      <w:r w:rsidR="00186EF8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ի </w:t>
      </w:r>
      <w:r w:rsidR="007934B3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դիտարկում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Պահպանման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ծախսերը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կարող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FF1C0C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անհրաժեշտ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լինել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գնահատել՝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հաշվի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առնելով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պաշարների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վաճառքի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ժամանակի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հետ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կապված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հնարավոր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ծախսերը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="0048308A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նահատողը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պետք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է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հաշվի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առնի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48308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նաև </w:t>
      </w:r>
      <w:r w:rsidR="0048308A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օբյեկտի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պահպանման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ժամանակա</w:t>
      </w:r>
      <w:r w:rsidR="007D4198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հատվածում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պահանջվող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եկամտաբերությունը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որոշելիս</w:t>
      </w:r>
      <w:r w:rsidR="00791782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առաջա</w:t>
      </w:r>
      <w:r w:rsidR="006841D9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ցած</w:t>
      </w:r>
      <w:r w:rsidR="00791782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ռիսկը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Ռիսկերը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կարող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կախված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լինել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պաշարների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կյանքի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ցիկլի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տևողությունից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և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վերջնական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D22A4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պատվիրատուների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հետ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պայմանագրային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հարաբերություններից</w:t>
      </w:r>
      <w:r w:rsidR="00152DDD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:</w:t>
      </w:r>
    </w:p>
    <w:p w:rsidR="00170D8F" w:rsidRPr="00225519" w:rsidRDefault="007934B3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D55526">
        <w:rPr>
          <w:rFonts w:ascii="GHEA Mariam" w:hAnsi="GHEA Mariam"/>
          <w:color w:val="000000" w:themeColor="text1"/>
          <w:sz w:val="24"/>
          <w:szCs w:val="24"/>
          <w:lang w:val="en-US"/>
        </w:rPr>
        <w:t>9</w:t>
      </w:r>
      <w:r w:rsidR="000C2DD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D477CA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Գնահատողը </w:t>
      </w:r>
      <w:r w:rsidR="00D477CA" w:rsidRPr="00225519">
        <w:rPr>
          <w:rFonts w:ascii="GHEA Mariam" w:hAnsi="GHEA Mariam" w:cs="Sylfaen"/>
          <w:sz w:val="24"/>
          <w:szCs w:val="24"/>
          <w:lang w:val="hy-AM"/>
        </w:rPr>
        <w:t>ա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վարտման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ծախսերը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,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օտարման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ծախսերը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և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շահույթի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մարժաներ</w:t>
      </w:r>
      <w:r w:rsidR="004D288D" w:rsidRPr="00225519">
        <w:rPr>
          <w:rFonts w:ascii="GHEA Mariam" w:hAnsi="GHEA Mariam" w:cs="Sylfaen"/>
          <w:sz w:val="24"/>
          <w:szCs w:val="24"/>
          <w:lang w:val="hy-AM"/>
        </w:rPr>
        <w:t>ը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որոշելիս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պետք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է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B8198A" w:rsidRPr="00225519">
        <w:rPr>
          <w:rFonts w:ascii="GHEA Mariam" w:hAnsi="GHEA Mariam" w:cs="Sylfaen"/>
          <w:sz w:val="24"/>
          <w:szCs w:val="24"/>
          <w:lang w:val="hy-AM"/>
        </w:rPr>
        <w:t>պարզի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և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բացառի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ցանկացած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ծախս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,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որը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նախատեսված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է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ապագա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տնտեսական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sz w:val="24"/>
          <w:szCs w:val="24"/>
          <w:lang w:val="hy-AM"/>
        </w:rPr>
        <w:t>օգուտներ</w:t>
      </w:r>
      <w:r w:rsidR="00170D8F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ապահովելու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0C03C6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համար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և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անհրաժեշտ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չէ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ընթացիկ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ժամանակա</w:t>
      </w:r>
      <w:r w:rsidR="00417C17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հատվածի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եկամուտ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8F3ACB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ստանալու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համար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170D8F" w:rsidRPr="00225519" w:rsidRDefault="00D55526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>
        <w:rPr>
          <w:rFonts w:ascii="GHEA Mariam" w:hAnsi="GHEA Mariam"/>
          <w:color w:val="000000" w:themeColor="text1"/>
          <w:sz w:val="24"/>
          <w:szCs w:val="24"/>
          <w:lang w:val="en-US"/>
        </w:rPr>
        <w:t>20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Ներքին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ձևավորված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նյութական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ակտիվները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պետք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է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մոդելավորվեն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որպես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33AD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հիպոթետիկ</w:t>
      </w:r>
      <w:r w:rsidR="00333AD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33AD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արտոնագրված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արժեք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և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հետևաբար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ներառված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լինեն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արտադրության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կամ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օտարման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արժեքում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կամ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33AD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համապատասխան</w:t>
      </w:r>
      <w:r w:rsidR="00333AD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33AD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շահույթի</w:t>
      </w:r>
      <w:r w:rsidR="00333AD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33AD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մարժա</w:t>
      </w:r>
      <w:r w:rsidR="00333AD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33AD1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որոշելիս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դիտարկվեն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որպես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ֆունկցիոնալ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բաշխման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170D8F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մաս</w:t>
      </w:r>
      <w:r w:rsidR="00170D8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9A5806" w:rsidRPr="00225519" w:rsidRDefault="008E2B5E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lastRenderedPageBreak/>
        <w:t>2</w:t>
      </w:r>
      <w:r w:rsidR="005824BC">
        <w:rPr>
          <w:rFonts w:ascii="GHEA Mariam" w:hAnsi="GHEA Mariam"/>
          <w:color w:val="000000" w:themeColor="text1"/>
          <w:sz w:val="24"/>
          <w:szCs w:val="24"/>
          <w:lang w:val="en-US"/>
        </w:rPr>
        <w:t>1</w:t>
      </w:r>
      <w:r w:rsidR="005F6B7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833E29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Նվազման մեթոդի</w:t>
      </w:r>
      <w:r w:rsidR="0093694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833E2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կիրառման ժամանակ</w:t>
      </w:r>
      <w:r w:rsidR="0093694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գնահատողը պետք է հաշվի առն</w:t>
      </w:r>
      <w:r w:rsidR="00524E0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ի</w:t>
      </w:r>
      <w:r w:rsidR="0093694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առանցքային քայլերի պատշաճ կիրառման համար</w:t>
      </w:r>
      <w:r w:rsidR="00524E0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բավարար </w:t>
      </w:r>
      <w:r w:rsidR="00BC549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տեղեկատվության </w:t>
      </w:r>
      <w:r w:rsidR="00524E0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առկայությունը</w:t>
      </w:r>
      <w:r w:rsidR="000F496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B64394" w:rsidRPr="00225519" w:rsidRDefault="00AB2399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="005824BC">
        <w:rPr>
          <w:rFonts w:ascii="GHEA Mariam" w:hAnsi="GHEA Mariam"/>
          <w:color w:val="000000" w:themeColor="text1"/>
          <w:sz w:val="24"/>
          <w:szCs w:val="24"/>
          <w:lang w:val="en-US"/>
        </w:rPr>
        <w:t>2</w:t>
      </w:r>
      <w:r w:rsidR="0008518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F65F70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Աճման մեթոդ.</w:t>
      </w:r>
      <w:r w:rsidR="00F65F7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20143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Գնահատողը կարող է օգտագործել Աճման մեթոդը </w:t>
      </w:r>
      <w:r w:rsidR="0020143E" w:rsidRPr="0022551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Նվազման </w:t>
      </w:r>
      <w:r w:rsidR="0020143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մեթոդով ստացված արժեքը հաստատելու համար:</w:t>
      </w:r>
      <w:r w:rsidR="00187EB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F65F7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Աճման </w:t>
      </w:r>
      <w:r w:rsidR="0008518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մեթոդ</w:t>
      </w:r>
      <w:r w:rsidR="00174B5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ը</w:t>
      </w:r>
      <w:r w:rsidR="0008518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կիրառ</w:t>
      </w:r>
      <w:r w:rsidR="006C7FD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վում է</w:t>
      </w:r>
      <w:r w:rsidR="0008518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6C7FD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հետևյալ հաջորդականությամբ</w:t>
      </w:r>
      <w:r w:rsidR="0008518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.</w:t>
      </w:r>
    </w:p>
    <w:p w:rsidR="009842A2" w:rsidRPr="00225519" w:rsidRDefault="00642859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B6439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58604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</w:t>
      </w:r>
      <w:r w:rsidR="00B6439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աշարի հաշվեկշռային արժեք</w:t>
      </w:r>
      <w:r w:rsidR="0058604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ի որոշում</w:t>
      </w:r>
      <w:r w:rsidR="00F11B0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</w:p>
    <w:p w:rsidR="00F911EE" w:rsidRPr="00225519" w:rsidRDefault="00642859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="00F911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F515A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կատարված </w:t>
      </w:r>
      <w:r w:rsidR="00F911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գնման </w:t>
      </w:r>
      <w:r w:rsidR="00F515A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և </w:t>
      </w:r>
      <w:r w:rsidR="00F911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պահպանման ծախս</w:t>
      </w:r>
      <w:r w:rsidR="00F11B0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երի ավելացում</w:t>
      </w:r>
      <w:r w:rsidR="009426B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</w:p>
    <w:p w:rsidR="00F911EE" w:rsidRPr="00225519" w:rsidRDefault="00642859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="00F911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)</w:t>
      </w:r>
      <w:r w:rsidR="00FC11B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F911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կատարված </w:t>
      </w:r>
      <w:r w:rsidR="00DC1DE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ծախսերը ավելացնելու լրացուցիչ ծախսեր</w:t>
      </w:r>
      <w:r w:rsidR="00F911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656D1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(</w:t>
      </w:r>
      <w:r w:rsidR="00F911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գնմ</w:t>
      </w:r>
      <w:r w:rsidR="00DC1DE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ան</w:t>
      </w:r>
      <w:r w:rsidR="00F911E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և արտադրության </w:t>
      </w:r>
      <w:r w:rsidR="00656D1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ծախսեր)</w:t>
      </w:r>
      <w:r w:rsidR="009426B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</w:p>
    <w:p w:rsidR="00087041" w:rsidRPr="00225519" w:rsidRDefault="00642859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4</w:t>
      </w:r>
      <w:r w:rsidR="0008704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) կատարված ծախսերին</w:t>
      </w:r>
      <w:r w:rsidR="00E0455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շահույթի ավելացում</w:t>
      </w:r>
      <w:r w:rsidR="0008704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</w:p>
    <w:p w:rsidR="00B00A32" w:rsidRPr="00225519" w:rsidRDefault="00701805" w:rsidP="006275BC">
      <w:pPr>
        <w:spacing w:after="0" w:line="360" w:lineRule="auto"/>
        <w:ind w:firstLine="284"/>
        <w:jc w:val="both"/>
        <w:rPr>
          <w:rFonts w:ascii="GHEA Mariam" w:hAnsi="GHEA Mariam"/>
          <w:b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="0054630B">
        <w:rPr>
          <w:rFonts w:ascii="GHEA Mariam" w:hAnsi="GHEA Mariam"/>
          <w:color w:val="000000" w:themeColor="text1"/>
          <w:sz w:val="24"/>
          <w:szCs w:val="24"/>
          <w:lang w:val="en-US"/>
        </w:rPr>
        <w:t>3</w:t>
      </w:r>
      <w:r w:rsidR="005617F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913AB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</w:t>
      </w:r>
      <w:r w:rsidR="005617F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պահովագրված ծախսերը որոշելիս գնահատողը պետք է հաշվի առն</w:t>
      </w:r>
      <w:r w:rsidR="00CB782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ի </w:t>
      </w:r>
      <w:r w:rsidR="00B83DF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տնտեսվարող սուբյեկտի</w:t>
      </w:r>
      <w:r w:rsidR="005617F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ներսում մշակված ոչ նյութական ակտիվները, որոնք նպաստել են աշխատանքների ավարտին:</w:t>
      </w:r>
    </w:p>
    <w:p w:rsidR="005617F0" w:rsidRPr="00225519" w:rsidRDefault="000F5B68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="0054630B">
        <w:rPr>
          <w:rFonts w:ascii="GHEA Mariam" w:hAnsi="GHEA Mariam"/>
          <w:color w:val="000000" w:themeColor="text1"/>
          <w:sz w:val="24"/>
          <w:szCs w:val="24"/>
          <w:lang w:val="en-US"/>
        </w:rPr>
        <w:t>4</w:t>
      </w:r>
      <w:r w:rsidR="00FB20E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.</w:t>
      </w:r>
      <w:r w:rsidR="00FB20ED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Ծախսային մոտեցում</w:t>
      </w:r>
      <w:r w:rsidR="007934B3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.</w:t>
      </w:r>
      <w:r w:rsidR="005118F2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</w:t>
      </w:r>
      <w:r w:rsidR="005617F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Պաշարների գնահատման հիմնական մեթոդը փոխարինման արժեքի մեթոդն է: </w:t>
      </w:r>
      <w:r w:rsidR="00FF230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</w:t>
      </w:r>
      <w:r w:rsidR="005617F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աշարները սովորաբար գնահատվում են ընթացիկ փոխարինման արժեքի մեթոդով:</w:t>
      </w:r>
    </w:p>
    <w:p w:rsidR="004A1560" w:rsidRPr="00225519" w:rsidRDefault="00161C5A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="0054630B">
        <w:rPr>
          <w:rFonts w:ascii="GHEA Mariam" w:hAnsi="GHEA Mariam"/>
          <w:color w:val="000000" w:themeColor="text1"/>
          <w:sz w:val="24"/>
          <w:szCs w:val="24"/>
          <w:lang w:val="en-US"/>
        </w:rPr>
        <w:t>5</w:t>
      </w:r>
      <w:r w:rsidR="004A156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.</w:t>
      </w:r>
      <w:r w:rsidR="004A1560" w:rsidRPr="00225519">
        <w:rPr>
          <w:rFonts w:ascii="GHEA Mariam" w:hAnsi="GHEA Mariam"/>
          <w:sz w:val="24"/>
          <w:szCs w:val="24"/>
          <w:lang w:val="hy-AM"/>
        </w:rPr>
        <w:t xml:space="preserve"> </w:t>
      </w:r>
      <w:r w:rsidR="00EB64E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Պաշարների գնահատման համար ծախսային մոտեցման կիրառման նպատակահարմարությունը որոշելիս գնահատողը պետք է հետևի Ընդհանուր ստանդարտի </w:t>
      </w:r>
      <w:r w:rsidR="002B5C14">
        <w:rPr>
          <w:rFonts w:ascii="GHEA Mariam" w:hAnsi="GHEA Mariam"/>
          <w:color w:val="000000" w:themeColor="text1"/>
          <w:sz w:val="24"/>
          <w:szCs w:val="24"/>
          <w:lang w:val="en-US"/>
        </w:rPr>
        <w:t>37</w:t>
      </w:r>
      <w:r w:rsidR="00EB64E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-րդ կետի 2-րդ և 3-րդ ենթակետերով սահմանված պահանջներին:</w:t>
      </w:r>
    </w:p>
    <w:p w:rsidR="00360BC7" w:rsidRPr="00225519" w:rsidRDefault="00743FA4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="0054630B">
        <w:rPr>
          <w:rFonts w:ascii="GHEA Mariam" w:hAnsi="GHEA Mariam"/>
          <w:color w:val="000000" w:themeColor="text1"/>
          <w:sz w:val="24"/>
          <w:szCs w:val="24"/>
          <w:lang w:val="en-US"/>
        </w:rPr>
        <w:t>6</w:t>
      </w:r>
      <w:r w:rsidR="00360BC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6E0B08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Ընթացիկ վերականգնման արժեքի մեթոդ.</w:t>
      </w:r>
      <w:r w:rsidR="00586DE2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</w:t>
      </w:r>
      <w:r w:rsidR="00360BC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Ընթացիկ </w:t>
      </w:r>
      <w:r w:rsidR="00E9066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վերականգնմա</w:t>
      </w:r>
      <w:r w:rsidR="00360BC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 արժեքի մեթոդը (CRCM) </w:t>
      </w:r>
      <w:r w:rsidR="002223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կարող է շուկայական </w:t>
      </w:r>
      <w:r w:rsidR="007934B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արժեքը</w:t>
      </w:r>
      <w:r w:rsidR="002223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60356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ճիշտ</w:t>
      </w:r>
      <w:r w:rsidR="002223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7934B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արտացոլել</w:t>
      </w:r>
      <w:r w:rsidR="002223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360BC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պաշարը հեշտությամբ մեծածախ կամ մանրածախ առևտրով </w:t>
      </w:r>
      <w:r w:rsidR="004B442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փոխարինելու դեպքում</w:t>
      </w:r>
      <w:r w:rsidR="00360BC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B56D37" w:rsidRPr="00225519" w:rsidRDefault="00D36342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="004202B6">
        <w:rPr>
          <w:rFonts w:ascii="GHEA Mariam" w:hAnsi="GHEA Mariam"/>
          <w:color w:val="000000" w:themeColor="text1"/>
          <w:sz w:val="24"/>
          <w:szCs w:val="24"/>
          <w:lang w:val="en-US"/>
        </w:rPr>
        <w:t>7</w:t>
      </w:r>
      <w:r w:rsidR="002223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Հումքի և այլ պաշարների շուկայական արժեքը կարող է </w:t>
      </w:r>
      <w:r w:rsidR="00C9006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գնահատման ամսաթվի դրությամբ նույնականացվել </w:t>
      </w:r>
      <w:r w:rsidR="002223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հաշվեկշռային արժեքին</w:t>
      </w:r>
      <w:r w:rsidR="007934B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2223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հաշվի առնել</w:t>
      </w:r>
      <w:r w:rsidR="003B61A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ով</w:t>
      </w:r>
      <w:r w:rsidR="002223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B56D3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որոշակի </w:t>
      </w:r>
      <w:r w:rsidR="002223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ճշգրտումներ</w:t>
      </w:r>
      <w:r w:rsidR="007934B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 մասնավորապես.</w:t>
      </w:r>
    </w:p>
    <w:p w:rsidR="000A6E26" w:rsidRPr="00225519" w:rsidRDefault="00847A3C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0A6E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7934B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ս</w:t>
      </w:r>
      <w:r w:rsidR="00712CF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կզբնական գնումների արժեքի հիման վրա (FIFO)</w:t>
      </w:r>
      <w:r w:rsidR="000A6E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</w:p>
    <w:p w:rsidR="000A6E26" w:rsidRPr="00225519" w:rsidRDefault="00847A3C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lastRenderedPageBreak/>
        <w:t>2</w:t>
      </w:r>
      <w:r w:rsidR="000A6E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) ապրանքների գներ</w:t>
      </w:r>
      <w:r w:rsidR="00D34E7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ի</w:t>
      </w:r>
      <w:r w:rsidR="000A6E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տատան</w:t>
      </w:r>
      <w:r w:rsidR="00D34E7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ման</w:t>
      </w:r>
      <w:r w:rsidR="000A6E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և</w:t>
      </w:r>
      <w:r w:rsidR="007934B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0A6E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կամ պաշարների շրջանառությունը դանդաղ </w:t>
      </w:r>
      <w:r w:rsidR="00D34E7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լինելու դեպքում</w:t>
      </w:r>
      <w:r w:rsidR="000A6E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հաշվեկշռային արժեքը </w:t>
      </w:r>
      <w:r w:rsidR="00D34E7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պետք </w:t>
      </w:r>
      <w:r w:rsidR="000A6E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է ճշգրտել շուկայական գների փոփոխություններն արտացոլելու համար</w:t>
      </w:r>
      <w:r w:rsidR="002C703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</w:p>
    <w:p w:rsidR="000A6E26" w:rsidRPr="00225519" w:rsidRDefault="00CF2C7E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="000A6E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հաշվեկշռային արժեքը </w:t>
      </w:r>
      <w:r w:rsidR="009E04C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նվազե</w:t>
      </w:r>
      <w:r w:rsidR="0053098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ցվ</w:t>
      </w:r>
      <w:r w:rsidR="007934B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ում է</w:t>
      </w:r>
      <w:r w:rsidR="000A6E2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հնացած և թերի ապրանքների հաշվին</w:t>
      </w:r>
      <w:r w:rsidR="00084B3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</w:p>
    <w:p w:rsidR="009E04C7" w:rsidRPr="00225519" w:rsidRDefault="009F6A26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4</w:t>
      </w:r>
      <w:r w:rsidR="00BE5B8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)</w:t>
      </w:r>
      <w:r w:rsidR="00324836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</w:t>
      </w:r>
      <w:r w:rsidR="009E04C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աշվեկշռային արժեքը նվազեց</w:t>
      </w:r>
      <w:r w:rsidR="00A15E2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վ</w:t>
      </w:r>
      <w:r w:rsidR="00BE5B8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ում է </w:t>
      </w:r>
      <w:r w:rsidR="009E04C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հաշվապահական հաշվետվություններում նշված պաշարների </w:t>
      </w:r>
      <w:r w:rsidR="00A15E2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և</w:t>
      </w:r>
      <w:r w:rsidR="009E04C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փաստացի պաշարների </w:t>
      </w:r>
      <w:r w:rsidR="005939E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միջև եղած</w:t>
      </w:r>
      <w:r w:rsidR="009E04C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տարբերությ</w:t>
      </w:r>
      <w:r w:rsidR="00BE5B8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ամբ</w:t>
      </w:r>
      <w:r w:rsidR="00A2437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BE5B8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(գողություն, վնաս, սխալ հաշվառում, սխալ չափման միավորների կորուստներ)</w:t>
      </w:r>
      <w:r w:rsidR="007B232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</w:p>
    <w:p w:rsidR="0005247B" w:rsidRPr="00225519" w:rsidRDefault="00B568A1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5</w:t>
      </w:r>
      <w:r w:rsidR="00276F1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) Հաշվեկշռային արժեքը ավելացվ</w:t>
      </w:r>
      <w:r w:rsidR="00BE5B8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ում է</w:t>
      </w:r>
      <w:r w:rsidR="00276F1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հումքի պատրաստման հետ կապված </w:t>
      </w:r>
      <w:r w:rsidR="00FC6C7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ծախսեր</w:t>
      </w:r>
      <w:r w:rsidR="009E68D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ով</w:t>
      </w:r>
      <w:r w:rsidR="00FC6C7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(գնման, պահպանման և մշակման</w:t>
      </w:r>
      <w:r w:rsidR="005C4CD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ծախսեր</w:t>
      </w:r>
      <w:r w:rsidR="00FC6C7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)</w:t>
      </w:r>
      <w:r w:rsidR="001E085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9106AD" w:rsidRPr="00225519" w:rsidRDefault="009106AD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</w:p>
    <w:p w:rsidR="009106AD" w:rsidRPr="00225519" w:rsidRDefault="009106AD" w:rsidP="004202B6">
      <w:pPr>
        <w:spacing w:after="0" w:line="360" w:lineRule="auto"/>
        <w:ind w:firstLine="284"/>
        <w:jc w:val="center"/>
        <w:rPr>
          <w:rFonts w:ascii="GHEA Mariam" w:hAnsi="GHEA Mariam"/>
          <w:b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V</w:t>
      </w:r>
      <w:r w:rsidR="001E0855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. </w:t>
      </w:r>
      <w:r w:rsidR="00AD3137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Պաշարների </w:t>
      </w:r>
      <w:r w:rsidR="00920920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գնահատման </w:t>
      </w:r>
      <w:r w:rsidR="00AD3137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վերաբերյալ հ</w:t>
      </w:r>
      <w:r w:rsidR="001E0855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ատուկ </w:t>
      </w:r>
      <w:r w:rsidR="00920920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դատողություններ</w:t>
      </w:r>
    </w:p>
    <w:p w:rsidR="001E0855" w:rsidRPr="00225519" w:rsidRDefault="00BB4E56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="004202B6">
        <w:rPr>
          <w:rFonts w:ascii="GHEA Mariam" w:hAnsi="GHEA Mariam"/>
          <w:color w:val="000000" w:themeColor="text1"/>
          <w:sz w:val="24"/>
          <w:szCs w:val="24"/>
          <w:lang w:val="en-US"/>
        </w:rPr>
        <w:t>8</w:t>
      </w:r>
      <w:r w:rsidR="001E085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BE5B8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</w:t>
      </w:r>
      <w:r w:rsidR="001E085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</w:t>
      </w:r>
      <w:r w:rsidR="00BE5B8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շարներ</w:t>
      </w:r>
      <w:r w:rsidR="001E085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ի </w:t>
      </w:r>
      <w:r w:rsidR="00CC0C37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գնահատման </w:t>
      </w:r>
      <w:r w:rsidR="0029317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վերաբերյալ հատուկ </w:t>
      </w:r>
      <w:r w:rsidR="00CC0C37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դատողություններն </w:t>
      </w:r>
      <w:r w:rsidR="00897C71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են.</w:t>
      </w:r>
    </w:p>
    <w:p w:rsidR="0069167F" w:rsidRPr="00225519" w:rsidRDefault="008925D0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1</w:t>
      </w:r>
      <w:r w:rsidR="00D10AA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774BA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Լրացված </w:t>
      </w:r>
      <w:r w:rsidR="00D10AA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արժեքի գործընթացների և ոչ նյութական ակտիվների շահույթների նույնականացում</w:t>
      </w: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</w:p>
    <w:p w:rsidR="00D10AA5" w:rsidRPr="00225519" w:rsidRDefault="008925D0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="00D10AA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2A723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</w:t>
      </w:r>
      <w:r w:rsidR="00D10AA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ապ այլ </w:t>
      </w:r>
      <w:r w:rsidR="006822D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ձեռք բերված օբյեկտների</w:t>
      </w:r>
      <w:r w:rsidR="00D10AA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հետ</w:t>
      </w: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</w:p>
    <w:p w:rsidR="00D10AA5" w:rsidRPr="00225519" w:rsidRDefault="008925D0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="00D10AA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) </w:t>
      </w:r>
      <w:r w:rsidR="008B439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հնացած պաշարներ (պահուստներ)</w:t>
      </w: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</w:p>
    <w:p w:rsidR="00897C71" w:rsidRPr="00225519" w:rsidRDefault="00B1713A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4</w:t>
      </w:r>
      <w:r w:rsidR="00D10AA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) Հաշվ</w:t>
      </w:r>
      <w:r w:rsidR="0072411C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արկային </w:t>
      </w:r>
      <w:r w:rsidR="00D10AA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միավոր</w:t>
      </w:r>
    </w:p>
    <w:p w:rsidR="0005247B" w:rsidRPr="00225519" w:rsidRDefault="00897C71" w:rsidP="006275BC">
      <w:pPr>
        <w:spacing w:after="0" w:line="360" w:lineRule="auto"/>
        <w:ind w:firstLine="426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5)</w:t>
      </w:r>
      <w:r w:rsidRPr="00225519">
        <w:rPr>
          <w:rFonts w:ascii="GHEA Mariam" w:hAnsi="GHEA Mariam"/>
          <w:color w:val="000000" w:themeColor="text1"/>
          <w:sz w:val="24"/>
          <w:szCs w:val="24"/>
          <w:lang w:val="en-US"/>
        </w:rPr>
        <w:t xml:space="preserve"> և </w:t>
      </w:r>
      <w:proofErr w:type="spellStart"/>
      <w:r w:rsidRPr="00225519">
        <w:rPr>
          <w:rFonts w:ascii="GHEA Mariam" w:hAnsi="GHEA Mariam"/>
          <w:color w:val="000000" w:themeColor="text1"/>
          <w:sz w:val="24"/>
          <w:szCs w:val="24"/>
          <w:lang w:val="en-US"/>
        </w:rPr>
        <w:t>այլ</w:t>
      </w:r>
      <w:proofErr w:type="spellEnd"/>
      <w:r w:rsidRPr="00225519">
        <w:rPr>
          <w:rFonts w:ascii="GHEA Mariam" w:hAnsi="GHEA Mariam"/>
          <w:color w:val="000000" w:themeColor="text1"/>
          <w:sz w:val="24"/>
          <w:szCs w:val="24"/>
          <w:lang w:val="en-US"/>
        </w:rPr>
        <w:t xml:space="preserve"> </w:t>
      </w:r>
      <w:r w:rsidR="00450090">
        <w:rPr>
          <w:rFonts w:ascii="GHEA Mariam" w:hAnsi="GHEA Mariam"/>
          <w:color w:val="000000" w:themeColor="text1"/>
          <w:sz w:val="24"/>
          <w:szCs w:val="24"/>
          <w:lang w:val="hy-AM"/>
        </w:rPr>
        <w:t>դատողություններ</w:t>
      </w:r>
      <w:r w:rsidR="00002A7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5B43A7" w:rsidRPr="00225519" w:rsidRDefault="00745B00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2</w:t>
      </w:r>
      <w:r w:rsidR="004202B6">
        <w:rPr>
          <w:rFonts w:ascii="GHEA Mariam" w:hAnsi="GHEA Mariam"/>
          <w:color w:val="000000" w:themeColor="text1"/>
          <w:sz w:val="24"/>
          <w:szCs w:val="24"/>
          <w:lang w:val="en-US"/>
        </w:rPr>
        <w:t>9</w:t>
      </w:r>
      <w:r w:rsidR="0050387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.</w:t>
      </w:r>
      <w:r w:rsidR="0050387B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</w:t>
      </w:r>
      <w:r w:rsidR="00420A00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Լրացված</w:t>
      </w:r>
      <w:r w:rsidR="009D1C6E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արժեքի գործընթացների և ոչ նյութական ակտիվների շահույթների նույնականացում</w:t>
      </w:r>
      <w:r w:rsidR="005B43A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Պաշարների գնահատումը ներառում է շահույթի բաշխումը </w:t>
      </w:r>
      <w:r w:rsidR="00FD127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չափման ամսաթվից առաջ ստացված շահույթի և չափման ամսաթվից հետո ստացված շահույթի </w:t>
      </w:r>
      <w:r w:rsidR="005B43A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միջև: Գործնականում ստացված շահույթը չի կարող </w:t>
      </w:r>
      <w:r w:rsidR="00FD127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ծախսերին </w:t>
      </w:r>
      <w:r w:rsidR="005B43A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համաչափ լինել: Շատ դեպքերում, </w:t>
      </w:r>
      <w:r w:rsidR="00FD127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ենթադրվող</w:t>
      </w:r>
      <w:r w:rsidR="005B43A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ռիսկերը, </w:t>
      </w:r>
      <w:r w:rsidR="00190A4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լրացված</w:t>
      </w:r>
      <w:r w:rsidR="005B43A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արժեքը կամ ոչ նյութական ակտիվները, որոնք ավելացվում են պաշարներին </w:t>
      </w:r>
      <w:r w:rsidR="00CC2CC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նախքան գնահատման ամսաթիվը</w:t>
      </w: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CC2CC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6264B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չեն նույնանում </w:t>
      </w:r>
      <w:r w:rsidR="005B43A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չափման ամսաթվից հետո </w:t>
      </w:r>
      <w:r w:rsidR="006264B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ավելացվածների հետ</w:t>
      </w:r>
      <w:r w:rsidR="005B43A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  <w:r w:rsidR="00CC2CC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</w:p>
    <w:p w:rsidR="004F23AD" w:rsidRPr="00225519" w:rsidRDefault="004202B6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>
        <w:rPr>
          <w:rFonts w:ascii="GHEA Mariam" w:hAnsi="GHEA Mariam"/>
          <w:color w:val="000000" w:themeColor="text1"/>
          <w:sz w:val="24"/>
          <w:szCs w:val="24"/>
          <w:lang w:val="en-US"/>
        </w:rPr>
        <w:t>30</w:t>
      </w:r>
      <w:r w:rsidR="00FD1B4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.</w:t>
      </w:r>
      <w:r w:rsidR="00FD1B48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</w:t>
      </w:r>
      <w:r w:rsidR="00FC0A5D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Կապ այլ ձեռք բերված օբյեկտների հետ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687D7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Գ</w:t>
      </w:r>
      <w:r w:rsidR="00441D9E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նահատողը 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պետք է պահպանի </w:t>
      </w:r>
      <w:r w:rsidR="00687D7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պաշարների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և այլ </w:t>
      </w:r>
      <w:r w:rsidR="00C845A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օբյեկտների 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կամ պարտավորությունների </w:t>
      </w:r>
      <w:r w:rsidR="00687D7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գնահատման ժամանակ 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օգտագործվող ենթադրությունների </w:t>
      </w:r>
      <w:r w:rsidR="00EB470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հետև</w:t>
      </w:r>
      <w:r w:rsidR="00687D7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ողականություն</w:t>
      </w:r>
      <w:r w:rsidR="00EB4704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ը:</w:t>
      </w:r>
    </w:p>
    <w:p w:rsidR="007B47F8" w:rsidRPr="00225519" w:rsidRDefault="00FA6647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lastRenderedPageBreak/>
        <w:t>3</w:t>
      </w:r>
      <w:r w:rsidR="002D4116">
        <w:rPr>
          <w:rFonts w:ascii="GHEA Mariam" w:hAnsi="GHEA Mariam"/>
          <w:color w:val="000000" w:themeColor="text1"/>
          <w:sz w:val="24"/>
          <w:szCs w:val="24"/>
          <w:lang w:val="en-US"/>
        </w:rPr>
        <w:t>1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.</w:t>
      </w:r>
      <w:r w:rsidR="004F23AD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</w:t>
      </w:r>
      <w:r w:rsidR="00657430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Հնացած պաշարներ (պահուստներ)</w:t>
      </w:r>
      <w:r w:rsidR="004F23AD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.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Գնահատողը պետք է հաշվի առնի հնացած պաշարների մնացորդները: Պաշարների պահուստ</w:t>
      </w:r>
      <w:r w:rsidR="0089167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ային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մնացորդները </w:t>
      </w:r>
      <w:r w:rsidR="00A35DB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կիրառվում են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35DB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ոչ թե ամբողջ պաշարների մնացորդի նկատմամբ</w:t>
      </w:r>
      <w:r w:rsidR="00745B0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A35DB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այլ 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այն պաշարների նկատմամբ, որոնց </w:t>
      </w:r>
      <w:r w:rsidR="00A35DB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դեպքում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35DB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կիրառվել 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է պահուստը</w:t>
      </w:r>
      <w:r w:rsidR="00A35DBF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</w:p>
    <w:p w:rsidR="004F23AD" w:rsidRPr="00225519" w:rsidRDefault="00FA6647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="002D4116">
        <w:rPr>
          <w:rFonts w:ascii="GHEA Mariam" w:hAnsi="GHEA Mariam"/>
          <w:color w:val="000000" w:themeColor="text1"/>
          <w:sz w:val="24"/>
          <w:szCs w:val="24"/>
          <w:lang w:val="en-US"/>
        </w:rPr>
        <w:t>2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FB4ED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նացած պաշարները, որոնք ճշգրտվել են պաշարների պահուստի համար, չեն գնահատվ</w:t>
      </w:r>
      <w:r w:rsidR="003F1CD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ում</w:t>
      </w:r>
      <w:r w:rsidR="004F23A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, քանի որ այն ճշգրտվել է իրացման զուտ արժեքի</w:t>
      </w:r>
      <w:r w:rsidR="007B1753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ց</w:t>
      </w:r>
      <w:r w:rsidR="00151285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2416EB" w:rsidRPr="00225519" w:rsidRDefault="00FA6647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="002D4116">
        <w:rPr>
          <w:rFonts w:ascii="GHEA Mariam" w:hAnsi="GHEA Mariam"/>
          <w:color w:val="000000" w:themeColor="text1"/>
          <w:sz w:val="24"/>
          <w:szCs w:val="24"/>
          <w:lang w:val="en-US"/>
        </w:rPr>
        <w:t>3</w:t>
      </w: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.</w:t>
      </w:r>
      <w:r w:rsidR="00C26708" w:rsidRPr="00225519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Հաշվարկային միավոր</w:t>
      </w:r>
      <w:r w:rsidR="002416E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C2670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Պաշար</w:t>
      </w:r>
      <w:r w:rsidR="002416E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ների գնահատման </w:t>
      </w:r>
      <w:r w:rsidR="00DD0182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ժամանակ</w:t>
      </w:r>
      <w:r w:rsidR="002416E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հաճախ </w:t>
      </w:r>
      <w:r w:rsidR="004C710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անհրաժեշտ</w:t>
      </w:r>
      <w:r w:rsidR="002416E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է ենթադրել, </w:t>
      </w:r>
      <w:r w:rsidR="00865FC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որ պաշարը </w:t>
      </w:r>
      <w:r w:rsidR="00553457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օբյեկտների </w:t>
      </w:r>
      <w:r w:rsidR="00865FC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միատարր խումբ է: </w:t>
      </w:r>
      <w:r w:rsidR="004C710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Ուստի</w:t>
      </w:r>
      <w:r w:rsidR="002416E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շահույթի մարժան, ռիսկը և ոչ նյութական ակտիվների ներդրումը կարող են տարբեր լինել՝ կախված ապրանքի կամ ապրանքային խմբից:</w:t>
      </w:r>
    </w:p>
    <w:p w:rsidR="00AE7AAF" w:rsidRPr="00225519" w:rsidRDefault="00FA6647" w:rsidP="006275BC">
      <w:pPr>
        <w:spacing w:after="0" w:line="360" w:lineRule="auto"/>
        <w:ind w:firstLine="284"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="0049043C">
        <w:rPr>
          <w:rFonts w:ascii="GHEA Mariam" w:hAnsi="GHEA Mariam"/>
          <w:color w:val="000000" w:themeColor="text1"/>
          <w:sz w:val="24"/>
          <w:szCs w:val="24"/>
          <w:lang w:val="en-US"/>
        </w:rPr>
        <w:t>4</w:t>
      </w:r>
      <w:r w:rsidR="002D716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. </w:t>
      </w:r>
      <w:r w:rsidR="00745B00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Օբյեկտների</w:t>
      </w:r>
      <w:r w:rsidR="00D4136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2D716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շահույթի </w:t>
      </w:r>
      <w:r w:rsidR="000E2F3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մարժանները,</w:t>
      </w:r>
      <w:r w:rsidR="002D716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ռիսկերը և </w:t>
      </w:r>
      <w:r w:rsidR="00D41368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ոչ նյութական ակտիվների </w:t>
      </w:r>
      <w:r w:rsidR="002D716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ներդրումը տարբեր են՝ կախված ապրանքի կամ արտադրանքի խմբից, իսկ գնահատվող պաշարների</w:t>
      </w:r>
      <w:r w:rsidR="00DA1F2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2D716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հարաբերակցությունը համապատասխանում է գնահատման</w:t>
      </w:r>
      <w:r w:rsidR="00DA1F2B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ժամանակ </w:t>
      </w:r>
      <w:r w:rsidR="000718C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մշակված </w:t>
      </w:r>
      <w:r w:rsidR="002D716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ենթադրությունների համար օգտագործված վաճառքի ենթադրյալ հարաբերակցությանը,</w:t>
      </w:r>
      <w:r w:rsidR="000718C9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ուստի</w:t>
      </w:r>
      <w:r w:rsidR="002D716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գնահատողը պետք է գնահատի պաշարների տարբեր </w:t>
      </w:r>
      <w:r w:rsidR="007E44CA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>խմբերն</w:t>
      </w:r>
      <w:r w:rsidR="002D716D" w:rsidRPr="0022551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առանձին։</w:t>
      </w:r>
    </w:p>
    <w:sectPr w:rsidR="00AE7AAF" w:rsidRPr="0022551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C9" w:rsidRDefault="00863EC9" w:rsidP="00802719">
      <w:pPr>
        <w:spacing w:after="0" w:line="240" w:lineRule="auto"/>
      </w:pPr>
      <w:r>
        <w:separator/>
      </w:r>
    </w:p>
  </w:endnote>
  <w:endnote w:type="continuationSeparator" w:id="0">
    <w:p w:rsidR="00863EC9" w:rsidRDefault="00863EC9" w:rsidP="0080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668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2719" w:rsidRDefault="008027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02719" w:rsidRDefault="00802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C9" w:rsidRDefault="00863EC9" w:rsidP="00802719">
      <w:pPr>
        <w:spacing w:after="0" w:line="240" w:lineRule="auto"/>
      </w:pPr>
      <w:r>
        <w:separator/>
      </w:r>
    </w:p>
  </w:footnote>
  <w:footnote w:type="continuationSeparator" w:id="0">
    <w:p w:rsidR="00863EC9" w:rsidRDefault="00863EC9" w:rsidP="00802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510"/>
    <w:multiLevelType w:val="multilevel"/>
    <w:tmpl w:val="635C3654"/>
    <w:lvl w:ilvl="0">
      <w:start w:val="2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71" w:hanging="284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26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99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2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18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91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39"/>
    <w:rsid w:val="00001DEC"/>
    <w:rsid w:val="00002A7A"/>
    <w:rsid w:val="000035EE"/>
    <w:rsid w:val="00004891"/>
    <w:rsid w:val="00006703"/>
    <w:rsid w:val="0000717F"/>
    <w:rsid w:val="00022BF3"/>
    <w:rsid w:val="000270DE"/>
    <w:rsid w:val="00034BE5"/>
    <w:rsid w:val="00036C47"/>
    <w:rsid w:val="0005247B"/>
    <w:rsid w:val="00055309"/>
    <w:rsid w:val="0006215A"/>
    <w:rsid w:val="00062259"/>
    <w:rsid w:val="00063839"/>
    <w:rsid w:val="00063A3F"/>
    <w:rsid w:val="00063BB7"/>
    <w:rsid w:val="00066F39"/>
    <w:rsid w:val="00067E01"/>
    <w:rsid w:val="000718C9"/>
    <w:rsid w:val="00071F52"/>
    <w:rsid w:val="00072A01"/>
    <w:rsid w:val="000749A2"/>
    <w:rsid w:val="00076C49"/>
    <w:rsid w:val="000776F9"/>
    <w:rsid w:val="00083301"/>
    <w:rsid w:val="00084B34"/>
    <w:rsid w:val="00085181"/>
    <w:rsid w:val="00086B47"/>
    <w:rsid w:val="00087041"/>
    <w:rsid w:val="00087067"/>
    <w:rsid w:val="00093E82"/>
    <w:rsid w:val="00097781"/>
    <w:rsid w:val="000A6E26"/>
    <w:rsid w:val="000B0E40"/>
    <w:rsid w:val="000B14CB"/>
    <w:rsid w:val="000B76CC"/>
    <w:rsid w:val="000B7A7D"/>
    <w:rsid w:val="000B7BD2"/>
    <w:rsid w:val="000C03C6"/>
    <w:rsid w:val="000C27BC"/>
    <w:rsid w:val="000C2DDE"/>
    <w:rsid w:val="000C478D"/>
    <w:rsid w:val="000D3F91"/>
    <w:rsid w:val="000D5CCB"/>
    <w:rsid w:val="000E2F38"/>
    <w:rsid w:val="000F005C"/>
    <w:rsid w:val="000F120B"/>
    <w:rsid w:val="000F3753"/>
    <w:rsid w:val="000F496A"/>
    <w:rsid w:val="000F5B68"/>
    <w:rsid w:val="00107407"/>
    <w:rsid w:val="00111346"/>
    <w:rsid w:val="00112CB3"/>
    <w:rsid w:val="00116446"/>
    <w:rsid w:val="00116ED5"/>
    <w:rsid w:val="00125455"/>
    <w:rsid w:val="001262CC"/>
    <w:rsid w:val="00127862"/>
    <w:rsid w:val="00131E1C"/>
    <w:rsid w:val="00131E79"/>
    <w:rsid w:val="00132C00"/>
    <w:rsid w:val="00134E59"/>
    <w:rsid w:val="0013603F"/>
    <w:rsid w:val="00140806"/>
    <w:rsid w:val="0014083E"/>
    <w:rsid w:val="00140E3D"/>
    <w:rsid w:val="0014166E"/>
    <w:rsid w:val="001451ED"/>
    <w:rsid w:val="001508AE"/>
    <w:rsid w:val="00151285"/>
    <w:rsid w:val="00152DDD"/>
    <w:rsid w:val="00153B94"/>
    <w:rsid w:val="001611A2"/>
    <w:rsid w:val="00161C5A"/>
    <w:rsid w:val="001621F6"/>
    <w:rsid w:val="00164741"/>
    <w:rsid w:val="00165A7A"/>
    <w:rsid w:val="00170D8F"/>
    <w:rsid w:val="00174B5F"/>
    <w:rsid w:val="001752AF"/>
    <w:rsid w:val="00180009"/>
    <w:rsid w:val="001805F9"/>
    <w:rsid w:val="00180649"/>
    <w:rsid w:val="00184D40"/>
    <w:rsid w:val="0018593E"/>
    <w:rsid w:val="00186EF8"/>
    <w:rsid w:val="00187EB6"/>
    <w:rsid w:val="001908FA"/>
    <w:rsid w:val="00190A49"/>
    <w:rsid w:val="00191938"/>
    <w:rsid w:val="001953B0"/>
    <w:rsid w:val="00197295"/>
    <w:rsid w:val="001A2811"/>
    <w:rsid w:val="001A3EC0"/>
    <w:rsid w:val="001A4185"/>
    <w:rsid w:val="001A6FE5"/>
    <w:rsid w:val="001B0B27"/>
    <w:rsid w:val="001B2C95"/>
    <w:rsid w:val="001B6C6D"/>
    <w:rsid w:val="001C1201"/>
    <w:rsid w:val="001C2A74"/>
    <w:rsid w:val="001C4C00"/>
    <w:rsid w:val="001C4CDF"/>
    <w:rsid w:val="001D279F"/>
    <w:rsid w:val="001D3B52"/>
    <w:rsid w:val="001D4FDF"/>
    <w:rsid w:val="001E0855"/>
    <w:rsid w:val="001E11D2"/>
    <w:rsid w:val="001E3E18"/>
    <w:rsid w:val="001E4B23"/>
    <w:rsid w:val="001E64A6"/>
    <w:rsid w:val="001E6771"/>
    <w:rsid w:val="001F20E8"/>
    <w:rsid w:val="001F464A"/>
    <w:rsid w:val="002011A5"/>
    <w:rsid w:val="0020143E"/>
    <w:rsid w:val="0020310B"/>
    <w:rsid w:val="00204636"/>
    <w:rsid w:val="002060A8"/>
    <w:rsid w:val="00210891"/>
    <w:rsid w:val="00213225"/>
    <w:rsid w:val="00214650"/>
    <w:rsid w:val="00215FB3"/>
    <w:rsid w:val="00215FF9"/>
    <w:rsid w:val="002215F4"/>
    <w:rsid w:val="00221C7F"/>
    <w:rsid w:val="00222326"/>
    <w:rsid w:val="00225519"/>
    <w:rsid w:val="00225ACC"/>
    <w:rsid w:val="002275D2"/>
    <w:rsid w:val="0023354E"/>
    <w:rsid w:val="0023609A"/>
    <w:rsid w:val="00236383"/>
    <w:rsid w:val="002416EB"/>
    <w:rsid w:val="002572FE"/>
    <w:rsid w:val="002626A4"/>
    <w:rsid w:val="0026540D"/>
    <w:rsid w:val="0027038E"/>
    <w:rsid w:val="00273C0D"/>
    <w:rsid w:val="00275103"/>
    <w:rsid w:val="00275673"/>
    <w:rsid w:val="002761CF"/>
    <w:rsid w:val="00276F1F"/>
    <w:rsid w:val="002830AE"/>
    <w:rsid w:val="00283C1B"/>
    <w:rsid w:val="00284C41"/>
    <w:rsid w:val="00293173"/>
    <w:rsid w:val="00293E07"/>
    <w:rsid w:val="00294FE7"/>
    <w:rsid w:val="00296E6E"/>
    <w:rsid w:val="002A053E"/>
    <w:rsid w:val="002A17B0"/>
    <w:rsid w:val="002A228E"/>
    <w:rsid w:val="002A4B2C"/>
    <w:rsid w:val="002A7237"/>
    <w:rsid w:val="002B1FE9"/>
    <w:rsid w:val="002B593B"/>
    <w:rsid w:val="002B5C14"/>
    <w:rsid w:val="002B64EA"/>
    <w:rsid w:val="002B6FBE"/>
    <w:rsid w:val="002C468F"/>
    <w:rsid w:val="002C5146"/>
    <w:rsid w:val="002C7039"/>
    <w:rsid w:val="002D4116"/>
    <w:rsid w:val="002D471C"/>
    <w:rsid w:val="002D716D"/>
    <w:rsid w:val="002D7AAA"/>
    <w:rsid w:val="002F08B3"/>
    <w:rsid w:val="002F0E02"/>
    <w:rsid w:val="002F2A58"/>
    <w:rsid w:val="00301097"/>
    <w:rsid w:val="003025A1"/>
    <w:rsid w:val="0030323D"/>
    <w:rsid w:val="00306BD7"/>
    <w:rsid w:val="00310B6C"/>
    <w:rsid w:val="00311E24"/>
    <w:rsid w:val="003148D2"/>
    <w:rsid w:val="003165F4"/>
    <w:rsid w:val="0031679A"/>
    <w:rsid w:val="00316A83"/>
    <w:rsid w:val="00320393"/>
    <w:rsid w:val="003224E5"/>
    <w:rsid w:val="00324836"/>
    <w:rsid w:val="003259C4"/>
    <w:rsid w:val="003325B5"/>
    <w:rsid w:val="00333AD1"/>
    <w:rsid w:val="0034291D"/>
    <w:rsid w:val="00344340"/>
    <w:rsid w:val="00353BE7"/>
    <w:rsid w:val="0036007A"/>
    <w:rsid w:val="00360BC7"/>
    <w:rsid w:val="00362AE9"/>
    <w:rsid w:val="00365545"/>
    <w:rsid w:val="00365876"/>
    <w:rsid w:val="0037313D"/>
    <w:rsid w:val="00375096"/>
    <w:rsid w:val="00380F71"/>
    <w:rsid w:val="00381A64"/>
    <w:rsid w:val="00382BA5"/>
    <w:rsid w:val="00385314"/>
    <w:rsid w:val="003878F3"/>
    <w:rsid w:val="00393954"/>
    <w:rsid w:val="00394D47"/>
    <w:rsid w:val="00397826"/>
    <w:rsid w:val="003A6F6A"/>
    <w:rsid w:val="003B0F60"/>
    <w:rsid w:val="003B61AA"/>
    <w:rsid w:val="003B79F9"/>
    <w:rsid w:val="003B7EF3"/>
    <w:rsid w:val="003C1603"/>
    <w:rsid w:val="003D19B2"/>
    <w:rsid w:val="003D5113"/>
    <w:rsid w:val="003D596A"/>
    <w:rsid w:val="003E4345"/>
    <w:rsid w:val="003F1582"/>
    <w:rsid w:val="003F1AA5"/>
    <w:rsid w:val="003F1CD2"/>
    <w:rsid w:val="003F2734"/>
    <w:rsid w:val="003F520D"/>
    <w:rsid w:val="003F7AAD"/>
    <w:rsid w:val="0040320A"/>
    <w:rsid w:val="00403A92"/>
    <w:rsid w:val="00404129"/>
    <w:rsid w:val="00406D0E"/>
    <w:rsid w:val="004100EC"/>
    <w:rsid w:val="00410424"/>
    <w:rsid w:val="00415CC1"/>
    <w:rsid w:val="00417C17"/>
    <w:rsid w:val="004202B6"/>
    <w:rsid w:val="00420A00"/>
    <w:rsid w:val="00420F60"/>
    <w:rsid w:val="00427B02"/>
    <w:rsid w:val="00430444"/>
    <w:rsid w:val="004333D4"/>
    <w:rsid w:val="00437237"/>
    <w:rsid w:val="00441A65"/>
    <w:rsid w:val="00441D9E"/>
    <w:rsid w:val="00444690"/>
    <w:rsid w:val="00450090"/>
    <w:rsid w:val="00453B2F"/>
    <w:rsid w:val="00454EBE"/>
    <w:rsid w:val="00461BA1"/>
    <w:rsid w:val="00462635"/>
    <w:rsid w:val="00464A4D"/>
    <w:rsid w:val="00474859"/>
    <w:rsid w:val="00475DD3"/>
    <w:rsid w:val="0048244E"/>
    <w:rsid w:val="0048308A"/>
    <w:rsid w:val="0049043C"/>
    <w:rsid w:val="00492684"/>
    <w:rsid w:val="00497040"/>
    <w:rsid w:val="004A0464"/>
    <w:rsid w:val="004A0E0E"/>
    <w:rsid w:val="004A1203"/>
    <w:rsid w:val="004A1560"/>
    <w:rsid w:val="004A5D28"/>
    <w:rsid w:val="004B01FE"/>
    <w:rsid w:val="004B4422"/>
    <w:rsid w:val="004B7343"/>
    <w:rsid w:val="004C0358"/>
    <w:rsid w:val="004C40F2"/>
    <w:rsid w:val="004C6681"/>
    <w:rsid w:val="004C710D"/>
    <w:rsid w:val="004D288D"/>
    <w:rsid w:val="004D5206"/>
    <w:rsid w:val="004D605D"/>
    <w:rsid w:val="004D6B57"/>
    <w:rsid w:val="004D76E5"/>
    <w:rsid w:val="004D7DEE"/>
    <w:rsid w:val="004E0A68"/>
    <w:rsid w:val="004F23AD"/>
    <w:rsid w:val="004F3BD9"/>
    <w:rsid w:val="004F5799"/>
    <w:rsid w:val="004F6BC6"/>
    <w:rsid w:val="0050387B"/>
    <w:rsid w:val="00510400"/>
    <w:rsid w:val="005118F2"/>
    <w:rsid w:val="00515003"/>
    <w:rsid w:val="00522CDE"/>
    <w:rsid w:val="00524E05"/>
    <w:rsid w:val="00530980"/>
    <w:rsid w:val="0053339F"/>
    <w:rsid w:val="00537F7D"/>
    <w:rsid w:val="00543029"/>
    <w:rsid w:val="00543CEB"/>
    <w:rsid w:val="005455B3"/>
    <w:rsid w:val="0054630B"/>
    <w:rsid w:val="00547213"/>
    <w:rsid w:val="005509FA"/>
    <w:rsid w:val="00550D57"/>
    <w:rsid w:val="005520E8"/>
    <w:rsid w:val="00553457"/>
    <w:rsid w:val="005574F1"/>
    <w:rsid w:val="005617F0"/>
    <w:rsid w:val="00561B2E"/>
    <w:rsid w:val="005664E9"/>
    <w:rsid w:val="00567739"/>
    <w:rsid w:val="005716D2"/>
    <w:rsid w:val="0057190F"/>
    <w:rsid w:val="00574295"/>
    <w:rsid w:val="005824BC"/>
    <w:rsid w:val="00582665"/>
    <w:rsid w:val="00582B06"/>
    <w:rsid w:val="005856EF"/>
    <w:rsid w:val="0058593C"/>
    <w:rsid w:val="00585A23"/>
    <w:rsid w:val="00586049"/>
    <w:rsid w:val="005860F5"/>
    <w:rsid w:val="00586DE2"/>
    <w:rsid w:val="00590C63"/>
    <w:rsid w:val="00593103"/>
    <w:rsid w:val="00593475"/>
    <w:rsid w:val="0059390A"/>
    <w:rsid w:val="005939E7"/>
    <w:rsid w:val="005950B0"/>
    <w:rsid w:val="005A3F87"/>
    <w:rsid w:val="005A4299"/>
    <w:rsid w:val="005A6447"/>
    <w:rsid w:val="005B416E"/>
    <w:rsid w:val="005B43A7"/>
    <w:rsid w:val="005C19CC"/>
    <w:rsid w:val="005C4CD8"/>
    <w:rsid w:val="005D0072"/>
    <w:rsid w:val="005D0718"/>
    <w:rsid w:val="005D478A"/>
    <w:rsid w:val="005D49B8"/>
    <w:rsid w:val="005D6F07"/>
    <w:rsid w:val="005D71DC"/>
    <w:rsid w:val="005E2EBE"/>
    <w:rsid w:val="005E68B9"/>
    <w:rsid w:val="005E7086"/>
    <w:rsid w:val="005E7767"/>
    <w:rsid w:val="005F6B7E"/>
    <w:rsid w:val="00600722"/>
    <w:rsid w:val="00600FD3"/>
    <w:rsid w:val="006012EE"/>
    <w:rsid w:val="0060272D"/>
    <w:rsid w:val="00602D16"/>
    <w:rsid w:val="00603560"/>
    <w:rsid w:val="00604D2D"/>
    <w:rsid w:val="00606EDB"/>
    <w:rsid w:val="00610186"/>
    <w:rsid w:val="00616206"/>
    <w:rsid w:val="0061620C"/>
    <w:rsid w:val="00622580"/>
    <w:rsid w:val="006264B7"/>
    <w:rsid w:val="006275BC"/>
    <w:rsid w:val="00630457"/>
    <w:rsid w:val="00631235"/>
    <w:rsid w:val="00642859"/>
    <w:rsid w:val="00642BB5"/>
    <w:rsid w:val="00642D5C"/>
    <w:rsid w:val="006437F7"/>
    <w:rsid w:val="00647167"/>
    <w:rsid w:val="006515AC"/>
    <w:rsid w:val="00653FE6"/>
    <w:rsid w:val="00654861"/>
    <w:rsid w:val="00656D11"/>
    <w:rsid w:val="00657430"/>
    <w:rsid w:val="006577DF"/>
    <w:rsid w:val="0066587D"/>
    <w:rsid w:val="00666571"/>
    <w:rsid w:val="0067510C"/>
    <w:rsid w:val="00676D1C"/>
    <w:rsid w:val="006822D7"/>
    <w:rsid w:val="006841D9"/>
    <w:rsid w:val="0068719C"/>
    <w:rsid w:val="00687D7D"/>
    <w:rsid w:val="0069080C"/>
    <w:rsid w:val="00690A39"/>
    <w:rsid w:val="0069167F"/>
    <w:rsid w:val="00696498"/>
    <w:rsid w:val="0069726F"/>
    <w:rsid w:val="006A04CB"/>
    <w:rsid w:val="006A0FCF"/>
    <w:rsid w:val="006A38FB"/>
    <w:rsid w:val="006B4E63"/>
    <w:rsid w:val="006C35F7"/>
    <w:rsid w:val="006C49DF"/>
    <w:rsid w:val="006C7FDC"/>
    <w:rsid w:val="006D087A"/>
    <w:rsid w:val="006D38BA"/>
    <w:rsid w:val="006D4CBB"/>
    <w:rsid w:val="006D7386"/>
    <w:rsid w:val="006E0693"/>
    <w:rsid w:val="006E0B08"/>
    <w:rsid w:val="006E2F55"/>
    <w:rsid w:val="006E70AB"/>
    <w:rsid w:val="006E74DE"/>
    <w:rsid w:val="006F4889"/>
    <w:rsid w:val="006F64D1"/>
    <w:rsid w:val="006F6E58"/>
    <w:rsid w:val="00701805"/>
    <w:rsid w:val="00712CF0"/>
    <w:rsid w:val="0071548C"/>
    <w:rsid w:val="0072411C"/>
    <w:rsid w:val="007257EE"/>
    <w:rsid w:val="0072618D"/>
    <w:rsid w:val="00727094"/>
    <w:rsid w:val="00727618"/>
    <w:rsid w:val="0073092B"/>
    <w:rsid w:val="00731C49"/>
    <w:rsid w:val="007332D9"/>
    <w:rsid w:val="007403FA"/>
    <w:rsid w:val="00741E3B"/>
    <w:rsid w:val="00743FA4"/>
    <w:rsid w:val="00745B00"/>
    <w:rsid w:val="00747448"/>
    <w:rsid w:val="007534F0"/>
    <w:rsid w:val="007551A7"/>
    <w:rsid w:val="00756FC3"/>
    <w:rsid w:val="007606C5"/>
    <w:rsid w:val="007654D7"/>
    <w:rsid w:val="0076564C"/>
    <w:rsid w:val="00766EB5"/>
    <w:rsid w:val="00770C61"/>
    <w:rsid w:val="00774315"/>
    <w:rsid w:val="00774BAE"/>
    <w:rsid w:val="0077754A"/>
    <w:rsid w:val="00780132"/>
    <w:rsid w:val="00780408"/>
    <w:rsid w:val="007853FD"/>
    <w:rsid w:val="00791782"/>
    <w:rsid w:val="00792547"/>
    <w:rsid w:val="00792FDE"/>
    <w:rsid w:val="007934B3"/>
    <w:rsid w:val="00796C71"/>
    <w:rsid w:val="007A67D7"/>
    <w:rsid w:val="007A759C"/>
    <w:rsid w:val="007B1753"/>
    <w:rsid w:val="007B232B"/>
    <w:rsid w:val="007B47F8"/>
    <w:rsid w:val="007B49E1"/>
    <w:rsid w:val="007B6033"/>
    <w:rsid w:val="007C4BED"/>
    <w:rsid w:val="007C541A"/>
    <w:rsid w:val="007C6812"/>
    <w:rsid w:val="007C7737"/>
    <w:rsid w:val="007D1B9F"/>
    <w:rsid w:val="007D1CE0"/>
    <w:rsid w:val="007D4198"/>
    <w:rsid w:val="007D72EC"/>
    <w:rsid w:val="007E40C1"/>
    <w:rsid w:val="007E44CA"/>
    <w:rsid w:val="007F190F"/>
    <w:rsid w:val="007F6C26"/>
    <w:rsid w:val="00801ACB"/>
    <w:rsid w:val="00802719"/>
    <w:rsid w:val="00803A26"/>
    <w:rsid w:val="00810956"/>
    <w:rsid w:val="00812385"/>
    <w:rsid w:val="008132F3"/>
    <w:rsid w:val="00816F5A"/>
    <w:rsid w:val="008170E8"/>
    <w:rsid w:val="008230D6"/>
    <w:rsid w:val="00833E29"/>
    <w:rsid w:val="00833F13"/>
    <w:rsid w:val="00836326"/>
    <w:rsid w:val="008371B3"/>
    <w:rsid w:val="0084061A"/>
    <w:rsid w:val="00841D24"/>
    <w:rsid w:val="00847A3C"/>
    <w:rsid w:val="00855497"/>
    <w:rsid w:val="00857782"/>
    <w:rsid w:val="008632B9"/>
    <w:rsid w:val="00863EC9"/>
    <w:rsid w:val="00865FC0"/>
    <w:rsid w:val="00880D77"/>
    <w:rsid w:val="00882F99"/>
    <w:rsid w:val="00883D9B"/>
    <w:rsid w:val="008846ED"/>
    <w:rsid w:val="00890425"/>
    <w:rsid w:val="00890FB3"/>
    <w:rsid w:val="00891673"/>
    <w:rsid w:val="008925D0"/>
    <w:rsid w:val="00892BD2"/>
    <w:rsid w:val="00896A0A"/>
    <w:rsid w:val="00897C71"/>
    <w:rsid w:val="008A079B"/>
    <w:rsid w:val="008A26CD"/>
    <w:rsid w:val="008A6B39"/>
    <w:rsid w:val="008B21F2"/>
    <w:rsid w:val="008B3062"/>
    <w:rsid w:val="008B31E5"/>
    <w:rsid w:val="008B4370"/>
    <w:rsid w:val="008B4395"/>
    <w:rsid w:val="008B6208"/>
    <w:rsid w:val="008C3DCC"/>
    <w:rsid w:val="008C4F6A"/>
    <w:rsid w:val="008C6FD8"/>
    <w:rsid w:val="008E0A56"/>
    <w:rsid w:val="008E2B5E"/>
    <w:rsid w:val="008F1759"/>
    <w:rsid w:val="008F18EF"/>
    <w:rsid w:val="008F2D5E"/>
    <w:rsid w:val="008F3ACB"/>
    <w:rsid w:val="008F4E92"/>
    <w:rsid w:val="008F66F5"/>
    <w:rsid w:val="009004DF"/>
    <w:rsid w:val="009058A4"/>
    <w:rsid w:val="009106AD"/>
    <w:rsid w:val="0091094F"/>
    <w:rsid w:val="00913AB4"/>
    <w:rsid w:val="00920920"/>
    <w:rsid w:val="0092230F"/>
    <w:rsid w:val="0092553A"/>
    <w:rsid w:val="00925751"/>
    <w:rsid w:val="009267A2"/>
    <w:rsid w:val="0093082C"/>
    <w:rsid w:val="00935007"/>
    <w:rsid w:val="0093694A"/>
    <w:rsid w:val="0094007C"/>
    <w:rsid w:val="00941ACF"/>
    <w:rsid w:val="009421FF"/>
    <w:rsid w:val="009426BA"/>
    <w:rsid w:val="009450B2"/>
    <w:rsid w:val="009508B4"/>
    <w:rsid w:val="00954221"/>
    <w:rsid w:val="009548D3"/>
    <w:rsid w:val="0095598D"/>
    <w:rsid w:val="00957C96"/>
    <w:rsid w:val="0096160D"/>
    <w:rsid w:val="0096230A"/>
    <w:rsid w:val="0096652F"/>
    <w:rsid w:val="00970567"/>
    <w:rsid w:val="0097508F"/>
    <w:rsid w:val="009756CA"/>
    <w:rsid w:val="00984233"/>
    <w:rsid w:val="009842A2"/>
    <w:rsid w:val="00984B2A"/>
    <w:rsid w:val="00991040"/>
    <w:rsid w:val="009960BE"/>
    <w:rsid w:val="00996E60"/>
    <w:rsid w:val="009970E1"/>
    <w:rsid w:val="009972EA"/>
    <w:rsid w:val="009A007F"/>
    <w:rsid w:val="009A05DC"/>
    <w:rsid w:val="009A5806"/>
    <w:rsid w:val="009B1C98"/>
    <w:rsid w:val="009B1F1C"/>
    <w:rsid w:val="009B2128"/>
    <w:rsid w:val="009B251A"/>
    <w:rsid w:val="009B30B9"/>
    <w:rsid w:val="009B5646"/>
    <w:rsid w:val="009B57D5"/>
    <w:rsid w:val="009C16D3"/>
    <w:rsid w:val="009C2051"/>
    <w:rsid w:val="009C4F68"/>
    <w:rsid w:val="009C78D0"/>
    <w:rsid w:val="009D1C6E"/>
    <w:rsid w:val="009E04C7"/>
    <w:rsid w:val="009E5802"/>
    <w:rsid w:val="009E68DD"/>
    <w:rsid w:val="009F17EA"/>
    <w:rsid w:val="009F1B6C"/>
    <w:rsid w:val="009F5639"/>
    <w:rsid w:val="009F6A26"/>
    <w:rsid w:val="00A0038C"/>
    <w:rsid w:val="00A0495E"/>
    <w:rsid w:val="00A131E3"/>
    <w:rsid w:val="00A15E27"/>
    <w:rsid w:val="00A16737"/>
    <w:rsid w:val="00A17302"/>
    <w:rsid w:val="00A21292"/>
    <w:rsid w:val="00A2437C"/>
    <w:rsid w:val="00A269FC"/>
    <w:rsid w:val="00A27249"/>
    <w:rsid w:val="00A3017B"/>
    <w:rsid w:val="00A320FB"/>
    <w:rsid w:val="00A358DB"/>
    <w:rsid w:val="00A3599E"/>
    <w:rsid w:val="00A35DBF"/>
    <w:rsid w:val="00A41802"/>
    <w:rsid w:val="00A43AB1"/>
    <w:rsid w:val="00A50650"/>
    <w:rsid w:val="00A52A7C"/>
    <w:rsid w:val="00A53211"/>
    <w:rsid w:val="00A5759A"/>
    <w:rsid w:val="00A62F4E"/>
    <w:rsid w:val="00A67172"/>
    <w:rsid w:val="00A7268D"/>
    <w:rsid w:val="00A73181"/>
    <w:rsid w:val="00A77BBD"/>
    <w:rsid w:val="00A77F11"/>
    <w:rsid w:val="00A8043B"/>
    <w:rsid w:val="00A806A9"/>
    <w:rsid w:val="00A858ED"/>
    <w:rsid w:val="00A859FC"/>
    <w:rsid w:val="00A919A7"/>
    <w:rsid w:val="00A91C86"/>
    <w:rsid w:val="00A94576"/>
    <w:rsid w:val="00A959E3"/>
    <w:rsid w:val="00A9670D"/>
    <w:rsid w:val="00AA0252"/>
    <w:rsid w:val="00AA1F00"/>
    <w:rsid w:val="00AA3941"/>
    <w:rsid w:val="00AA4B4B"/>
    <w:rsid w:val="00AA6B46"/>
    <w:rsid w:val="00AA753B"/>
    <w:rsid w:val="00AB006E"/>
    <w:rsid w:val="00AB1CC7"/>
    <w:rsid w:val="00AB2399"/>
    <w:rsid w:val="00AB3CB4"/>
    <w:rsid w:val="00AB5B1D"/>
    <w:rsid w:val="00AB6869"/>
    <w:rsid w:val="00AB6D97"/>
    <w:rsid w:val="00AD3137"/>
    <w:rsid w:val="00AE3465"/>
    <w:rsid w:val="00AE7AAF"/>
    <w:rsid w:val="00AF069C"/>
    <w:rsid w:val="00AF464D"/>
    <w:rsid w:val="00AF5F14"/>
    <w:rsid w:val="00AF633E"/>
    <w:rsid w:val="00AF6E4F"/>
    <w:rsid w:val="00AF7288"/>
    <w:rsid w:val="00B00A32"/>
    <w:rsid w:val="00B00EB7"/>
    <w:rsid w:val="00B0369F"/>
    <w:rsid w:val="00B05037"/>
    <w:rsid w:val="00B1713A"/>
    <w:rsid w:val="00B227F9"/>
    <w:rsid w:val="00B22CD0"/>
    <w:rsid w:val="00B22D0C"/>
    <w:rsid w:val="00B236B2"/>
    <w:rsid w:val="00B24982"/>
    <w:rsid w:val="00B250D6"/>
    <w:rsid w:val="00B26CC3"/>
    <w:rsid w:val="00B319AA"/>
    <w:rsid w:val="00B43175"/>
    <w:rsid w:val="00B456CA"/>
    <w:rsid w:val="00B464B5"/>
    <w:rsid w:val="00B54166"/>
    <w:rsid w:val="00B55BF9"/>
    <w:rsid w:val="00B568A1"/>
    <w:rsid w:val="00B56D37"/>
    <w:rsid w:val="00B56E94"/>
    <w:rsid w:val="00B6145E"/>
    <w:rsid w:val="00B64394"/>
    <w:rsid w:val="00B67DF3"/>
    <w:rsid w:val="00B71AF3"/>
    <w:rsid w:val="00B77D89"/>
    <w:rsid w:val="00B80428"/>
    <w:rsid w:val="00B8198A"/>
    <w:rsid w:val="00B83DF5"/>
    <w:rsid w:val="00B86443"/>
    <w:rsid w:val="00B90840"/>
    <w:rsid w:val="00B92325"/>
    <w:rsid w:val="00B95627"/>
    <w:rsid w:val="00B96458"/>
    <w:rsid w:val="00B96BDF"/>
    <w:rsid w:val="00B96F56"/>
    <w:rsid w:val="00BA05EE"/>
    <w:rsid w:val="00BA799A"/>
    <w:rsid w:val="00BB00A6"/>
    <w:rsid w:val="00BB1A94"/>
    <w:rsid w:val="00BB4E56"/>
    <w:rsid w:val="00BB707E"/>
    <w:rsid w:val="00BC2803"/>
    <w:rsid w:val="00BC3677"/>
    <w:rsid w:val="00BC5493"/>
    <w:rsid w:val="00BD5E03"/>
    <w:rsid w:val="00BD6B05"/>
    <w:rsid w:val="00BD798A"/>
    <w:rsid w:val="00BE5B89"/>
    <w:rsid w:val="00BF4E8B"/>
    <w:rsid w:val="00C05EA9"/>
    <w:rsid w:val="00C07E73"/>
    <w:rsid w:val="00C13C6B"/>
    <w:rsid w:val="00C162AF"/>
    <w:rsid w:val="00C200B0"/>
    <w:rsid w:val="00C206CC"/>
    <w:rsid w:val="00C207F8"/>
    <w:rsid w:val="00C225BF"/>
    <w:rsid w:val="00C24B1D"/>
    <w:rsid w:val="00C24FE8"/>
    <w:rsid w:val="00C26708"/>
    <w:rsid w:val="00C273DF"/>
    <w:rsid w:val="00C31EF1"/>
    <w:rsid w:val="00C32171"/>
    <w:rsid w:val="00C3314E"/>
    <w:rsid w:val="00C33C56"/>
    <w:rsid w:val="00C373EB"/>
    <w:rsid w:val="00C43FFE"/>
    <w:rsid w:val="00C45EB1"/>
    <w:rsid w:val="00C467F2"/>
    <w:rsid w:val="00C5366D"/>
    <w:rsid w:val="00C578A3"/>
    <w:rsid w:val="00C63B71"/>
    <w:rsid w:val="00C734C0"/>
    <w:rsid w:val="00C768D1"/>
    <w:rsid w:val="00C804A7"/>
    <w:rsid w:val="00C822A0"/>
    <w:rsid w:val="00C845A3"/>
    <w:rsid w:val="00C90063"/>
    <w:rsid w:val="00C90F22"/>
    <w:rsid w:val="00C92FE0"/>
    <w:rsid w:val="00C96A56"/>
    <w:rsid w:val="00CA2257"/>
    <w:rsid w:val="00CA78C8"/>
    <w:rsid w:val="00CB7827"/>
    <w:rsid w:val="00CB7F10"/>
    <w:rsid w:val="00CC0C37"/>
    <w:rsid w:val="00CC1D06"/>
    <w:rsid w:val="00CC2CCE"/>
    <w:rsid w:val="00CC47D8"/>
    <w:rsid w:val="00CC5583"/>
    <w:rsid w:val="00CC6AD7"/>
    <w:rsid w:val="00CD03FE"/>
    <w:rsid w:val="00CD41E1"/>
    <w:rsid w:val="00CD565A"/>
    <w:rsid w:val="00CD6043"/>
    <w:rsid w:val="00CD72C3"/>
    <w:rsid w:val="00CD77D4"/>
    <w:rsid w:val="00CE0FA0"/>
    <w:rsid w:val="00CE45EE"/>
    <w:rsid w:val="00CF141F"/>
    <w:rsid w:val="00CF2C7E"/>
    <w:rsid w:val="00CF7BC9"/>
    <w:rsid w:val="00D027B1"/>
    <w:rsid w:val="00D066F8"/>
    <w:rsid w:val="00D075C5"/>
    <w:rsid w:val="00D10AA5"/>
    <w:rsid w:val="00D10D62"/>
    <w:rsid w:val="00D11549"/>
    <w:rsid w:val="00D133B9"/>
    <w:rsid w:val="00D14747"/>
    <w:rsid w:val="00D152A8"/>
    <w:rsid w:val="00D21E26"/>
    <w:rsid w:val="00D22A41"/>
    <w:rsid w:val="00D22F64"/>
    <w:rsid w:val="00D34E78"/>
    <w:rsid w:val="00D36342"/>
    <w:rsid w:val="00D4123D"/>
    <w:rsid w:val="00D41368"/>
    <w:rsid w:val="00D424BE"/>
    <w:rsid w:val="00D44B6B"/>
    <w:rsid w:val="00D45F15"/>
    <w:rsid w:val="00D477CA"/>
    <w:rsid w:val="00D51F42"/>
    <w:rsid w:val="00D54150"/>
    <w:rsid w:val="00D55526"/>
    <w:rsid w:val="00D72560"/>
    <w:rsid w:val="00D7687A"/>
    <w:rsid w:val="00D76C83"/>
    <w:rsid w:val="00D838B0"/>
    <w:rsid w:val="00D84435"/>
    <w:rsid w:val="00D84F31"/>
    <w:rsid w:val="00D96F04"/>
    <w:rsid w:val="00D97332"/>
    <w:rsid w:val="00DA1F2B"/>
    <w:rsid w:val="00DA3D44"/>
    <w:rsid w:val="00DA6EF9"/>
    <w:rsid w:val="00DA7622"/>
    <w:rsid w:val="00DB0A07"/>
    <w:rsid w:val="00DB2833"/>
    <w:rsid w:val="00DB326A"/>
    <w:rsid w:val="00DB38ED"/>
    <w:rsid w:val="00DB5753"/>
    <w:rsid w:val="00DB6FD2"/>
    <w:rsid w:val="00DC005F"/>
    <w:rsid w:val="00DC1DE2"/>
    <w:rsid w:val="00DC3C65"/>
    <w:rsid w:val="00DC5CAA"/>
    <w:rsid w:val="00DD0182"/>
    <w:rsid w:val="00DD590C"/>
    <w:rsid w:val="00DD5C52"/>
    <w:rsid w:val="00DD7578"/>
    <w:rsid w:val="00DD7874"/>
    <w:rsid w:val="00DE0FFE"/>
    <w:rsid w:val="00DE3E29"/>
    <w:rsid w:val="00DE5E4A"/>
    <w:rsid w:val="00DE69AB"/>
    <w:rsid w:val="00DE69FF"/>
    <w:rsid w:val="00DF0735"/>
    <w:rsid w:val="00DF2E6D"/>
    <w:rsid w:val="00DF4690"/>
    <w:rsid w:val="00DF5662"/>
    <w:rsid w:val="00DF7A0B"/>
    <w:rsid w:val="00E00CE1"/>
    <w:rsid w:val="00E028C2"/>
    <w:rsid w:val="00E04559"/>
    <w:rsid w:val="00E05174"/>
    <w:rsid w:val="00E057D1"/>
    <w:rsid w:val="00E128F1"/>
    <w:rsid w:val="00E149B6"/>
    <w:rsid w:val="00E1536F"/>
    <w:rsid w:val="00E160D2"/>
    <w:rsid w:val="00E2301C"/>
    <w:rsid w:val="00E23FD6"/>
    <w:rsid w:val="00E27E00"/>
    <w:rsid w:val="00E324DB"/>
    <w:rsid w:val="00E36D07"/>
    <w:rsid w:val="00E40984"/>
    <w:rsid w:val="00E429C4"/>
    <w:rsid w:val="00E60883"/>
    <w:rsid w:val="00E63FCA"/>
    <w:rsid w:val="00E6745F"/>
    <w:rsid w:val="00E67FA1"/>
    <w:rsid w:val="00E707F7"/>
    <w:rsid w:val="00E71B70"/>
    <w:rsid w:val="00E722AA"/>
    <w:rsid w:val="00E75043"/>
    <w:rsid w:val="00E8120E"/>
    <w:rsid w:val="00E828E3"/>
    <w:rsid w:val="00E9066C"/>
    <w:rsid w:val="00E90D17"/>
    <w:rsid w:val="00E9349F"/>
    <w:rsid w:val="00E94B78"/>
    <w:rsid w:val="00E95301"/>
    <w:rsid w:val="00E95F8B"/>
    <w:rsid w:val="00E9652A"/>
    <w:rsid w:val="00E97059"/>
    <w:rsid w:val="00EA5329"/>
    <w:rsid w:val="00EA6873"/>
    <w:rsid w:val="00EB2AFA"/>
    <w:rsid w:val="00EB4704"/>
    <w:rsid w:val="00EB5457"/>
    <w:rsid w:val="00EB5A34"/>
    <w:rsid w:val="00EB64E8"/>
    <w:rsid w:val="00EC3988"/>
    <w:rsid w:val="00EC6070"/>
    <w:rsid w:val="00ED045A"/>
    <w:rsid w:val="00EE79A6"/>
    <w:rsid w:val="00EF145E"/>
    <w:rsid w:val="00EF37D4"/>
    <w:rsid w:val="00EF4C08"/>
    <w:rsid w:val="00EF53D0"/>
    <w:rsid w:val="00F037BF"/>
    <w:rsid w:val="00F1047A"/>
    <w:rsid w:val="00F11B0B"/>
    <w:rsid w:val="00F17330"/>
    <w:rsid w:val="00F20AEB"/>
    <w:rsid w:val="00F2260F"/>
    <w:rsid w:val="00F22755"/>
    <w:rsid w:val="00F23BED"/>
    <w:rsid w:val="00F24E30"/>
    <w:rsid w:val="00F27F3E"/>
    <w:rsid w:val="00F32218"/>
    <w:rsid w:val="00F34D51"/>
    <w:rsid w:val="00F428F9"/>
    <w:rsid w:val="00F45D3E"/>
    <w:rsid w:val="00F47327"/>
    <w:rsid w:val="00F515A4"/>
    <w:rsid w:val="00F52E96"/>
    <w:rsid w:val="00F54A2B"/>
    <w:rsid w:val="00F558B5"/>
    <w:rsid w:val="00F60345"/>
    <w:rsid w:val="00F603A6"/>
    <w:rsid w:val="00F60A37"/>
    <w:rsid w:val="00F63E78"/>
    <w:rsid w:val="00F65F70"/>
    <w:rsid w:val="00F7062B"/>
    <w:rsid w:val="00F7076B"/>
    <w:rsid w:val="00F7181B"/>
    <w:rsid w:val="00F74A05"/>
    <w:rsid w:val="00F769AD"/>
    <w:rsid w:val="00F83C18"/>
    <w:rsid w:val="00F84C76"/>
    <w:rsid w:val="00F90B42"/>
    <w:rsid w:val="00F911EE"/>
    <w:rsid w:val="00FA154A"/>
    <w:rsid w:val="00FA2C6A"/>
    <w:rsid w:val="00FA6647"/>
    <w:rsid w:val="00FB1D7C"/>
    <w:rsid w:val="00FB20ED"/>
    <w:rsid w:val="00FB301F"/>
    <w:rsid w:val="00FB353E"/>
    <w:rsid w:val="00FB4ED5"/>
    <w:rsid w:val="00FB6D98"/>
    <w:rsid w:val="00FB7858"/>
    <w:rsid w:val="00FC0A5D"/>
    <w:rsid w:val="00FC11BF"/>
    <w:rsid w:val="00FC30CD"/>
    <w:rsid w:val="00FC6207"/>
    <w:rsid w:val="00FC676E"/>
    <w:rsid w:val="00FC6C73"/>
    <w:rsid w:val="00FD1277"/>
    <w:rsid w:val="00FD1394"/>
    <w:rsid w:val="00FD1B48"/>
    <w:rsid w:val="00FD2B6F"/>
    <w:rsid w:val="00FD35C5"/>
    <w:rsid w:val="00FE362C"/>
    <w:rsid w:val="00FE601A"/>
    <w:rsid w:val="00FE65D2"/>
    <w:rsid w:val="00FE65DB"/>
    <w:rsid w:val="00FE6BD3"/>
    <w:rsid w:val="00FF1C0C"/>
    <w:rsid w:val="00FF2305"/>
    <w:rsid w:val="00FF2CCE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7C92E-A8AE-4929-9318-A63E4AA8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1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025A1"/>
    <w:pPr>
      <w:widowControl w:val="0"/>
      <w:autoSpaceDE w:val="0"/>
      <w:autoSpaceDN w:val="0"/>
      <w:spacing w:before="173" w:after="0" w:line="240" w:lineRule="auto"/>
      <w:ind w:left="717" w:hanging="567"/>
    </w:pPr>
    <w:rPr>
      <w:rFonts w:ascii="Arial MT" w:eastAsia="Arial MT" w:hAnsi="Arial MT" w:cs="Arial MT"/>
      <w:lang w:val="en-US"/>
    </w:rPr>
  </w:style>
  <w:style w:type="character" w:customStyle="1" w:styleId="jlqj4b">
    <w:name w:val="jlqj4b"/>
    <w:basedOn w:val="DefaultParagraphFont"/>
    <w:rsid w:val="009C4F68"/>
  </w:style>
  <w:style w:type="character" w:customStyle="1" w:styleId="viiyi">
    <w:name w:val="viiyi"/>
    <w:basedOn w:val="DefaultParagraphFont"/>
    <w:rsid w:val="009C4F68"/>
  </w:style>
  <w:style w:type="character" w:customStyle="1" w:styleId="q4iawc">
    <w:name w:val="q4iawc"/>
    <w:basedOn w:val="DefaultParagraphFont"/>
    <w:rsid w:val="005664E9"/>
  </w:style>
  <w:style w:type="character" w:customStyle="1" w:styleId="Heading2Char">
    <w:name w:val="Heading 2 Char"/>
    <w:basedOn w:val="DefaultParagraphFont"/>
    <w:link w:val="Heading2"/>
    <w:uiPriority w:val="9"/>
    <w:rsid w:val="00D4123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ztplmc">
    <w:name w:val="ztplmc"/>
    <w:basedOn w:val="DefaultParagraphFont"/>
    <w:rsid w:val="00D4123D"/>
  </w:style>
  <w:style w:type="paragraph" w:styleId="Header">
    <w:name w:val="header"/>
    <w:basedOn w:val="Normal"/>
    <w:link w:val="HeaderChar"/>
    <w:uiPriority w:val="99"/>
    <w:unhideWhenUsed/>
    <w:rsid w:val="00802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19"/>
  </w:style>
  <w:style w:type="paragraph" w:styleId="Footer">
    <w:name w:val="footer"/>
    <w:basedOn w:val="Normal"/>
    <w:link w:val="FooterChar"/>
    <w:uiPriority w:val="99"/>
    <w:unhideWhenUsed/>
    <w:rsid w:val="00802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43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2D856-8A7C-4F74-9EA4-DEBB1C0E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1722</Words>
  <Characters>9820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2022-05-03T12:58:00Z</dcterms:created>
  <dcterms:modified xsi:type="dcterms:W3CDTF">2022-05-31T11:06:00Z</dcterms:modified>
</cp:coreProperties>
</file>