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EF17" w14:textId="77777777" w:rsidR="00FC6ED3" w:rsidRPr="009C783E" w:rsidRDefault="00FC6ED3" w:rsidP="00BF1217">
      <w:pPr>
        <w:pStyle w:val="NormalWeb"/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9C783E">
        <w:rPr>
          <w:rStyle w:val="Strong"/>
          <w:caps/>
        </w:rPr>
        <w:t>Նախագիծ</w:t>
      </w:r>
    </w:p>
    <w:p w14:paraId="5A472A5C" w14:textId="77777777" w:rsidR="00FC6ED3" w:rsidRPr="009C783E" w:rsidRDefault="00FC6ED3" w:rsidP="00AD45AE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7730DF90" w14:textId="77777777" w:rsidR="00FC6ED3" w:rsidRPr="009C783E" w:rsidRDefault="00FC6ED3" w:rsidP="00AD45AE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9C783E">
        <w:rPr>
          <w:rStyle w:val="Strong"/>
          <w:rFonts w:eastAsiaTheme="majorEastAsia"/>
        </w:rPr>
        <w:t>ՀԱՅԱՍՏԱՆԻ ՀԱՆՐԱՊԵՏՈՒԹՅԱՆ</w:t>
      </w:r>
    </w:p>
    <w:p w14:paraId="239095F1" w14:textId="46375209" w:rsidR="00FC6ED3" w:rsidRPr="009C783E" w:rsidRDefault="00FC6ED3" w:rsidP="00AD45AE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</w:rPr>
      </w:pPr>
      <w:r w:rsidRPr="009C783E">
        <w:rPr>
          <w:rStyle w:val="Strong"/>
          <w:rFonts w:eastAsiaTheme="majorEastAsia"/>
        </w:rPr>
        <w:t>ՕՐԵՆՔԸ</w:t>
      </w:r>
    </w:p>
    <w:p w14:paraId="5352F1F2" w14:textId="77777777" w:rsidR="00AD45AE" w:rsidRPr="009C783E" w:rsidRDefault="00AD45AE" w:rsidP="00AD45AE">
      <w:pPr>
        <w:pStyle w:val="NormalWeb"/>
        <w:spacing w:before="0" w:beforeAutospacing="0" w:after="0" w:afterAutospacing="0"/>
        <w:ind w:firstLine="0"/>
        <w:jc w:val="center"/>
        <w:rPr>
          <w:rFonts w:ascii="GHEA Grapalat" w:eastAsiaTheme="majorEastAsia" w:hAnsi="GHEA Grapalat"/>
          <w:lang w:val="hy-AM"/>
        </w:rPr>
      </w:pPr>
    </w:p>
    <w:p w14:paraId="7CD4FE3D" w14:textId="24F16529" w:rsidR="00FC6ED3" w:rsidRPr="009C783E" w:rsidRDefault="00FC6ED3" w:rsidP="00AD45AE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00120271">
        <w:rPr>
          <w:rStyle w:val="Strong"/>
          <w:rFonts w:eastAsiaTheme="majorEastAsia"/>
        </w:rPr>
        <w:t>ՀԱՅԱՍՏԱՆԻ ՀԱՆՐԱՊԵՏՈՒԹՅԱՆ ՀԱՐԿԱՅԻՆ ՕՐԵՆՍԳՐՔՈՒՄ ԼՐԱՑՈՒՄ ԵՎ ՓՈՓՈԽՈՒԹՅՈՒՆ</w:t>
      </w:r>
      <w:r w:rsidR="00462C14">
        <w:rPr>
          <w:rStyle w:val="Strong"/>
          <w:rFonts w:eastAsiaTheme="majorEastAsia"/>
        </w:rPr>
        <w:t>ՆԵՐ</w:t>
      </w:r>
      <w:r w:rsidRPr="00120271">
        <w:rPr>
          <w:rStyle w:val="Strong"/>
          <w:rFonts w:eastAsiaTheme="majorEastAsia"/>
        </w:rPr>
        <w:t xml:space="preserve"> ԿԱՏԱՐԵԼՈՒ </w:t>
      </w:r>
      <w:r w:rsidRPr="00120271">
        <w:rPr>
          <w:rStyle w:val="Strong"/>
          <w:rFonts w:eastAsiaTheme="majorEastAsia" w:cs="Sylfaen"/>
        </w:rPr>
        <w:t>ՄԱՍԻՆ</w:t>
      </w:r>
    </w:p>
    <w:p w14:paraId="7CC42B9F" w14:textId="77777777" w:rsidR="00FC6ED3" w:rsidRPr="009C783E" w:rsidRDefault="00FC6ED3" w:rsidP="00AD45AE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3A9BCF3D" w14:textId="77777777" w:rsidR="0027185C" w:rsidRPr="0027185C" w:rsidRDefault="00FC6ED3" w:rsidP="00AD45AE">
      <w:pPr>
        <w:pStyle w:val="ListParagraph"/>
        <w:tabs>
          <w:tab w:val="clear" w:pos="3121"/>
          <w:tab w:val="left" w:pos="1800"/>
        </w:tabs>
        <w:ind w:left="0" w:firstLine="540"/>
        <w:rPr>
          <w:szCs w:val="24"/>
          <w:lang w:val="hy-AM"/>
        </w:rPr>
      </w:pPr>
      <w:bookmarkStart w:id="0" w:name="_Ref792965"/>
      <w:r w:rsidRPr="009C783E">
        <w:rPr>
          <w:szCs w:val="24"/>
        </w:rPr>
        <w:t xml:space="preserve">Հայաստանի </w:t>
      </w:r>
      <w:proofErr w:type="spellStart"/>
      <w:r w:rsidRPr="009C783E">
        <w:rPr>
          <w:szCs w:val="24"/>
        </w:rPr>
        <w:t>Հանրապետության</w:t>
      </w:r>
      <w:proofErr w:type="spellEnd"/>
      <w:r w:rsidRPr="009C783E">
        <w:rPr>
          <w:szCs w:val="24"/>
        </w:rPr>
        <w:t xml:space="preserve"> 2016 </w:t>
      </w:r>
      <w:proofErr w:type="spellStart"/>
      <w:r w:rsidRPr="009C783E">
        <w:rPr>
          <w:szCs w:val="24"/>
        </w:rPr>
        <w:t>թվա</w:t>
      </w:r>
      <w:r w:rsidRPr="009C783E">
        <w:rPr>
          <w:szCs w:val="24"/>
        </w:rPr>
        <w:softHyphen/>
        <w:t>կանի</w:t>
      </w:r>
      <w:proofErr w:type="spellEnd"/>
      <w:r w:rsidRPr="009C783E">
        <w:rPr>
          <w:szCs w:val="24"/>
        </w:rPr>
        <w:t xml:space="preserve"> </w:t>
      </w:r>
      <w:proofErr w:type="spellStart"/>
      <w:r w:rsidRPr="009C783E">
        <w:rPr>
          <w:szCs w:val="24"/>
        </w:rPr>
        <w:t>հոկ</w:t>
      </w:r>
      <w:r w:rsidRPr="009C783E">
        <w:rPr>
          <w:szCs w:val="24"/>
        </w:rPr>
        <w:softHyphen/>
      </w:r>
      <w:r w:rsidRPr="009C783E">
        <w:rPr>
          <w:szCs w:val="24"/>
        </w:rPr>
        <w:softHyphen/>
        <w:t>տեմբերի</w:t>
      </w:r>
      <w:proofErr w:type="spellEnd"/>
      <w:r w:rsidRPr="009C783E">
        <w:rPr>
          <w:szCs w:val="24"/>
          <w:lang w:val="hy-AM"/>
        </w:rPr>
        <w:t xml:space="preserve"> </w:t>
      </w:r>
      <w:r w:rsidRPr="009C783E">
        <w:rPr>
          <w:szCs w:val="24"/>
        </w:rPr>
        <w:t xml:space="preserve">4-ի </w:t>
      </w:r>
      <w:proofErr w:type="spellStart"/>
      <w:r w:rsidRPr="009C783E">
        <w:rPr>
          <w:szCs w:val="24"/>
        </w:rPr>
        <w:t>հար</w:t>
      </w:r>
      <w:r w:rsidRPr="009C783E">
        <w:rPr>
          <w:szCs w:val="24"/>
        </w:rPr>
        <w:softHyphen/>
        <w:t>կա</w:t>
      </w:r>
      <w:r w:rsidRPr="009C783E">
        <w:rPr>
          <w:szCs w:val="24"/>
        </w:rPr>
        <w:softHyphen/>
      </w:r>
      <w:r w:rsidRPr="009C783E">
        <w:rPr>
          <w:szCs w:val="24"/>
        </w:rPr>
        <w:softHyphen/>
        <w:t>յին</w:t>
      </w:r>
      <w:proofErr w:type="spellEnd"/>
      <w:r w:rsidRPr="009C783E">
        <w:rPr>
          <w:szCs w:val="24"/>
        </w:rPr>
        <w:t xml:space="preserve"> </w:t>
      </w:r>
      <w:proofErr w:type="spellStart"/>
      <w:r w:rsidRPr="009C783E">
        <w:rPr>
          <w:szCs w:val="24"/>
        </w:rPr>
        <w:t>օրենս</w:t>
      </w:r>
      <w:r w:rsidRPr="009C783E">
        <w:rPr>
          <w:szCs w:val="24"/>
        </w:rPr>
        <w:softHyphen/>
        <w:t>գրքի</w:t>
      </w:r>
      <w:bookmarkEnd w:id="0"/>
      <w:proofErr w:type="spellEnd"/>
      <w:r w:rsidRPr="009C783E">
        <w:rPr>
          <w:szCs w:val="24"/>
          <w:lang w:val="hy-AM"/>
        </w:rPr>
        <w:t xml:space="preserve"> </w:t>
      </w:r>
      <w:r w:rsidRPr="009C783E">
        <w:rPr>
          <w:lang w:val="hy-AM"/>
        </w:rPr>
        <w:t xml:space="preserve">(այսուհետ՝ Օրենսգիրք) </w:t>
      </w:r>
      <w:r w:rsidR="00DD276F" w:rsidRPr="009C783E">
        <w:rPr>
          <w:lang w:val="hy-AM"/>
        </w:rPr>
        <w:t xml:space="preserve">202-րդ հոդվածի </w:t>
      </w:r>
      <w:r w:rsidR="00953E56" w:rsidRPr="009C783E">
        <w:rPr>
          <w:lang w:val="hy-AM"/>
        </w:rPr>
        <w:t>3-րդ մասի</w:t>
      </w:r>
      <w:r w:rsidR="00B84A87">
        <w:rPr>
          <w:lang w:val="hy-AM"/>
        </w:rPr>
        <w:t>՝</w:t>
      </w:r>
      <w:r w:rsidR="00953E56" w:rsidRPr="009C783E">
        <w:rPr>
          <w:lang w:val="hy-AM"/>
        </w:rPr>
        <w:t xml:space="preserve"> </w:t>
      </w:r>
    </w:p>
    <w:p w14:paraId="6C2CDABB" w14:textId="2E958F00" w:rsidR="00DD276F" w:rsidRPr="00120271" w:rsidRDefault="00953E56" w:rsidP="00E66244">
      <w:pPr>
        <w:pStyle w:val="ListParagraph"/>
        <w:numPr>
          <w:ilvl w:val="0"/>
          <w:numId w:val="8"/>
        </w:numPr>
        <w:tabs>
          <w:tab w:val="left" w:pos="851"/>
        </w:tabs>
        <w:ind w:left="0" w:firstLine="546"/>
        <w:rPr>
          <w:szCs w:val="24"/>
          <w:lang w:val="hy-AM"/>
        </w:rPr>
      </w:pPr>
      <w:r w:rsidRPr="009C783E">
        <w:rPr>
          <w:lang w:val="hy-AM"/>
        </w:rPr>
        <w:t xml:space="preserve">2-րդ կետում լրացնել հետևյալ </w:t>
      </w:r>
      <w:r w:rsidRPr="00120271">
        <w:rPr>
          <w:lang w:val="hy-AM"/>
        </w:rPr>
        <w:t>բովանդակությամբ նախադասություն.</w:t>
      </w:r>
    </w:p>
    <w:p w14:paraId="5C119E5A" w14:textId="086C226C" w:rsidR="00953E56" w:rsidRDefault="00953E56" w:rsidP="00AD45AE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20271">
        <w:rPr>
          <w:rFonts w:ascii="GHEA Grapalat" w:hAnsi="GHEA Grapalat"/>
          <w:sz w:val="24"/>
          <w:szCs w:val="24"/>
          <w:lang w:val="hy-AM"/>
        </w:rPr>
        <w:t>«</w:t>
      </w:r>
      <w:r w:rsidR="007D6B50" w:rsidRPr="00120271">
        <w:rPr>
          <w:rFonts w:ascii="GHEA Grapalat" w:hAnsi="GHEA Grapalat"/>
          <w:sz w:val="24"/>
          <w:szCs w:val="24"/>
          <w:lang w:val="hy-AM"/>
        </w:rPr>
        <w:t>Խտա</w:t>
      </w:r>
      <w:r w:rsidR="007D6B50" w:rsidRPr="00120271">
        <w:rPr>
          <w:rFonts w:ascii="GHEA Grapalat" w:hAnsi="GHEA Grapalat"/>
          <w:sz w:val="24"/>
          <w:szCs w:val="24"/>
          <w:lang w:val="hy-AM"/>
        </w:rPr>
        <w:softHyphen/>
        <w:t xml:space="preserve">նյութի մատակարարման պայմանագրում </w:t>
      </w:r>
      <w:proofErr w:type="spellStart"/>
      <w:r w:rsidR="007D6B50" w:rsidRPr="00120271">
        <w:rPr>
          <w:rFonts w:ascii="GHEA Grapalat" w:hAnsi="GHEA Grapalat"/>
          <w:sz w:val="24"/>
          <w:szCs w:val="24"/>
          <w:lang w:val="hy-AM"/>
        </w:rPr>
        <w:t>գնորոշման</w:t>
      </w:r>
      <w:proofErr w:type="spellEnd"/>
      <w:r w:rsidR="007D6B50" w:rsidRPr="00120271">
        <w:rPr>
          <w:rFonts w:ascii="GHEA Grapalat" w:hAnsi="GHEA Grapalat"/>
          <w:sz w:val="24"/>
          <w:szCs w:val="24"/>
          <w:lang w:val="hy-AM"/>
        </w:rPr>
        <w:t xml:space="preserve"> համար խտանյութի մատա</w:t>
      </w:r>
      <w:r w:rsid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կա</w:t>
      </w:r>
      <w:r w:rsid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րար</w:t>
      </w:r>
      <w:r w:rsid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ման օրն ընդգրկող ամսվա</w:t>
      </w:r>
      <w:r w:rsidR="00120271">
        <w:rPr>
          <w:rFonts w:ascii="GHEA Grapalat" w:hAnsi="GHEA Grapalat"/>
          <w:sz w:val="24"/>
          <w:szCs w:val="24"/>
          <w:lang w:val="hy-AM"/>
        </w:rPr>
        <w:t>ն</w:t>
      </w:r>
      <w:r w:rsidR="007D6B50" w:rsidRPr="00120271">
        <w:rPr>
          <w:rFonts w:ascii="GHEA Grapalat" w:hAnsi="GHEA Grapalat"/>
          <w:sz w:val="24"/>
          <w:szCs w:val="24"/>
          <w:lang w:val="hy-AM"/>
        </w:rPr>
        <w:t xml:space="preserve"> հաջորդող </w:t>
      </w:r>
      <w:r w:rsidR="00F54ECF">
        <w:rPr>
          <w:rFonts w:ascii="GHEA Grapalat" w:hAnsi="GHEA Grapalat"/>
          <w:sz w:val="24"/>
          <w:szCs w:val="24"/>
          <w:lang w:val="hy-AM"/>
        </w:rPr>
        <w:t xml:space="preserve">երկրորդ </w:t>
      </w:r>
      <w:r w:rsidR="007D6B50" w:rsidRPr="00120271">
        <w:rPr>
          <w:rFonts w:ascii="GHEA Grapalat" w:hAnsi="GHEA Grapalat"/>
          <w:sz w:val="24"/>
          <w:szCs w:val="24"/>
          <w:lang w:val="hy-AM"/>
        </w:rPr>
        <w:t xml:space="preserve">ամիսը ներառյալ </w:t>
      </w:r>
      <w:proofErr w:type="spellStart"/>
      <w:r w:rsidR="007D6B50" w:rsidRPr="00120271">
        <w:rPr>
          <w:rFonts w:ascii="GHEA Grapalat" w:hAnsi="GHEA Grapalat"/>
          <w:sz w:val="24"/>
          <w:szCs w:val="24"/>
          <w:lang w:val="hy-AM"/>
        </w:rPr>
        <w:t>ժամա</w:t>
      </w:r>
      <w:r w:rsidR="007D6B50" w:rsidRP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softHyphen/>
        <w:t>նակահատվածից</w:t>
      </w:r>
      <w:proofErr w:type="spellEnd"/>
      <w:r w:rsidR="007D6B50" w:rsidRPr="00120271">
        <w:rPr>
          <w:rFonts w:ascii="GHEA Grapalat" w:hAnsi="GHEA Grapalat"/>
          <w:sz w:val="24"/>
          <w:szCs w:val="24"/>
          <w:lang w:val="hy-AM"/>
        </w:rPr>
        <w:t xml:space="preserve"> ավելի երկար ժամանակահատված նախատեսված լինելու դեպքում մատա</w:t>
      </w:r>
      <w:r w:rsidR="007D6B50" w:rsidRP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softHyphen/>
        <w:t>կարարված խտա</w:t>
      </w:r>
      <w:r w:rsidR="00F54ECF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նյութի ֆիզի</w:t>
      </w:r>
      <w:r w:rsid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կական ծավալի գինը հաշվարկելու համար հիմք են ընդուն</w:t>
      </w:r>
      <w:r w:rsidR="007D6B50" w:rsidRPr="00120271">
        <w:rPr>
          <w:rFonts w:ascii="GHEA Grapalat" w:hAnsi="GHEA Grapalat"/>
          <w:sz w:val="24"/>
          <w:szCs w:val="24"/>
          <w:lang w:val="hy-AM"/>
        </w:rPr>
        <w:softHyphen/>
        <w:t>վում խտանյութի մատա</w:t>
      </w:r>
      <w:r w:rsid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կա</w:t>
      </w:r>
      <w:r w:rsid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րար</w:t>
      </w:r>
      <w:r w:rsidR="00120271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ման օրն ընդգրկող ամսվան հաջորդող</w:t>
      </w:r>
      <w:r w:rsidR="006019A4">
        <w:rPr>
          <w:rFonts w:ascii="GHEA Grapalat" w:hAnsi="GHEA Grapalat"/>
          <w:sz w:val="24"/>
          <w:szCs w:val="24"/>
          <w:lang w:val="hy-AM"/>
        </w:rPr>
        <w:t xml:space="preserve"> երկրորդ</w:t>
      </w:r>
      <w:r w:rsidR="007D6B50" w:rsidRPr="00120271">
        <w:rPr>
          <w:rFonts w:ascii="GHEA Grapalat" w:hAnsi="GHEA Grapalat"/>
          <w:sz w:val="24"/>
          <w:szCs w:val="24"/>
          <w:lang w:val="hy-AM"/>
        </w:rPr>
        <w:t xml:space="preserve"> ամսվա համար ձևավորված՝ մետաղ</w:t>
      </w:r>
      <w:r w:rsidR="00F54ECF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ների միջ</w:t>
      </w:r>
      <w:r w:rsidR="00E225DD" w:rsidRPr="00E225DD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ազգա</w:t>
      </w:r>
      <w:r w:rsidR="00E225DD">
        <w:rPr>
          <w:rFonts w:ascii="GHEA Grapalat" w:hAnsi="GHEA Grapalat"/>
          <w:sz w:val="24"/>
          <w:szCs w:val="24"/>
          <w:lang w:val="hy-AM"/>
        </w:rPr>
        <w:softHyphen/>
      </w:r>
      <w:r w:rsidR="007D6B50" w:rsidRPr="00120271">
        <w:rPr>
          <w:rFonts w:ascii="GHEA Grapalat" w:hAnsi="GHEA Grapalat"/>
          <w:sz w:val="24"/>
          <w:szCs w:val="24"/>
          <w:lang w:val="hy-AM"/>
        </w:rPr>
        <w:t>յին միջին գները։</w:t>
      </w:r>
      <w:r w:rsidRPr="00120271">
        <w:rPr>
          <w:rFonts w:ascii="GHEA Grapalat" w:hAnsi="GHEA Grapalat"/>
          <w:sz w:val="24"/>
          <w:szCs w:val="24"/>
          <w:lang w:val="hy-AM"/>
        </w:rPr>
        <w:t>»</w:t>
      </w:r>
      <w:r w:rsidR="00075416">
        <w:rPr>
          <w:rFonts w:ascii="GHEA Grapalat" w:hAnsi="GHEA Grapalat"/>
          <w:sz w:val="24"/>
          <w:szCs w:val="24"/>
          <w:lang w:val="hy-AM"/>
        </w:rPr>
        <w:t>.</w:t>
      </w:r>
    </w:p>
    <w:p w14:paraId="3DA91C09" w14:textId="69BA7E5D" w:rsidR="00075416" w:rsidRPr="009C783E" w:rsidRDefault="00075416" w:rsidP="00D84244">
      <w:pPr>
        <w:pStyle w:val="ListParagraph"/>
        <w:numPr>
          <w:ilvl w:val="0"/>
          <w:numId w:val="8"/>
        </w:numPr>
        <w:tabs>
          <w:tab w:val="left" w:pos="851"/>
        </w:tabs>
        <w:ind w:left="0" w:firstLine="546"/>
        <w:rPr>
          <w:szCs w:val="24"/>
          <w:lang w:val="hy-AM"/>
        </w:rPr>
      </w:pPr>
      <w:r>
        <w:rPr>
          <w:szCs w:val="24"/>
          <w:lang w:val="hy-AM"/>
        </w:rPr>
        <w:t xml:space="preserve">3-րդ </w:t>
      </w:r>
      <w:r w:rsidR="001E62C1">
        <w:rPr>
          <w:szCs w:val="24"/>
          <w:lang w:val="hy-AM"/>
        </w:rPr>
        <w:t>կետի «գ» ենթակետում «20» և «80» թվերը փոխարինե</w:t>
      </w:r>
      <w:r w:rsidR="00B3635A">
        <w:rPr>
          <w:szCs w:val="24"/>
          <w:lang w:val="hy-AM"/>
        </w:rPr>
        <w:t>լ համապատասխանաբար «15» և «85» թվերով:</w:t>
      </w:r>
    </w:p>
    <w:p w14:paraId="13E457ED" w14:textId="5C67A710" w:rsidR="00FC6ED3" w:rsidRPr="009C783E" w:rsidRDefault="005F05BE" w:rsidP="00AD45AE">
      <w:pPr>
        <w:pStyle w:val="ListParagraph"/>
        <w:tabs>
          <w:tab w:val="clear" w:pos="3121"/>
          <w:tab w:val="left" w:pos="1800"/>
        </w:tabs>
        <w:spacing w:before="240"/>
        <w:ind w:left="0" w:firstLine="540"/>
        <w:rPr>
          <w:szCs w:val="24"/>
          <w:lang w:val="hy-AM"/>
        </w:rPr>
      </w:pPr>
      <w:r w:rsidRPr="009C783E">
        <w:rPr>
          <w:lang w:val="hy-AM"/>
        </w:rPr>
        <w:t xml:space="preserve">Օրենսգրքի </w:t>
      </w:r>
      <w:r w:rsidR="00FC6ED3" w:rsidRPr="009C783E">
        <w:rPr>
          <w:lang w:val="hy-AM"/>
        </w:rPr>
        <w:t>209-րդ հոդվածի 1-ին մասը շարադրել հետևյալ խմբագրությամբ.</w:t>
      </w:r>
    </w:p>
    <w:p w14:paraId="0ECB16B7" w14:textId="7C410EF7" w:rsidR="00FC6ED3" w:rsidRPr="009C783E" w:rsidRDefault="00FC6ED3" w:rsidP="00AD45AE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C783E">
        <w:rPr>
          <w:rFonts w:ascii="GHEA Grapalat" w:hAnsi="GHEA Grapalat"/>
          <w:sz w:val="24"/>
          <w:szCs w:val="24"/>
          <w:lang w:val="hy-AM"/>
        </w:rPr>
        <w:t>«1. Ռոյալթիի համար սահմանվում է ռոյալթիի բազայի նկատմամբ արժեքային (տոկոսային) դրույքաչափ, որի մեծությունը որոշվում է հետևյալ բանաձևով.</w:t>
      </w:r>
    </w:p>
    <w:p w14:paraId="6E9CD592" w14:textId="2FE5EFC3" w:rsidR="00FC6ED3" w:rsidRPr="00BF1217" w:rsidRDefault="00BF1217" w:rsidP="00AD45AE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R=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</m:oMath>
      </m:oMathPara>
    </w:p>
    <w:p w14:paraId="20332ED0" w14:textId="4533A215" w:rsidR="00FC6ED3" w:rsidRPr="009C783E" w:rsidRDefault="00FC6ED3" w:rsidP="00AD45AE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C783E">
        <w:rPr>
          <w:rFonts w:ascii="GHEA Grapalat" w:hAnsi="GHEA Grapalat"/>
          <w:sz w:val="24"/>
          <w:szCs w:val="24"/>
          <w:lang w:val="hy-AM"/>
        </w:rPr>
        <w:t>որտեղ`</w:t>
      </w:r>
    </w:p>
    <w:p w14:paraId="6697A697" w14:textId="7EC00F13" w:rsidR="00FC6ED3" w:rsidRPr="009C783E" w:rsidRDefault="00FC6ED3" w:rsidP="00AD45AE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C783E">
        <w:rPr>
          <w:rFonts w:ascii="GHEA Grapalat" w:hAnsi="GHEA Grapalat"/>
          <w:sz w:val="24"/>
          <w:szCs w:val="24"/>
          <w:lang w:val="hy-AM"/>
        </w:rPr>
        <w:t xml:space="preserve">R </w:t>
      </w:r>
      <w:r w:rsidR="00AD45AE" w:rsidRPr="009C783E">
        <w:rPr>
          <w:rFonts w:ascii="GHEA Grapalat" w:hAnsi="GHEA Grapalat"/>
          <w:sz w:val="24"/>
          <w:szCs w:val="24"/>
          <w:lang w:val="hy-AM"/>
        </w:rPr>
        <w:t>-</w:t>
      </w:r>
      <w:r w:rsidRPr="009C783E">
        <w:rPr>
          <w:rFonts w:ascii="GHEA Grapalat" w:hAnsi="GHEA Grapalat"/>
          <w:sz w:val="24"/>
          <w:szCs w:val="24"/>
          <w:lang w:val="hy-AM"/>
        </w:rPr>
        <w:t xml:space="preserve"> ռոյալթիի դրույքաչափն է՝ տոկոսով.</w:t>
      </w:r>
    </w:p>
    <w:p w14:paraId="71BD8494" w14:textId="06D42848" w:rsidR="0099390B" w:rsidRPr="005C47C3" w:rsidRDefault="004715D5" w:rsidP="00320669">
      <w:pPr>
        <w:ind w:left="518" w:firstLine="22"/>
        <w:jc w:val="both"/>
        <w:rPr>
          <w:rFonts w:ascii="GHEA Grapalat" w:hAnsi="GHEA Grapalat"/>
          <w:iCs/>
          <w:sz w:val="24"/>
          <w:szCs w:val="24"/>
          <w:lang w:val="hy-AM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=4</m:t>
          </m:r>
        </m:oMath>
      </m:oMathPara>
    </w:p>
    <w:p w14:paraId="3501BFD2" w14:textId="0302BBA0" w:rsidR="00803CD9" w:rsidRPr="00320669" w:rsidRDefault="004715D5" w:rsidP="00320669">
      <w:pPr>
        <w:ind w:left="518" w:firstLine="49"/>
        <w:jc w:val="both"/>
        <w:rPr>
          <w:rFonts w:ascii="Cambria Math" w:hAnsi="Cambria Math"/>
          <w:sz w:val="24"/>
          <w:szCs w:val="24"/>
          <w:lang w:val="hy-AM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Շ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Հ×8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×100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Շ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Հ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-0.1</m:t>
              </m:r>
            </m:e>
          </m:d>
          <m:r>
            <w:rPr>
              <w:rFonts w:ascii="Cambria Math" w:hAnsi="Cambria Math"/>
              <w:sz w:val="24"/>
              <w:szCs w:val="24"/>
              <w:lang w:val="hy-AM"/>
            </w:rPr>
            <m:t>×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6</m:t>
              </m:r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.5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×100</m:t>
          </m:r>
        </m:oMath>
      </m:oMathPara>
    </w:p>
    <w:p w14:paraId="52A8E6E3" w14:textId="71DCEF1D" w:rsidR="00A6565C" w:rsidRDefault="0099390B" w:rsidP="00AD45AE">
      <w:pPr>
        <w:ind w:firstLine="54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Ընդ որում, </w:t>
      </w:r>
      <w:r w:rsidRPr="0099390B">
        <w:rPr>
          <w:rFonts w:ascii="GHEA Grapalat" w:hAnsi="GHEA Grapalat"/>
          <w:sz w:val="24"/>
          <w:szCs w:val="24"/>
          <w:lang w:val="hy-AM"/>
        </w:rPr>
        <w:t>R</w:t>
      </w:r>
      <w:r w:rsidRPr="0099390B">
        <w:rPr>
          <w:rFonts w:ascii="GHEA Grapalat" w:hAnsi="GHEA Grapalat"/>
          <w:sz w:val="24"/>
          <w:szCs w:val="24"/>
          <w:vertAlign w:val="subscript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-ը </w:t>
      </w:r>
      <w:r w:rsidR="00A6565C" w:rsidRPr="00120271">
        <w:rPr>
          <w:rFonts w:ascii="GHEA Grapalat" w:hAnsi="GHEA Grapalat"/>
          <w:sz w:val="24"/>
          <w:szCs w:val="24"/>
          <w:lang w:val="hy-AM"/>
        </w:rPr>
        <w:t>հաշվարկվում է միայն այն դեպքում, երբ ռոյալթի վճարողի մոտ Շ</w:t>
      </w:r>
      <w:r w:rsidR="00324020" w:rsidRPr="00324020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="00A6565C" w:rsidRPr="00120271">
        <w:rPr>
          <w:rFonts w:ascii="GHEA Grapalat" w:hAnsi="GHEA Grapalat"/>
          <w:sz w:val="24"/>
          <w:szCs w:val="24"/>
          <w:lang w:val="hy-AM"/>
        </w:rPr>
        <w:t>/Հ հարա</w:t>
      </w:r>
      <w:r w:rsidR="00513763" w:rsidRPr="00513763">
        <w:rPr>
          <w:rFonts w:ascii="GHEA Grapalat" w:hAnsi="GHEA Grapalat"/>
          <w:sz w:val="24"/>
          <w:szCs w:val="24"/>
          <w:lang w:val="hy-AM"/>
        </w:rPr>
        <w:softHyphen/>
      </w:r>
      <w:r w:rsidR="00A6565C" w:rsidRPr="00120271">
        <w:rPr>
          <w:rFonts w:ascii="GHEA Grapalat" w:hAnsi="GHEA Grapalat"/>
          <w:sz w:val="24"/>
          <w:szCs w:val="24"/>
          <w:lang w:val="hy-AM"/>
        </w:rPr>
        <w:t>բե</w:t>
      </w:r>
      <w:r w:rsidR="00513763">
        <w:rPr>
          <w:rFonts w:ascii="GHEA Grapalat" w:hAnsi="GHEA Grapalat"/>
          <w:sz w:val="24"/>
          <w:szCs w:val="24"/>
          <w:lang w:val="hy-AM"/>
        </w:rPr>
        <w:softHyphen/>
      </w:r>
      <w:r w:rsidR="00A6565C" w:rsidRPr="00120271">
        <w:rPr>
          <w:rFonts w:ascii="GHEA Grapalat" w:hAnsi="GHEA Grapalat"/>
          <w:sz w:val="24"/>
          <w:szCs w:val="24"/>
          <w:lang w:val="hy-AM"/>
        </w:rPr>
        <w:t>րակցությունը գերազանցում է 0.</w:t>
      </w:r>
      <w:r w:rsidR="00D15EE9" w:rsidRPr="007F7B8B">
        <w:rPr>
          <w:rFonts w:ascii="GHEA Grapalat" w:hAnsi="GHEA Grapalat"/>
          <w:sz w:val="24"/>
          <w:szCs w:val="24"/>
          <w:lang w:val="hy-AM"/>
        </w:rPr>
        <w:t>1</w:t>
      </w:r>
      <w:r w:rsidR="00A6565C" w:rsidRPr="00120271">
        <w:rPr>
          <w:rFonts w:ascii="GHEA Grapalat" w:hAnsi="GHEA Grapalat"/>
          <w:sz w:val="24"/>
          <w:szCs w:val="24"/>
          <w:lang w:val="hy-AM"/>
        </w:rPr>
        <w:t>-ը</w:t>
      </w:r>
      <w:r w:rsidR="00DB1289">
        <w:rPr>
          <w:rFonts w:ascii="Cambria Math" w:hAnsi="Cambria Math"/>
          <w:sz w:val="24"/>
          <w:szCs w:val="24"/>
          <w:lang w:val="hy-AM"/>
        </w:rPr>
        <w:t>․</w:t>
      </w:r>
    </w:p>
    <w:p w14:paraId="49B78B69" w14:textId="74929A74" w:rsidR="00DB1289" w:rsidRDefault="00DB1289" w:rsidP="00DB1289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C783E">
        <w:rPr>
          <w:rFonts w:ascii="GHEA Grapalat" w:hAnsi="GHEA Grapalat"/>
          <w:sz w:val="24"/>
          <w:szCs w:val="24"/>
          <w:lang w:val="hy-AM"/>
        </w:rPr>
        <w:t>Շ - շահույթն է նախքան հարկումը` դրամով, որը հաշվարկվում է որպես ռոյալթիի բազայի և Օրենսգրքի 6-րդ բաժնով սահմանված</w:t>
      </w:r>
      <w:r w:rsidR="005E6AA8">
        <w:rPr>
          <w:rFonts w:ascii="GHEA Grapalat" w:hAnsi="GHEA Grapalat"/>
          <w:sz w:val="24"/>
          <w:szCs w:val="24"/>
          <w:lang w:val="hy-AM"/>
        </w:rPr>
        <w:t>՝</w:t>
      </w:r>
      <w:r w:rsidR="00767518" w:rsidRPr="00767518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18" w:rsidRPr="009C783E">
        <w:rPr>
          <w:rFonts w:ascii="GHEA Grapalat" w:hAnsi="GHEA Grapalat"/>
          <w:sz w:val="24"/>
          <w:szCs w:val="24"/>
          <w:lang w:val="hy-AM"/>
        </w:rPr>
        <w:t>ռոյալթիի բազա</w:t>
      </w:r>
      <w:r w:rsidR="000B7BF4">
        <w:rPr>
          <w:rFonts w:ascii="GHEA Grapalat" w:hAnsi="GHEA Grapalat"/>
          <w:sz w:val="24"/>
          <w:szCs w:val="24"/>
          <w:lang w:val="hy-AM"/>
        </w:rPr>
        <w:t>յի</w:t>
      </w:r>
      <w:r w:rsidR="007675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CFE">
        <w:rPr>
          <w:rFonts w:ascii="GHEA Grapalat" w:hAnsi="GHEA Grapalat"/>
          <w:sz w:val="24"/>
          <w:szCs w:val="24"/>
          <w:lang w:val="hy-AM"/>
        </w:rPr>
        <w:t>հետ անմիջականորեն կապված</w:t>
      </w:r>
      <w:r w:rsidRPr="009C783E">
        <w:rPr>
          <w:rFonts w:ascii="GHEA Grapalat" w:hAnsi="GHEA Grapalat"/>
          <w:sz w:val="24"/>
          <w:szCs w:val="24"/>
          <w:lang w:val="hy-AM"/>
        </w:rPr>
        <w:t xml:space="preserve"> նվազեցումների (բացառությամբ ֆինանսական ծախսերի, սույն բաժնով սահմանված ռոյալթիի և նախորդ տարիների հարկային վնասների) դրական տարբերություն.</w:t>
      </w:r>
    </w:p>
    <w:p w14:paraId="5ED329CF" w14:textId="77777777" w:rsidR="00513763" w:rsidRDefault="00185991" w:rsidP="00DB1289">
      <w:pPr>
        <w:ind w:firstLine="540"/>
        <w:jc w:val="both"/>
        <w:rPr>
          <w:rFonts w:ascii="Cambria Math" w:hAnsi="Cambria Math"/>
          <w:sz w:val="24"/>
          <w:szCs w:val="24"/>
          <w:lang w:val="hy-AM"/>
        </w:rPr>
      </w:pPr>
      <w:r w:rsidRPr="009C783E">
        <w:rPr>
          <w:rFonts w:ascii="GHEA Grapalat" w:hAnsi="GHEA Grapalat"/>
          <w:sz w:val="24"/>
          <w:szCs w:val="24"/>
          <w:lang w:val="hy-AM"/>
        </w:rPr>
        <w:t>Հ - ռոյալթիի բազան է` դրամով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402E553A" w14:textId="474C8D3D" w:rsidR="00F36F47" w:rsidRDefault="00F36F47" w:rsidP="00DB1289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</w:t>
      </w:r>
      <w:r w:rsidRPr="00C70034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="00BA0854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38356A" w:rsidRPr="00965188">
        <w:rPr>
          <w:rFonts w:ascii="GHEA Grapalat" w:hAnsi="GHEA Grapalat"/>
          <w:sz w:val="24"/>
          <w:szCs w:val="24"/>
          <w:lang w:val="hy-AM"/>
        </w:rPr>
        <w:t>R</w:t>
      </w:r>
      <w:r w:rsidR="0038356A" w:rsidRPr="00965188">
        <w:rPr>
          <w:rFonts w:ascii="GHEA Grapalat" w:hAnsi="GHEA Grapalat"/>
          <w:sz w:val="24"/>
          <w:szCs w:val="24"/>
          <w:vertAlign w:val="subscript"/>
          <w:lang w:val="hy-AM"/>
        </w:rPr>
        <w:t>3</w:t>
      </w:r>
      <w:r w:rsidR="0038356A" w:rsidRPr="00965188">
        <w:rPr>
          <w:rFonts w:ascii="GHEA Grapalat" w:hAnsi="GHEA Grapalat"/>
          <w:sz w:val="24"/>
          <w:szCs w:val="24"/>
          <w:lang w:val="hy-AM"/>
        </w:rPr>
        <w:t>-</w:t>
      </w:r>
      <w:r w:rsidR="0038356A">
        <w:rPr>
          <w:rFonts w:ascii="GHEA Grapalat" w:hAnsi="GHEA Grapalat"/>
          <w:sz w:val="24"/>
          <w:szCs w:val="24"/>
          <w:lang w:val="hy-AM"/>
        </w:rPr>
        <w:t>ի հաշվարկման նպատակով կիրառվող</w:t>
      </w:r>
      <w:r w:rsidR="00E5495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շահույթն է նախքան հարկումը՝ դրամով, որ</w:t>
      </w:r>
      <w:r w:rsidR="007118BE">
        <w:rPr>
          <w:rFonts w:ascii="GHEA Grapalat" w:hAnsi="GHEA Grapalat"/>
          <w:sz w:val="24"/>
          <w:szCs w:val="24"/>
          <w:lang w:val="hy-AM"/>
        </w:rPr>
        <w:t>ի մե</w:t>
      </w:r>
      <w:r w:rsidR="00C70034">
        <w:rPr>
          <w:rFonts w:ascii="GHEA Grapalat" w:hAnsi="GHEA Grapalat"/>
          <w:sz w:val="24"/>
          <w:szCs w:val="24"/>
          <w:lang w:val="hy-AM"/>
        </w:rPr>
        <w:t>ծ</w:t>
      </w:r>
      <w:r w:rsidR="007118BE">
        <w:rPr>
          <w:rFonts w:ascii="GHEA Grapalat" w:hAnsi="GHEA Grapalat"/>
          <w:sz w:val="24"/>
          <w:szCs w:val="24"/>
          <w:lang w:val="hy-AM"/>
        </w:rPr>
        <w:t>ությունը որոշվում է հետևյալ բանա</w:t>
      </w:r>
      <w:r w:rsidR="003E23DF" w:rsidRPr="007E6507">
        <w:rPr>
          <w:rFonts w:ascii="GHEA Grapalat" w:hAnsi="GHEA Grapalat"/>
          <w:sz w:val="24"/>
          <w:szCs w:val="24"/>
          <w:lang w:val="hy-AM"/>
        </w:rPr>
        <w:softHyphen/>
      </w:r>
      <w:r w:rsidR="007118BE">
        <w:rPr>
          <w:rFonts w:ascii="GHEA Grapalat" w:hAnsi="GHEA Grapalat"/>
          <w:sz w:val="24"/>
          <w:szCs w:val="24"/>
          <w:lang w:val="hy-AM"/>
        </w:rPr>
        <w:t>ձևով</w:t>
      </w:r>
      <w:r w:rsidR="000079E2">
        <w:rPr>
          <w:rFonts w:ascii="Cambria Math" w:hAnsi="Cambria Math"/>
          <w:sz w:val="24"/>
          <w:szCs w:val="24"/>
          <w:lang w:val="hy-AM"/>
        </w:rPr>
        <w:t>․</w:t>
      </w:r>
    </w:p>
    <w:p w14:paraId="63DE95C4" w14:textId="7B5E4964" w:rsidR="007118BE" w:rsidRPr="0006398C" w:rsidRDefault="004715D5" w:rsidP="00DB1289">
      <w:pPr>
        <w:ind w:firstLine="540"/>
        <w:jc w:val="both"/>
        <w:rPr>
          <w:rFonts w:ascii="GHEA Grapalat" w:eastAsiaTheme="minorEastAsia" w:hAnsi="GHEA Grapalat"/>
          <w:iCs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Շ-ՖԾ-Հ×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hy-AM"/>
                </w:rPr>
              </m:ctrlPr>
            </m:fPr>
            <m:num>
              <m:d>
                <m:dPr>
                  <m:endChr m:val=""/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hy-AM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100</m:t>
              </m:r>
            </m:den>
          </m:f>
        </m:oMath>
      </m:oMathPara>
    </w:p>
    <w:p w14:paraId="52A2EE6F" w14:textId="6E49F902" w:rsidR="00693639" w:rsidRDefault="006B01AF" w:rsidP="00C70034">
      <w:pPr>
        <w:spacing w:before="24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Ֆ</w:t>
      </w:r>
      <w:r w:rsidR="00693639">
        <w:rPr>
          <w:rFonts w:ascii="GHEA Grapalat" w:hAnsi="GHEA Grapalat"/>
          <w:sz w:val="24"/>
          <w:szCs w:val="24"/>
          <w:lang w:val="hy-AM"/>
        </w:rPr>
        <w:t>Ծ</w:t>
      </w:r>
      <w:r w:rsidR="00BF45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93639">
        <w:rPr>
          <w:rFonts w:ascii="GHEA Grapalat" w:hAnsi="GHEA Grapalat"/>
          <w:sz w:val="24"/>
          <w:szCs w:val="24"/>
          <w:lang w:val="hy-AM"/>
        </w:rPr>
        <w:t>-</w:t>
      </w:r>
      <w:r w:rsidR="00BF523B">
        <w:rPr>
          <w:rFonts w:ascii="GHEA Grapalat" w:hAnsi="GHEA Grapalat"/>
          <w:sz w:val="24"/>
          <w:szCs w:val="24"/>
          <w:lang w:val="hy-AM"/>
        </w:rPr>
        <w:t xml:space="preserve"> </w:t>
      </w:r>
      <w:r w:rsidR="007C2569" w:rsidRPr="009C783E">
        <w:rPr>
          <w:rFonts w:ascii="GHEA Grapalat" w:hAnsi="GHEA Grapalat"/>
          <w:sz w:val="24"/>
          <w:szCs w:val="24"/>
          <w:lang w:val="hy-AM"/>
        </w:rPr>
        <w:t xml:space="preserve">Օրենսգրքի 6-րդ բաժնով </w:t>
      </w:r>
      <w:r w:rsidR="007C2569">
        <w:rPr>
          <w:rFonts w:ascii="GHEA Grapalat" w:hAnsi="GHEA Grapalat"/>
          <w:sz w:val="24"/>
          <w:szCs w:val="24"/>
          <w:lang w:val="hy-AM"/>
        </w:rPr>
        <w:t xml:space="preserve">սահմանված կարգով հաշվարկված </w:t>
      </w:r>
      <w:r w:rsidR="00BF523B" w:rsidRPr="009C783E">
        <w:rPr>
          <w:rFonts w:ascii="GHEA Grapalat" w:hAnsi="GHEA Grapalat"/>
          <w:sz w:val="24"/>
          <w:szCs w:val="24"/>
          <w:lang w:val="hy-AM"/>
        </w:rPr>
        <w:t>ֆինանսական ծախսեր</w:t>
      </w:r>
      <w:r w:rsidR="00BF523B">
        <w:rPr>
          <w:rFonts w:ascii="GHEA Grapalat" w:hAnsi="GHEA Grapalat"/>
          <w:sz w:val="24"/>
          <w:szCs w:val="24"/>
          <w:lang w:val="hy-AM"/>
        </w:rPr>
        <w:t>ն են</w:t>
      </w:r>
      <w:r w:rsidR="00B73616">
        <w:rPr>
          <w:rFonts w:ascii="GHEA Grapalat" w:hAnsi="GHEA Grapalat"/>
          <w:sz w:val="24"/>
          <w:szCs w:val="24"/>
          <w:lang w:val="hy-AM"/>
        </w:rPr>
        <w:t>, որոնք</w:t>
      </w:r>
      <w:r w:rsidR="00F33FB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3B97">
        <w:rPr>
          <w:rFonts w:ascii="GHEA Grapalat" w:hAnsi="GHEA Grapalat"/>
          <w:sz w:val="24"/>
          <w:szCs w:val="24"/>
          <w:lang w:val="hy-AM"/>
        </w:rPr>
        <w:t>Շ</w:t>
      </w:r>
      <w:r w:rsidR="00BE3B97" w:rsidRPr="007F7B8B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="00BE3B97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 w:rsidR="00BE3B97">
        <w:rPr>
          <w:rFonts w:ascii="GHEA Grapalat" w:hAnsi="GHEA Grapalat"/>
          <w:sz w:val="24"/>
          <w:szCs w:val="24"/>
          <w:lang w:val="hy-AM"/>
        </w:rPr>
        <w:t>-ի հաշվարկման նպատակով հաշվի են առնվում</w:t>
      </w:r>
      <w:r w:rsidR="00796538">
        <w:rPr>
          <w:rFonts w:ascii="GHEA Grapalat" w:hAnsi="GHEA Grapalat"/>
          <w:sz w:val="24"/>
          <w:szCs w:val="24"/>
          <w:lang w:val="hy-AM"/>
        </w:rPr>
        <w:t>՝</w:t>
      </w:r>
    </w:p>
    <w:p w14:paraId="286A4822" w14:textId="1386D588" w:rsidR="00D00F67" w:rsidRDefault="00171B34" w:rsidP="00D00F67">
      <w:pPr>
        <w:pStyle w:val="ListParagraph"/>
        <w:numPr>
          <w:ilvl w:val="0"/>
          <w:numId w:val="10"/>
        </w:numPr>
        <w:ind w:left="0" w:firstLine="540"/>
        <w:rPr>
          <w:szCs w:val="24"/>
          <w:lang w:val="hy-AM"/>
        </w:rPr>
      </w:pPr>
      <w:r w:rsidRPr="00965188">
        <w:rPr>
          <w:szCs w:val="24"/>
          <w:lang w:val="hy-AM"/>
        </w:rPr>
        <w:t>եթե փ</w:t>
      </w:r>
      <w:r w:rsidR="00126873" w:rsidRPr="00965188">
        <w:rPr>
          <w:szCs w:val="24"/>
          <w:lang w:val="hy-AM"/>
        </w:rPr>
        <w:t>ոխառու համարվող ռոյալթի</w:t>
      </w:r>
      <w:r w:rsidR="00A851B6" w:rsidRPr="00965188">
        <w:rPr>
          <w:szCs w:val="24"/>
          <w:lang w:val="hy-AM"/>
        </w:rPr>
        <w:t xml:space="preserve"> վճարող</w:t>
      </w:r>
      <w:r w:rsidR="00D7095C" w:rsidRPr="00965188">
        <w:rPr>
          <w:szCs w:val="24"/>
          <w:lang w:val="hy-AM"/>
        </w:rPr>
        <w:t>ը</w:t>
      </w:r>
      <w:r w:rsidR="00A851B6" w:rsidRPr="00965188">
        <w:rPr>
          <w:szCs w:val="24"/>
          <w:lang w:val="hy-AM"/>
        </w:rPr>
        <w:t xml:space="preserve"> </w:t>
      </w:r>
      <w:r w:rsidR="003A1895" w:rsidRPr="00965188">
        <w:rPr>
          <w:szCs w:val="24"/>
          <w:lang w:val="hy-AM"/>
        </w:rPr>
        <w:t>փոխառությ</w:t>
      </w:r>
      <w:r w:rsidR="00FF1764" w:rsidRPr="00965188">
        <w:rPr>
          <w:szCs w:val="24"/>
          <w:lang w:val="hy-AM"/>
        </w:rPr>
        <w:t>ան պայմանագիրը կնքելու պահին</w:t>
      </w:r>
      <w:r w:rsidR="003A1895" w:rsidRPr="00965188">
        <w:rPr>
          <w:szCs w:val="24"/>
          <w:lang w:val="hy-AM"/>
        </w:rPr>
        <w:t xml:space="preserve"> համարվում է </w:t>
      </w:r>
      <w:r w:rsidR="008B7689" w:rsidRPr="00965188">
        <w:rPr>
          <w:szCs w:val="24"/>
          <w:lang w:val="hy-AM"/>
        </w:rPr>
        <w:t xml:space="preserve">ցուցակված </w:t>
      </w:r>
      <w:r w:rsidR="003A1895" w:rsidRPr="00965188">
        <w:rPr>
          <w:szCs w:val="24"/>
          <w:lang w:val="hy-AM"/>
        </w:rPr>
        <w:t>Հայաստանի Հանրապետությունում գործող ֆոնդային բորսայում</w:t>
      </w:r>
      <w:r w:rsidR="008B7689" w:rsidRPr="00965188">
        <w:rPr>
          <w:szCs w:val="24"/>
          <w:lang w:val="hy-AM"/>
        </w:rPr>
        <w:t>,</w:t>
      </w:r>
    </w:p>
    <w:p w14:paraId="7FBFDAF3" w14:textId="165AEC80" w:rsidR="001C45E5" w:rsidRDefault="007F6CCA" w:rsidP="00351DB7">
      <w:pPr>
        <w:pStyle w:val="ListParagraph"/>
        <w:numPr>
          <w:ilvl w:val="0"/>
          <w:numId w:val="10"/>
        </w:numPr>
        <w:ind w:left="0" w:firstLine="540"/>
        <w:rPr>
          <w:szCs w:val="24"/>
          <w:lang w:val="hy-AM"/>
        </w:rPr>
      </w:pPr>
      <w:r w:rsidRPr="00965188">
        <w:rPr>
          <w:szCs w:val="24"/>
          <w:lang w:val="hy-AM"/>
        </w:rPr>
        <w:t xml:space="preserve">եթե փոխատու համարվող </w:t>
      </w:r>
      <w:r w:rsidR="00254A05" w:rsidRPr="00965188">
        <w:rPr>
          <w:szCs w:val="24"/>
          <w:lang w:val="hy-AM"/>
        </w:rPr>
        <w:t>կազ</w:t>
      </w:r>
      <w:r w:rsidR="0021123F" w:rsidRPr="00965188">
        <w:rPr>
          <w:szCs w:val="24"/>
          <w:lang w:val="hy-AM"/>
        </w:rPr>
        <w:softHyphen/>
      </w:r>
      <w:r w:rsidR="00254A05" w:rsidRPr="00965188">
        <w:rPr>
          <w:szCs w:val="24"/>
          <w:lang w:val="hy-AM"/>
        </w:rPr>
        <w:t>մակեր</w:t>
      </w:r>
      <w:r w:rsidR="0021123F" w:rsidRPr="00343E07">
        <w:rPr>
          <w:szCs w:val="24"/>
          <w:lang w:val="hy-AM"/>
        </w:rPr>
        <w:softHyphen/>
      </w:r>
      <w:r w:rsidR="00254A05" w:rsidRPr="00965188">
        <w:rPr>
          <w:szCs w:val="24"/>
          <w:lang w:val="hy-AM"/>
        </w:rPr>
        <w:t>պու</w:t>
      </w:r>
      <w:r w:rsidR="0021123F" w:rsidRPr="00343E07">
        <w:rPr>
          <w:szCs w:val="24"/>
          <w:lang w:val="hy-AM"/>
        </w:rPr>
        <w:softHyphen/>
      </w:r>
      <w:r w:rsidR="00254A05" w:rsidRPr="00965188">
        <w:rPr>
          <w:szCs w:val="24"/>
          <w:lang w:val="hy-AM"/>
        </w:rPr>
        <w:t>թյունը</w:t>
      </w:r>
      <w:r w:rsidR="00AE539E" w:rsidRPr="00965188">
        <w:rPr>
          <w:szCs w:val="24"/>
          <w:lang w:val="hy-AM"/>
        </w:rPr>
        <w:t xml:space="preserve"> </w:t>
      </w:r>
      <w:r w:rsidR="00F33FB5" w:rsidRPr="00965188">
        <w:rPr>
          <w:szCs w:val="24"/>
          <w:lang w:val="hy-AM"/>
        </w:rPr>
        <w:t xml:space="preserve">փոխառության </w:t>
      </w:r>
      <w:r w:rsidR="00AE539E" w:rsidRPr="00965188">
        <w:rPr>
          <w:szCs w:val="24"/>
          <w:lang w:val="hy-AM"/>
        </w:rPr>
        <w:t>պայ</w:t>
      </w:r>
      <w:r w:rsidR="00513763">
        <w:rPr>
          <w:szCs w:val="24"/>
          <w:lang w:val="hy-AM"/>
        </w:rPr>
        <w:softHyphen/>
      </w:r>
      <w:r w:rsidR="00AE539E" w:rsidRPr="00965188">
        <w:rPr>
          <w:szCs w:val="24"/>
          <w:lang w:val="hy-AM"/>
        </w:rPr>
        <w:t>մա</w:t>
      </w:r>
      <w:r w:rsidR="00513763">
        <w:rPr>
          <w:szCs w:val="24"/>
          <w:lang w:val="hy-AM"/>
        </w:rPr>
        <w:softHyphen/>
      </w:r>
      <w:r w:rsidR="00AE539E" w:rsidRPr="00965188">
        <w:rPr>
          <w:szCs w:val="24"/>
          <w:lang w:val="hy-AM"/>
        </w:rPr>
        <w:t>նա</w:t>
      </w:r>
      <w:r w:rsidR="00513763">
        <w:rPr>
          <w:szCs w:val="24"/>
          <w:lang w:val="hy-AM"/>
        </w:rPr>
        <w:softHyphen/>
      </w:r>
      <w:r w:rsidR="00AE539E" w:rsidRPr="00965188">
        <w:rPr>
          <w:szCs w:val="24"/>
          <w:lang w:val="hy-AM"/>
        </w:rPr>
        <w:t>գիրը կնքելու պահին համարվում է ցուցակված Հայաստանի Հան</w:t>
      </w:r>
      <w:r w:rsidR="001E77BB">
        <w:rPr>
          <w:szCs w:val="24"/>
          <w:lang w:val="hy-AM"/>
        </w:rPr>
        <w:softHyphen/>
      </w:r>
      <w:r w:rsidR="00AE539E" w:rsidRPr="00965188">
        <w:rPr>
          <w:szCs w:val="24"/>
          <w:lang w:val="hy-AM"/>
        </w:rPr>
        <w:t>րապետությունում գործող ֆոն</w:t>
      </w:r>
      <w:r w:rsidR="00513763">
        <w:rPr>
          <w:szCs w:val="24"/>
          <w:lang w:val="hy-AM"/>
        </w:rPr>
        <w:softHyphen/>
      </w:r>
      <w:r w:rsidR="00AE539E" w:rsidRPr="00965188">
        <w:rPr>
          <w:szCs w:val="24"/>
          <w:lang w:val="hy-AM"/>
        </w:rPr>
        <w:t>դային բորսայում</w:t>
      </w:r>
      <w:r w:rsidR="00554C8A" w:rsidRPr="00965188">
        <w:rPr>
          <w:szCs w:val="24"/>
          <w:lang w:val="hy-AM"/>
        </w:rPr>
        <w:t xml:space="preserve"> կամ արտասահմանյան ֆոնդային բոր</w:t>
      </w:r>
      <w:r w:rsidR="001E77BB">
        <w:rPr>
          <w:szCs w:val="24"/>
          <w:lang w:val="hy-AM"/>
        </w:rPr>
        <w:softHyphen/>
      </w:r>
      <w:r w:rsidR="00554C8A" w:rsidRPr="00965188">
        <w:rPr>
          <w:szCs w:val="24"/>
          <w:lang w:val="hy-AM"/>
        </w:rPr>
        <w:t>սա</w:t>
      </w:r>
      <w:r w:rsidR="001E77BB">
        <w:rPr>
          <w:szCs w:val="24"/>
          <w:lang w:val="hy-AM"/>
        </w:rPr>
        <w:softHyphen/>
      </w:r>
      <w:r w:rsidR="00554C8A" w:rsidRPr="00965188">
        <w:rPr>
          <w:szCs w:val="24"/>
          <w:lang w:val="hy-AM"/>
        </w:rPr>
        <w:t>յում:</w:t>
      </w:r>
      <w:r w:rsidR="0001601F" w:rsidRPr="00343E07">
        <w:rPr>
          <w:szCs w:val="24"/>
          <w:lang w:val="hy-AM"/>
        </w:rPr>
        <w:t xml:space="preserve"> Սույն պար</w:t>
      </w:r>
      <w:r w:rsidR="00513763">
        <w:rPr>
          <w:szCs w:val="24"/>
          <w:lang w:val="hy-AM"/>
        </w:rPr>
        <w:softHyphen/>
      </w:r>
      <w:r w:rsidR="0001601F" w:rsidRPr="00343E07">
        <w:rPr>
          <w:szCs w:val="24"/>
          <w:lang w:val="hy-AM"/>
        </w:rPr>
        <w:t>բե</w:t>
      </w:r>
      <w:r w:rsidR="00513763">
        <w:rPr>
          <w:szCs w:val="24"/>
          <w:lang w:val="hy-AM"/>
        </w:rPr>
        <w:softHyphen/>
      </w:r>
      <w:r w:rsidR="0001601F" w:rsidRPr="00343E07">
        <w:rPr>
          <w:szCs w:val="24"/>
          <w:lang w:val="hy-AM"/>
        </w:rPr>
        <w:t>րությամբ նախատեսված դեպքերում Շ</w:t>
      </w:r>
      <w:r w:rsidR="0001601F" w:rsidRPr="00343E07">
        <w:rPr>
          <w:szCs w:val="24"/>
          <w:vertAlign w:val="subscript"/>
          <w:lang w:val="hy-AM"/>
        </w:rPr>
        <w:t xml:space="preserve">1 </w:t>
      </w:r>
      <w:r w:rsidR="0001601F" w:rsidRPr="00343E07">
        <w:rPr>
          <w:szCs w:val="24"/>
          <w:lang w:val="hy-AM"/>
        </w:rPr>
        <w:t>-ի հաշվարկման նպատակով</w:t>
      </w:r>
      <w:r w:rsidR="00B62301" w:rsidRPr="00343E07">
        <w:rPr>
          <w:szCs w:val="24"/>
          <w:lang w:val="hy-AM"/>
        </w:rPr>
        <w:t xml:space="preserve"> հաշվի են առնվում միայն այն ֆինանսա</w:t>
      </w:r>
      <w:r w:rsidR="00513763">
        <w:rPr>
          <w:szCs w:val="24"/>
          <w:lang w:val="hy-AM"/>
        </w:rPr>
        <w:softHyphen/>
      </w:r>
      <w:r w:rsidR="00B62301" w:rsidRPr="00343E07">
        <w:rPr>
          <w:szCs w:val="24"/>
          <w:lang w:val="hy-AM"/>
        </w:rPr>
        <w:t xml:space="preserve">կան ծախսերը, որոնք ուղղակիորեն </w:t>
      </w:r>
      <w:r w:rsidR="007B4395" w:rsidRPr="00343E07">
        <w:rPr>
          <w:szCs w:val="24"/>
          <w:lang w:val="hy-AM"/>
        </w:rPr>
        <w:t xml:space="preserve">կապված են </w:t>
      </w:r>
      <w:r w:rsidR="0032190B">
        <w:rPr>
          <w:szCs w:val="24"/>
          <w:lang w:val="hy-AM"/>
        </w:rPr>
        <w:t>Հայաս</w:t>
      </w:r>
      <w:r w:rsidR="001E77BB">
        <w:rPr>
          <w:szCs w:val="24"/>
          <w:lang w:val="hy-AM"/>
        </w:rPr>
        <w:softHyphen/>
      </w:r>
      <w:r w:rsidR="0032190B">
        <w:rPr>
          <w:szCs w:val="24"/>
          <w:lang w:val="hy-AM"/>
        </w:rPr>
        <w:t xml:space="preserve">տանի </w:t>
      </w:r>
      <w:r w:rsidR="007B4395" w:rsidRPr="00343E07">
        <w:rPr>
          <w:szCs w:val="24"/>
          <w:lang w:val="hy-AM"/>
        </w:rPr>
        <w:t>Հանրապետությունում գոր</w:t>
      </w:r>
      <w:r w:rsidR="00513763">
        <w:rPr>
          <w:szCs w:val="24"/>
          <w:lang w:val="hy-AM"/>
        </w:rPr>
        <w:softHyphen/>
      </w:r>
      <w:r w:rsidR="007B4395" w:rsidRPr="00343E07">
        <w:rPr>
          <w:szCs w:val="24"/>
          <w:lang w:val="hy-AM"/>
        </w:rPr>
        <w:t>ծող ֆոնդային բորսայում կամ արտա</w:t>
      </w:r>
      <w:r w:rsidR="001E77BB" w:rsidRPr="00965188">
        <w:rPr>
          <w:szCs w:val="24"/>
          <w:lang w:val="hy-AM"/>
        </w:rPr>
        <w:softHyphen/>
      </w:r>
      <w:r w:rsidR="007B4395" w:rsidRPr="00343E07">
        <w:rPr>
          <w:szCs w:val="24"/>
          <w:lang w:val="hy-AM"/>
        </w:rPr>
        <w:t>սահման</w:t>
      </w:r>
      <w:r w:rsidR="001E77BB">
        <w:rPr>
          <w:szCs w:val="24"/>
          <w:lang w:val="hy-AM"/>
        </w:rPr>
        <w:softHyphen/>
      </w:r>
      <w:r w:rsidR="007B4395" w:rsidRPr="00343E07">
        <w:rPr>
          <w:szCs w:val="24"/>
          <w:lang w:val="hy-AM"/>
        </w:rPr>
        <w:t>յան ֆոն</w:t>
      </w:r>
      <w:r w:rsidR="001E77BB">
        <w:rPr>
          <w:szCs w:val="24"/>
          <w:lang w:val="hy-AM"/>
        </w:rPr>
        <w:softHyphen/>
      </w:r>
      <w:r w:rsidR="007B4395" w:rsidRPr="00343E07">
        <w:rPr>
          <w:szCs w:val="24"/>
          <w:lang w:val="hy-AM"/>
        </w:rPr>
        <w:t>դա</w:t>
      </w:r>
      <w:r w:rsidR="001E77BB">
        <w:rPr>
          <w:szCs w:val="24"/>
          <w:lang w:val="hy-AM"/>
        </w:rPr>
        <w:softHyphen/>
      </w:r>
      <w:r w:rsidR="007B4395" w:rsidRPr="00343E07">
        <w:rPr>
          <w:szCs w:val="24"/>
          <w:lang w:val="hy-AM"/>
        </w:rPr>
        <w:t>յին բորսայում ցուցակված կազ</w:t>
      </w:r>
      <w:r w:rsidR="007B4395" w:rsidRPr="00343E07">
        <w:rPr>
          <w:szCs w:val="24"/>
          <w:lang w:val="hy-AM"/>
        </w:rPr>
        <w:softHyphen/>
        <w:t>մակեր</w:t>
      </w:r>
      <w:r w:rsidR="00513763">
        <w:rPr>
          <w:szCs w:val="24"/>
          <w:lang w:val="hy-AM"/>
        </w:rPr>
        <w:softHyphen/>
      </w:r>
      <w:r w:rsidR="007B4395" w:rsidRPr="00343E07">
        <w:rPr>
          <w:szCs w:val="24"/>
          <w:lang w:val="hy-AM"/>
        </w:rPr>
        <w:softHyphen/>
        <w:t>պու</w:t>
      </w:r>
      <w:r w:rsidR="007B4395" w:rsidRPr="00343E07">
        <w:rPr>
          <w:szCs w:val="24"/>
          <w:lang w:val="hy-AM"/>
        </w:rPr>
        <w:softHyphen/>
        <w:t>թյուն</w:t>
      </w:r>
      <w:r w:rsidR="00343E07">
        <w:rPr>
          <w:szCs w:val="24"/>
          <w:lang w:val="hy-AM"/>
        </w:rPr>
        <w:t>ից ստացված փոխառությունների հետ</w:t>
      </w:r>
      <w:r w:rsidR="001C45E5">
        <w:rPr>
          <w:szCs w:val="24"/>
          <w:lang w:val="hy-AM"/>
        </w:rPr>
        <w:t>,</w:t>
      </w:r>
    </w:p>
    <w:p w14:paraId="1BD3BDD3" w14:textId="6DB085E8" w:rsidR="00FC6ED3" w:rsidRPr="009C783E" w:rsidRDefault="00FC6ED3" w:rsidP="00AD45AE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C783E">
        <w:rPr>
          <w:rFonts w:ascii="GHEA Grapalat" w:hAnsi="GHEA Grapalat"/>
          <w:sz w:val="24"/>
          <w:szCs w:val="24"/>
          <w:lang w:val="hy-AM"/>
        </w:rPr>
        <w:t>Սույն հոդվածի կիրառության իմաստով՝</w:t>
      </w:r>
    </w:p>
    <w:p w14:paraId="25260000" w14:textId="1429DD04" w:rsidR="00FC6ED3" w:rsidRPr="009C783E" w:rsidRDefault="00FC6ED3" w:rsidP="00AD45AE">
      <w:pPr>
        <w:pStyle w:val="ListParagraph"/>
        <w:numPr>
          <w:ilvl w:val="0"/>
          <w:numId w:val="5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9C783E">
        <w:rPr>
          <w:szCs w:val="24"/>
          <w:lang w:val="hy-AM"/>
        </w:rPr>
        <w:t>նախքան հարկումը շահույթի հաշվարկման ժամանակ իրացման շրջանառությունից ֆինան</w:t>
      </w:r>
      <w:r w:rsidR="006D2A8C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սական ծախսերի, սույն բաժնով սահմանված ռոյալթիի և նախորդ տարի</w:t>
      </w:r>
      <w:r w:rsidR="00E3188E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ների հարկային վնասների նվազեցումը չի կատարվում՝ անկախ այդ ծախսերն ու հար</w:t>
      </w:r>
      <w:r w:rsidR="006D2A8C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կա</w:t>
      </w:r>
      <w:r w:rsidR="006D2A8C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յին վնասները հանքավայրերի շահագործման և (կամ) մետաղի խտանյութի արտա</w:t>
      </w:r>
      <w:r w:rsidR="00883C8D" w:rsidRPr="009C783E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դրու</w:t>
      </w:r>
      <w:r w:rsidR="00883C8D" w:rsidRPr="009C783E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թյան հետ կապված լինելու հանգամանքից.</w:t>
      </w:r>
    </w:p>
    <w:p w14:paraId="3DDACA41" w14:textId="04F83837" w:rsidR="00FC6ED3" w:rsidRPr="009C783E" w:rsidRDefault="00FC6ED3" w:rsidP="00AD45AE">
      <w:pPr>
        <w:pStyle w:val="ListParagraph"/>
        <w:numPr>
          <w:ilvl w:val="0"/>
          <w:numId w:val="5"/>
        </w:numPr>
        <w:tabs>
          <w:tab w:val="left" w:pos="810"/>
        </w:tabs>
        <w:ind w:left="0" w:firstLine="540"/>
        <w:rPr>
          <w:szCs w:val="24"/>
          <w:lang w:val="hy-AM"/>
        </w:rPr>
      </w:pPr>
      <w:r w:rsidRPr="009C783E">
        <w:rPr>
          <w:szCs w:val="24"/>
          <w:lang w:val="hy-AM"/>
        </w:rPr>
        <w:t xml:space="preserve">շահույթը նախքան հարկումը </w:t>
      </w:r>
      <w:proofErr w:type="spellStart"/>
      <w:r w:rsidRPr="009C783E">
        <w:rPr>
          <w:szCs w:val="24"/>
          <w:lang w:val="hy-AM"/>
        </w:rPr>
        <w:t>բաղադրիչի</w:t>
      </w:r>
      <w:proofErr w:type="spellEnd"/>
      <w:r w:rsidRPr="009C783E">
        <w:rPr>
          <w:szCs w:val="24"/>
          <w:lang w:val="hy-AM"/>
        </w:rPr>
        <w:t xml:space="preserve"> հաշվարկման ժամանակ բնօգտագործման վճար վճարողի վարչական ծախսերի, իրացման ծախսերի և ոչ արտադրական բնույթի այլ ծախ</w:t>
      </w:r>
      <w:r w:rsidR="00E3188E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սերի նվազեցումները հաշվի են առնվում համախառն եկամտի մեջ ռոյալթիի իրացման շրջա</w:t>
      </w:r>
      <w:r w:rsidR="00E3188E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նա</w:t>
      </w:r>
      <w:r w:rsidR="00E3188E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ռու</w:t>
      </w:r>
      <w:r w:rsidR="00E3188E">
        <w:rPr>
          <w:szCs w:val="24"/>
          <w:lang w:val="hy-AM"/>
        </w:rPr>
        <w:softHyphen/>
      </w:r>
      <w:r w:rsidRPr="009C783E">
        <w:rPr>
          <w:szCs w:val="24"/>
          <w:lang w:val="hy-AM"/>
        </w:rPr>
        <w:t>թյանը համապատասխանող տեսակարար կշռով:</w:t>
      </w:r>
      <w:r w:rsidR="00D250D6" w:rsidRPr="009C783E">
        <w:rPr>
          <w:szCs w:val="24"/>
          <w:lang w:val="hy-AM"/>
        </w:rPr>
        <w:t>»:</w:t>
      </w:r>
    </w:p>
    <w:p w14:paraId="7585D688" w14:textId="7011776E" w:rsidR="009A6C86" w:rsidRPr="009C783E" w:rsidRDefault="009A6C86" w:rsidP="00AD45AE">
      <w:pPr>
        <w:pStyle w:val="ListParagraph"/>
        <w:tabs>
          <w:tab w:val="clear" w:pos="3121"/>
          <w:tab w:val="left" w:pos="1800"/>
        </w:tabs>
        <w:spacing w:before="240"/>
        <w:ind w:left="0" w:firstLine="540"/>
        <w:rPr>
          <w:szCs w:val="24"/>
          <w:lang w:val="hy-AM"/>
        </w:rPr>
      </w:pPr>
      <w:r w:rsidRPr="009C783E">
        <w:rPr>
          <w:szCs w:val="24"/>
          <w:lang w:val="hy-AM"/>
        </w:rPr>
        <w:t>Սույն օրենքն ուժի մեջ է մտնում 2023 թվականի հունվարի 1-ից:</w:t>
      </w:r>
    </w:p>
    <w:sectPr w:rsidR="009A6C86" w:rsidRPr="009C783E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1" w15:restartNumberingAfterBreak="0">
    <w:nsid w:val="2AA41690"/>
    <w:multiLevelType w:val="hybridMultilevel"/>
    <w:tmpl w:val="3DCAE3E0"/>
    <w:lvl w:ilvl="0" w:tplc="8E167F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5C0361"/>
    <w:multiLevelType w:val="hybridMultilevel"/>
    <w:tmpl w:val="9A063D3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CF527FE"/>
    <w:multiLevelType w:val="hybridMultilevel"/>
    <w:tmpl w:val="E9B8EAA4"/>
    <w:lvl w:ilvl="0" w:tplc="6812F274">
      <w:numFmt w:val="bullet"/>
      <w:lvlText w:val="-"/>
      <w:lvlJc w:val="left"/>
      <w:pPr>
        <w:ind w:left="1211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1110752"/>
    <w:multiLevelType w:val="hybridMultilevel"/>
    <w:tmpl w:val="15A4A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4760">
    <w:abstractNumId w:val="1"/>
  </w:num>
  <w:num w:numId="2" w16cid:durableId="1479300168">
    <w:abstractNumId w:val="0"/>
  </w:num>
  <w:num w:numId="3" w16cid:durableId="1366447783">
    <w:abstractNumId w:val="0"/>
  </w:num>
  <w:num w:numId="4" w16cid:durableId="61370889">
    <w:abstractNumId w:val="0"/>
  </w:num>
  <w:num w:numId="5" w16cid:durableId="1296452825">
    <w:abstractNumId w:val="4"/>
  </w:num>
  <w:num w:numId="6" w16cid:durableId="401366120">
    <w:abstractNumId w:val="0"/>
  </w:num>
  <w:num w:numId="7" w16cid:durableId="1836996728">
    <w:abstractNumId w:val="0"/>
  </w:num>
  <w:num w:numId="8" w16cid:durableId="564293247">
    <w:abstractNumId w:val="2"/>
  </w:num>
  <w:num w:numId="9" w16cid:durableId="1677269971">
    <w:abstractNumId w:val="0"/>
  </w:num>
  <w:num w:numId="10" w16cid:durableId="1701204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D3"/>
    <w:rsid w:val="000079E2"/>
    <w:rsid w:val="0001601F"/>
    <w:rsid w:val="000305A8"/>
    <w:rsid w:val="00043A65"/>
    <w:rsid w:val="000473A7"/>
    <w:rsid w:val="00060A7A"/>
    <w:rsid w:val="0006398C"/>
    <w:rsid w:val="00075416"/>
    <w:rsid w:val="0008000F"/>
    <w:rsid w:val="000A634B"/>
    <w:rsid w:val="000B79C2"/>
    <w:rsid w:val="000B7BF4"/>
    <w:rsid w:val="000C5247"/>
    <w:rsid w:val="000F07C2"/>
    <w:rsid w:val="00120271"/>
    <w:rsid w:val="001240D3"/>
    <w:rsid w:val="00125167"/>
    <w:rsid w:val="00126873"/>
    <w:rsid w:val="00141747"/>
    <w:rsid w:val="00143CD5"/>
    <w:rsid w:val="001537B0"/>
    <w:rsid w:val="00171B34"/>
    <w:rsid w:val="00181DD5"/>
    <w:rsid w:val="00185991"/>
    <w:rsid w:val="001B34A4"/>
    <w:rsid w:val="001C45E5"/>
    <w:rsid w:val="001D796A"/>
    <w:rsid w:val="001E4E5C"/>
    <w:rsid w:val="001E540D"/>
    <w:rsid w:val="001E62C1"/>
    <w:rsid w:val="001E77BB"/>
    <w:rsid w:val="0021123F"/>
    <w:rsid w:val="00213A27"/>
    <w:rsid w:val="0022678F"/>
    <w:rsid w:val="0022703F"/>
    <w:rsid w:val="00254A05"/>
    <w:rsid w:val="0027185C"/>
    <w:rsid w:val="00284FEB"/>
    <w:rsid w:val="00287B6F"/>
    <w:rsid w:val="00293537"/>
    <w:rsid w:val="002E3881"/>
    <w:rsid w:val="00320669"/>
    <w:rsid w:val="0032190B"/>
    <w:rsid w:val="003237F5"/>
    <w:rsid w:val="00324020"/>
    <w:rsid w:val="003243FF"/>
    <w:rsid w:val="0033151F"/>
    <w:rsid w:val="00343E07"/>
    <w:rsid w:val="00351DB7"/>
    <w:rsid w:val="00354983"/>
    <w:rsid w:val="003659D5"/>
    <w:rsid w:val="00373B55"/>
    <w:rsid w:val="003748BA"/>
    <w:rsid w:val="00381704"/>
    <w:rsid w:val="0038356A"/>
    <w:rsid w:val="00392E37"/>
    <w:rsid w:val="003A1895"/>
    <w:rsid w:val="003A1935"/>
    <w:rsid w:val="003B6814"/>
    <w:rsid w:val="003E23DF"/>
    <w:rsid w:val="00413633"/>
    <w:rsid w:val="00443480"/>
    <w:rsid w:val="00462C14"/>
    <w:rsid w:val="004638A3"/>
    <w:rsid w:val="00463FB3"/>
    <w:rsid w:val="004715D5"/>
    <w:rsid w:val="00494B10"/>
    <w:rsid w:val="00497E55"/>
    <w:rsid w:val="004A20D8"/>
    <w:rsid w:val="004F5BA4"/>
    <w:rsid w:val="00503118"/>
    <w:rsid w:val="00513763"/>
    <w:rsid w:val="00514DF2"/>
    <w:rsid w:val="00554C8A"/>
    <w:rsid w:val="005655E1"/>
    <w:rsid w:val="005B567B"/>
    <w:rsid w:val="005C47C3"/>
    <w:rsid w:val="005C48B6"/>
    <w:rsid w:val="005C7018"/>
    <w:rsid w:val="005E6AA8"/>
    <w:rsid w:val="005F05BE"/>
    <w:rsid w:val="006019A4"/>
    <w:rsid w:val="00656802"/>
    <w:rsid w:val="00656CF7"/>
    <w:rsid w:val="00656FC8"/>
    <w:rsid w:val="00662453"/>
    <w:rsid w:val="00673983"/>
    <w:rsid w:val="00693639"/>
    <w:rsid w:val="00697B35"/>
    <w:rsid w:val="006B01AF"/>
    <w:rsid w:val="006B351B"/>
    <w:rsid w:val="006B3902"/>
    <w:rsid w:val="006D2A8C"/>
    <w:rsid w:val="006E3FF6"/>
    <w:rsid w:val="0070062D"/>
    <w:rsid w:val="0071053E"/>
    <w:rsid w:val="007118BE"/>
    <w:rsid w:val="0071222C"/>
    <w:rsid w:val="00735115"/>
    <w:rsid w:val="00735C9A"/>
    <w:rsid w:val="00740524"/>
    <w:rsid w:val="0074286B"/>
    <w:rsid w:val="00767518"/>
    <w:rsid w:val="00796538"/>
    <w:rsid w:val="00796591"/>
    <w:rsid w:val="007B4395"/>
    <w:rsid w:val="007C05A6"/>
    <w:rsid w:val="007C2569"/>
    <w:rsid w:val="007C53D5"/>
    <w:rsid w:val="007D43AD"/>
    <w:rsid w:val="007D6B50"/>
    <w:rsid w:val="007E3606"/>
    <w:rsid w:val="007E6507"/>
    <w:rsid w:val="007F6CCA"/>
    <w:rsid w:val="007F7B8B"/>
    <w:rsid w:val="00803CD9"/>
    <w:rsid w:val="00824353"/>
    <w:rsid w:val="00836CC4"/>
    <w:rsid w:val="00860CFE"/>
    <w:rsid w:val="00883C8D"/>
    <w:rsid w:val="008A66FD"/>
    <w:rsid w:val="008B7689"/>
    <w:rsid w:val="008E4A0D"/>
    <w:rsid w:val="0090649B"/>
    <w:rsid w:val="00917F61"/>
    <w:rsid w:val="00934715"/>
    <w:rsid w:val="009430CE"/>
    <w:rsid w:val="00953E56"/>
    <w:rsid w:val="00962F4A"/>
    <w:rsid w:val="00964942"/>
    <w:rsid w:val="00965188"/>
    <w:rsid w:val="009775BC"/>
    <w:rsid w:val="0099390B"/>
    <w:rsid w:val="009A4EB4"/>
    <w:rsid w:val="009A6C86"/>
    <w:rsid w:val="009C361E"/>
    <w:rsid w:val="009C783E"/>
    <w:rsid w:val="009D0B16"/>
    <w:rsid w:val="009D347B"/>
    <w:rsid w:val="009F1962"/>
    <w:rsid w:val="009F71AC"/>
    <w:rsid w:val="00A21ECF"/>
    <w:rsid w:val="00A31601"/>
    <w:rsid w:val="00A610FE"/>
    <w:rsid w:val="00A6565C"/>
    <w:rsid w:val="00A65B8A"/>
    <w:rsid w:val="00A82B46"/>
    <w:rsid w:val="00A83525"/>
    <w:rsid w:val="00A851B6"/>
    <w:rsid w:val="00AA001A"/>
    <w:rsid w:val="00AA6B07"/>
    <w:rsid w:val="00AB1CB2"/>
    <w:rsid w:val="00AD45AE"/>
    <w:rsid w:val="00AE539E"/>
    <w:rsid w:val="00B0257E"/>
    <w:rsid w:val="00B20AEE"/>
    <w:rsid w:val="00B3635A"/>
    <w:rsid w:val="00B53876"/>
    <w:rsid w:val="00B62301"/>
    <w:rsid w:val="00B73616"/>
    <w:rsid w:val="00B84A87"/>
    <w:rsid w:val="00B964DC"/>
    <w:rsid w:val="00BA0854"/>
    <w:rsid w:val="00BE3B97"/>
    <w:rsid w:val="00BF1217"/>
    <w:rsid w:val="00BF45CA"/>
    <w:rsid w:val="00BF523B"/>
    <w:rsid w:val="00C46C37"/>
    <w:rsid w:val="00C50A01"/>
    <w:rsid w:val="00C70034"/>
    <w:rsid w:val="00C72773"/>
    <w:rsid w:val="00C77069"/>
    <w:rsid w:val="00C96A68"/>
    <w:rsid w:val="00CE0649"/>
    <w:rsid w:val="00CE3C43"/>
    <w:rsid w:val="00CF5E98"/>
    <w:rsid w:val="00D009F3"/>
    <w:rsid w:val="00D00F67"/>
    <w:rsid w:val="00D01EE4"/>
    <w:rsid w:val="00D15EE9"/>
    <w:rsid w:val="00D250D6"/>
    <w:rsid w:val="00D7095C"/>
    <w:rsid w:val="00D76378"/>
    <w:rsid w:val="00D84244"/>
    <w:rsid w:val="00DA3514"/>
    <w:rsid w:val="00DB1289"/>
    <w:rsid w:val="00DB5E4A"/>
    <w:rsid w:val="00DD048B"/>
    <w:rsid w:val="00DD276F"/>
    <w:rsid w:val="00E03518"/>
    <w:rsid w:val="00E225DD"/>
    <w:rsid w:val="00E3188E"/>
    <w:rsid w:val="00E4264E"/>
    <w:rsid w:val="00E54952"/>
    <w:rsid w:val="00E66244"/>
    <w:rsid w:val="00E820EC"/>
    <w:rsid w:val="00EB7F36"/>
    <w:rsid w:val="00EE736F"/>
    <w:rsid w:val="00EF79AB"/>
    <w:rsid w:val="00F33FB5"/>
    <w:rsid w:val="00F34AEE"/>
    <w:rsid w:val="00F36F47"/>
    <w:rsid w:val="00F54ECF"/>
    <w:rsid w:val="00F74C50"/>
    <w:rsid w:val="00F74CA8"/>
    <w:rsid w:val="00FC27C6"/>
    <w:rsid w:val="00FC6ED3"/>
    <w:rsid w:val="00FC76F1"/>
    <w:rsid w:val="00FD538F"/>
    <w:rsid w:val="00FE3255"/>
    <w:rsid w:val="00FE3E38"/>
    <w:rsid w:val="00FF0E80"/>
    <w:rsid w:val="00FF1764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5C36530E-251D-4A05-B8BE-3B58AF17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2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FC6ED3"/>
    <w:pPr>
      <w:tabs>
        <w:tab w:val="left" w:pos="990"/>
      </w:tabs>
      <w:ind w:left="0" w:firstLine="709"/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FC6ED3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D070-226F-4395-9CC1-CF6CBFE6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https://mul2-minfin.gov.am/tasks/465105/oneclick/1.Royalty_naxagic1_28.04.22_sent.docx?token=d9d2c4e882a4a7d21dcdd18532f4e9c6</cp:keywords>
  <dc:description/>
  <cp:lastModifiedBy>Ori Alaverdyan</cp:lastModifiedBy>
  <cp:revision>7</cp:revision>
  <dcterms:created xsi:type="dcterms:W3CDTF">2022-04-28T21:08:00Z</dcterms:created>
  <dcterms:modified xsi:type="dcterms:W3CDTF">2022-04-28T22:00:00Z</dcterms:modified>
</cp:coreProperties>
</file>