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CE" w:rsidRDefault="001B5FCE" w:rsidP="001B5FCE">
      <w:pPr>
        <w:spacing w:after="0" w:line="360" w:lineRule="auto"/>
        <w:ind w:left="-142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1B5FCE" w:rsidRDefault="001B5FCE" w:rsidP="001B5FCE">
      <w:pPr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ՀԱՅԱՍՏԱՆԻ ՀԱՆՐԱՊԵՏՈՒԹՅԱՆ ՏԱՐԱԾՔԻՑ ԵՎՐԱՍԻԱԿԱՆ ՏՆՏԵՍԱԿԱՆ ՄԻՈՒԹՅԱՆ ԱՆԴԱՄ ՉՀԱՆԴԻՍԱՑՈՂ </w:t>
      </w:r>
      <w:r>
        <w:rPr>
          <w:rFonts w:ascii="GHEA Grapalat" w:hAnsi="GHEA Grapalat"/>
          <w:b/>
          <w:bCs/>
          <w:sz w:val="24"/>
          <w:szCs w:val="24"/>
          <w:shd w:val="clear" w:color="auto" w:fill="F6F6F6"/>
          <w:lang w:val="hy-AM"/>
        </w:rPr>
        <w:t>ՊԵՏՈՒԹՅՈՒՆՆԵՐ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ԱՐՏԱՀԱՆՄԱՆ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ԴԵՊՔՈՒՄ ՀԱՅԱՍՏԱՆԻ ՀԱՆՐԱՊԵՏՈՒԹՅԱՆ ԾԱԳՈՒՄ ՈՒՆԵՑՈՂ ԺԱՄԱՆԱԿԱՎՈՐ ԱՐԳԵԼՎԱԾ ԱՊՐԱՆՔՆԵՐԻ ՑԱՆԿԸ ՀԱՍՏԱՏԵԼՈՒ </w:t>
      </w:r>
      <w:r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GHEA Grapalat"/>
          <w:b/>
          <w:sz w:val="24"/>
          <w:szCs w:val="24"/>
          <w:lang w:val="af-ZA"/>
        </w:rPr>
        <w:t>ԿԱՌԱՎԱՐՈՒԹՅԱՆ ՈՐՈՇՄԱՆ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ԸՆԴՈՒՆՄԱՆ </w:t>
      </w:r>
    </w:p>
    <w:p w:rsidR="001B5FCE" w:rsidRDefault="001B5FCE" w:rsidP="001B5FCE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1B5FCE" w:rsidRDefault="001B5FCE" w:rsidP="001B5FCE">
      <w:pPr>
        <w:spacing w:after="0" w:line="360" w:lineRule="auto"/>
        <w:ind w:left="720"/>
        <w:jc w:val="both"/>
        <w:rPr>
          <w:rFonts w:ascii="GHEA Grapalat" w:hAnsi="GHEA Grapalat" w:cs="GHEA Grapalat"/>
          <w:b/>
          <w:bCs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i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1B5FCE" w:rsidRDefault="001B5FCE" w:rsidP="001B5FCE">
      <w:pPr>
        <w:spacing w:after="0" w:line="36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կառավարության 2021 թվականի մարտի 4-ի «Հայաստանի Հանրապետության տարածքից Եվրասիական տնտեսական միության անդամ չհանդիսացող պետություններ արտահանման դեպքում Հայաստանի Հանրապետության ծագում ունեցող ժամանակավոր արգելված ապրանքների ցանկը հաստատելու մասին» N 281-Ն որոշմամբ փայտանյութի և դրանից պատրաստված ԵԱՏՄ ԱՏԳ ԱԱ </w:t>
      </w:r>
      <w:r w:rsidR="0063628D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4401 11 000 և 4401 12 000 440</w:t>
      </w:r>
      <w:r w:rsidR="006362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63628D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440</w:t>
      </w:r>
      <w:r w:rsidR="006362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ծածկագրերին համապատասխանող որոշ ապրանքների արտահանումը Հայաստանի Հանրապետությունից երրորդ երկրներ արգելվել է 6-ամսյա ժամկետով, </w:t>
      </w:r>
      <w:r w:rsidR="00121E6F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ինչ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 ժամկետը լրացել է, այդ իսկ պատճառով անհրաժեշտություն է առաջացել մշակելու «Հայ</w:t>
      </w:r>
      <w:r w:rsidR="004352E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աստանի Հանրապետության տարածքից Ե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վրասիական տնտեսական միության անդամ չհանդիսացող պետություններ արտահանման դեպքում Հայաստանի Հանրապետության ծագում ունեցող ժամանակավոր արգելված ապրանքների ցանկը հաստատելու մասին» Կառավարության որոշման նախագիծը, ինչը նախատեսում է ևս 6 ամսով արգելելու </w:t>
      </w:r>
      <w:r w:rsidR="0063628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միայն </w:t>
      </w:r>
      <w:r w:rsidR="0063628D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ԱՏԳ ԱԱ 440</w:t>
      </w:r>
      <w:r w:rsidR="006362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63628D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440</w:t>
      </w:r>
      <w:r w:rsidR="006362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 </w:t>
      </w:r>
      <w:r w:rsidR="0063628D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ծածկագրեր</w:t>
      </w:r>
      <w:r w:rsidR="006362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 նախատեսված</w:t>
      </w:r>
      <w:r w:rsidR="0063628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ապրանքների արտահանումը, քանի որ </w:t>
      </w:r>
      <w:r w:rsidR="0063628D" w:rsidRPr="00D7654C">
        <w:rPr>
          <w:rFonts w:ascii="GHEA Grapalat" w:hAnsi="GHEA Grapalat"/>
          <w:sz w:val="24"/>
          <w:szCs w:val="24"/>
          <w:lang w:val="hy-AM" w:eastAsia="ru-RU"/>
        </w:rPr>
        <w:t xml:space="preserve">2021 թվականի դեկտեմբերի 28-ի N 194 և 2022 թվականի հունվարի 25-ի N 16 որոշումներով </w:t>
      </w:r>
      <w:r w:rsidR="004352E0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ԱՏԳ ԱԱ 4401 11 000 և 4401 12 000 ծածկագրեր</w:t>
      </w:r>
      <w:r w:rsidR="004352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 նախատեսված ապրանքատեսակների մասով</w:t>
      </w:r>
      <w:r w:rsidR="004352E0" w:rsidRPr="00D7654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63628D" w:rsidRPr="00D7654C">
        <w:rPr>
          <w:rFonts w:ascii="GHEA Grapalat" w:hAnsi="GHEA Grapalat"/>
          <w:sz w:val="24"/>
          <w:szCs w:val="24"/>
          <w:lang w:val="hy-AM" w:eastAsia="ru-RU"/>
        </w:rPr>
        <w:t>Եվրասիական տնտեսական միության անդամ պետությունների համար սահմանվել են</w:t>
      </w:r>
      <w:r w:rsidR="0063628D" w:rsidRPr="00D7654C">
        <w:rPr>
          <w:rFonts w:ascii="GHEA Grapalat" w:hAnsi="GHEA Grapalat"/>
          <w:sz w:val="24"/>
          <w:szCs w:val="24"/>
          <w:lang w:val="hy-AM"/>
        </w:rPr>
        <w:t xml:space="preserve"> արտահանման </w:t>
      </w:r>
      <w:r w:rsidR="0063628D">
        <w:rPr>
          <w:rFonts w:ascii="GHEA Grapalat" w:hAnsi="GHEA Grapalat"/>
          <w:sz w:val="24"/>
          <w:szCs w:val="24"/>
          <w:lang w:val="hy-AM"/>
        </w:rPr>
        <w:t>սահմանափակումներ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։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</w:t>
      </w:r>
    </w:p>
    <w:p w:rsidR="001B5FCE" w:rsidRDefault="001B5FCE" w:rsidP="001B5FC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Եվրասիական տնտեսական միության շրջանակներում ոչ սակագնային կարգավորման միջոց</w:t>
      </w:r>
      <w:r>
        <w:rPr>
          <w:rFonts w:ascii="GHEA Grapalat" w:hAnsi="GHEA Grapalat" w:cs="Sylfaen"/>
          <w:lang w:val="hy-AM"/>
        </w:rPr>
        <w:softHyphen/>
        <w:t>ների կիրառման հետ կապված հարա</w:t>
      </w:r>
      <w:r>
        <w:rPr>
          <w:rFonts w:ascii="GHEA Grapalat" w:hAnsi="GHEA Grapalat" w:cs="Sylfaen"/>
          <w:lang w:val="hy-AM"/>
        </w:rPr>
        <w:softHyphen/>
        <w:t>բե</w:t>
      </w:r>
      <w:r>
        <w:rPr>
          <w:rFonts w:ascii="GHEA Grapalat" w:hAnsi="GHEA Grapalat" w:cs="Sylfaen"/>
          <w:lang w:val="hy-AM"/>
        </w:rPr>
        <w:softHyphen/>
        <w:t>րու</w:t>
      </w:r>
      <w:r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  <w:t>թյունները միասնական են և սահմանվում են «Եվրասիական տնտեսական միության մասին» 2014 թվականի մայիսի 29-ի պայմանագրի (այսուհետ՝ Պայմանագիր) 7-րդ հավել</w:t>
      </w:r>
      <w:r>
        <w:rPr>
          <w:rFonts w:ascii="GHEA Grapalat" w:hAnsi="GHEA Grapalat" w:cs="Sylfaen"/>
          <w:lang w:val="hy-AM"/>
        </w:rPr>
        <w:softHyphen/>
        <w:t>վա</w:t>
      </w:r>
      <w:r>
        <w:rPr>
          <w:rFonts w:ascii="GHEA Grapalat" w:hAnsi="GHEA Grapalat" w:cs="Sylfaen"/>
          <w:lang w:val="hy-AM"/>
        </w:rPr>
        <w:softHyphen/>
        <w:t xml:space="preserve">ծին համապատասխան: Նշված հավելվածով </w:t>
      </w:r>
      <w:r>
        <w:rPr>
          <w:rFonts w:ascii="GHEA Grapalat" w:hAnsi="GHEA Grapalat" w:cs="Sylfaen"/>
          <w:lang w:val="hy-AM"/>
        </w:rPr>
        <w:lastRenderedPageBreak/>
        <w:t>սահմանված՝ երրորդ երկրների առնչու</w:t>
      </w:r>
      <w:r>
        <w:rPr>
          <w:rFonts w:ascii="GHEA Grapalat" w:hAnsi="GHEA Grapalat" w:cs="Sylfaen"/>
          <w:lang w:val="hy-AM"/>
        </w:rPr>
        <w:softHyphen/>
        <w:t>թյամբ ոչ սակագնային կարգավորման միջոցների մասին արձանագրության (այսուհետ՝ Արձա</w:t>
      </w:r>
      <w:r>
        <w:rPr>
          <w:rFonts w:ascii="GHEA Grapalat" w:hAnsi="GHEA Grapalat" w:cs="Sylfaen"/>
          <w:lang w:val="hy-AM"/>
        </w:rPr>
        <w:softHyphen/>
        <w:t>նագրություն) 4-րդ կետի համաձայն՝ ոչ սակագնային կարգավորման միջոց</w:t>
      </w:r>
      <w:r>
        <w:rPr>
          <w:rFonts w:ascii="GHEA Grapalat" w:hAnsi="GHEA Grapalat" w:cs="Sylfaen"/>
          <w:lang w:val="hy-AM"/>
        </w:rPr>
        <w:softHyphen/>
        <w:t>ների սահ</w:t>
      </w:r>
      <w:r>
        <w:rPr>
          <w:rFonts w:ascii="GHEA Grapalat" w:hAnsi="GHEA Grapalat" w:cs="Sylfaen"/>
          <w:lang w:val="hy-AM"/>
        </w:rPr>
        <w:softHyphen/>
        <w:t>ման</w:t>
      </w:r>
      <w:r>
        <w:rPr>
          <w:rFonts w:ascii="GHEA Grapalat" w:hAnsi="GHEA Grapalat" w:cs="Sylfaen"/>
          <w:lang w:val="hy-AM"/>
        </w:rPr>
        <w:softHyphen/>
        <w:t>ման, կիրառման, երկարաձգման և վերացման մասին որոշումներն ընդուն</w:t>
      </w:r>
      <w:r>
        <w:rPr>
          <w:rFonts w:ascii="GHEA Grapalat" w:hAnsi="GHEA Grapalat" w:cs="Sylfaen"/>
          <w:lang w:val="hy-AM"/>
        </w:rPr>
        <w:softHyphen/>
        <w:t>վում են Եվրա</w:t>
      </w:r>
      <w:r>
        <w:rPr>
          <w:rFonts w:ascii="GHEA Grapalat" w:hAnsi="GHEA Grapalat" w:cs="Sylfaen"/>
          <w:lang w:val="hy-AM"/>
        </w:rPr>
        <w:softHyphen/>
        <w:t xml:space="preserve">սիական տնտեսական հանձնաժողովի կողմից: </w:t>
      </w:r>
    </w:p>
    <w:p w:rsidR="001B5FCE" w:rsidRDefault="001B5FCE" w:rsidP="001B5FC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կողմից միակողմանի ոչ սակագնային կարգավորման միջոցների սահմանման կապակցությամբ պետք է նշել, որ Արձանագրության 50-րդ կետի համաձայն՝ բացառիկ դեպքերում Արձանագրության VII և VIII բաժիններով նախատեսված հիմքերով անդամ պետու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թյունները երրորդ երկրների հետ առևտրում կարող են միակողմանիորեն սահմանել ժամանակավոր միջոցներ, այդ թվում՝ Արձանագրության III և IV բաժիններում նշվածներից տարբերվող հիմքերով: Արձանագրության 51-րդ կետի համաձայն՝ ժամանակավոր միջոց սահ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մանող անդամ պետությունը նախօրոք, սակայն ոչ ուշ, քան միջոցի սահմանման օրվա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նից 3 օրացուցային օր հետո, Եվրասիական տնտեսական հանձնաժողովին ծանուցում է դրա մասին և Միության մաքսային տարածքում այդ միջոցի սահմանման վերաբերյալ առա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ջարկ է ներկայացնում։</w:t>
      </w:r>
    </w:p>
    <w:p w:rsidR="001B5FCE" w:rsidRDefault="001B5FCE" w:rsidP="001B5FC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Արձանագրության 54-րդ կետի համաձայն՝ եթե Միության մաքսային տարածքում ժամա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նակավոր միջոց սահմանելու մասին որոշում չի ընդունվում, ապա Եվրասիական տնտե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սական հանձնաժողովը ժամանակավոր միջոցը սահմանած անդամ պետությանը և անդամ պետությունների մաքսային մարմիններին տեղեկացնում է, որ ժամանակավոր միջոցը գործում է այն սահմանելու օրվանից հետո՝ առավելագույնը 6 ամսվա ընթացքում։</w:t>
      </w:r>
    </w:p>
    <w:p w:rsidR="001B5FCE" w:rsidRDefault="001B5FCE" w:rsidP="001B5FCE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Պայմանագրի 29-րդ հոդվածի 1-ին մասի համաձայն՝ երրորդ երկրների հետ ապրանքների փոխա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դարձ առևտրում Եվրասիական տնտեսական միության անդամ պետու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թյուններն իրա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  <w:t>վունք ունեն կիրառելու սահմանափակումներ (պայմանով, որ այդ միջոց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ներն անհիմն խտրա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կանության միջոց կամ առևտրի քողարկված սահմանափակում չլինեն), եթե այդ սահ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նափակումներն անհրաժեշտ են` մարդու կյանքի և առողջության պահ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պանման, հասա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կական բարոյականության և իրավակարգի պաշտպանության, շրջակա միջավայրի պահ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նության, կենդանիների և բույսերի, մշակութային արժեքների պաշտ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պանության, միջազ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գա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յին պարտավորությունների կատարման, երկրի պաշտպանու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և անդամ պետու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անվտանգության ապահովման համար։</w:t>
      </w:r>
    </w:p>
    <w:p w:rsidR="001B5FCE" w:rsidRDefault="001B5FCE" w:rsidP="001B5FCE">
      <w:pPr>
        <w:tabs>
          <w:tab w:val="left" w:pos="284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ab/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Հանրապետությունից փայտանյութի և դրանից պատ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րաստ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  <w:t>ված որոշ ապրանքների արտահանման արգելքի պահանջ սահմա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նելու նպատա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  <w:t>հար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մար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յան հարցը պայմանավորված է շրջակա միջավայրի պահ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նության անհրաժեշտությամբ։</w:t>
      </w:r>
    </w:p>
    <w:p w:rsidR="001B5FCE" w:rsidRDefault="001B5FCE" w:rsidP="001B5FCE">
      <w:pPr>
        <w:tabs>
          <w:tab w:val="left" w:pos="284"/>
        </w:tabs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 xml:space="preserve"> </w:t>
      </w:r>
    </w:p>
    <w:p w:rsidR="001B5FCE" w:rsidRDefault="001B5FCE" w:rsidP="001B5FC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bCs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i/>
          <w:sz w:val="24"/>
          <w:szCs w:val="24"/>
          <w:u w:val="single"/>
          <w:lang w:val="hy-AM"/>
        </w:rPr>
        <w:t>2. Առաջարկվող կարգավորման բնույթը</w:t>
      </w:r>
    </w:p>
    <w:p w:rsidR="001B5FCE" w:rsidRDefault="001B5FCE" w:rsidP="001B5FC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 xml:space="preserve">«Հայաստանի Հանրապետության տարածքից Եվրասիական տնտեսական միության անդամ չհանդիսացող պետություններ արտահանման դեպքում Հայաստանի Հանրապետության ծագում ունեցող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ժամանակավոր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արգելված ապրանքների ցանկը հաստատելու մասին»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Կառավարության որոշման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նախագծով առաջարկվում է արգելել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որոշմամբ նախատեսված փայտանյութի և դրանից պատ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րաստ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  <w:t xml:space="preserve">ված </w:t>
      </w:r>
      <w:r>
        <w:rPr>
          <w:rFonts w:ascii="GHEA Grapalat" w:hAnsi="GHEA Grapalat"/>
          <w:sz w:val="24"/>
          <w:szCs w:val="24"/>
          <w:lang w:val="hy-AM"/>
        </w:rPr>
        <w:t>ԵԱՏՄ ԱՏԳ ԱԱ</w:t>
      </w:r>
      <w:r w:rsidR="00804F99" w:rsidRPr="00804F99">
        <w:rPr>
          <w:rFonts w:ascii="GHEA Grapalat" w:hAnsi="GHEA Grapalat"/>
          <w:sz w:val="24"/>
          <w:szCs w:val="24"/>
          <w:lang w:val="hy-AM"/>
        </w:rPr>
        <w:t xml:space="preserve"> </w:t>
      </w:r>
      <w:r w:rsidR="00804F99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440</w:t>
      </w:r>
      <w:r w:rsidR="00804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804F99" w:rsidRPr="006410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440</w:t>
      </w:r>
      <w:r w:rsidR="00804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 </w:t>
      </w:r>
      <w:r>
        <w:rPr>
          <w:rFonts w:ascii="GHEA Grapalat" w:hAnsi="GHEA Grapalat"/>
          <w:sz w:val="24"/>
          <w:szCs w:val="24"/>
          <w:lang w:val="hy-AM"/>
        </w:rPr>
        <w:t>ծածկագրերին համապատասխանող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ապրանքների արտահանումը Հայաստանի Հանրապետությունից երրորդ երկրներ ևս 6 ամսով։</w:t>
      </w:r>
    </w:p>
    <w:p w:rsidR="001B5FCE" w:rsidRDefault="001B5FCE" w:rsidP="001B5FC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B5FCE" w:rsidRPr="001B5FCE" w:rsidRDefault="001B5FCE" w:rsidP="001B5FC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Style w:val="Strong"/>
          <w:rFonts w:cs="GHEA Grapalat"/>
          <w:i/>
          <w:u w:val="single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i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1B5FCE" w:rsidRPr="001B5FCE" w:rsidRDefault="001B5FCE" w:rsidP="001B5FCE">
      <w:pPr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1B5FCE" w:rsidRDefault="001B5FCE" w:rsidP="001B5FCE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p w:rsidR="001B5FCE" w:rsidRDefault="001B5FCE" w:rsidP="001B5FC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/>
          <w:bCs/>
          <w:i/>
          <w:u w:val="single"/>
          <w:lang w:val="hy-AM"/>
        </w:rPr>
      </w:pPr>
      <w:r>
        <w:rPr>
          <w:rFonts w:ascii="GHEA Grapalat" w:hAnsi="GHEA Grapalat" w:cs="GHEA Grapalat"/>
          <w:b/>
          <w:bCs/>
          <w:i/>
          <w:u w:val="single"/>
          <w:lang w:val="hy-AM"/>
        </w:rPr>
        <w:t>4. Ակնկալվող արդյունքը</w:t>
      </w:r>
    </w:p>
    <w:p w:rsidR="001B5FCE" w:rsidRPr="001B5FCE" w:rsidRDefault="001B5FCE" w:rsidP="001B5FCE">
      <w:pPr>
        <w:tabs>
          <w:tab w:val="left" w:pos="567"/>
        </w:tabs>
        <w:spacing w:after="0" w:line="360" w:lineRule="auto"/>
        <w:jc w:val="both"/>
        <w:rPr>
          <w:rStyle w:val="Strong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տարածքից Եվրասիական տնտեսական միության անդամ չհանդիսացող պետություններ արտահանման դեպքում Հայաստանի Հանրապետության ծագում ունեցող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ժամանակավոր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արգելված ապրանքների ցանկը հաստատելու մասին»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Կառավարության որոշման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ընդունմամբ ակնկալվում է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 xml:space="preserve">նել շրջակա միջավայրը և Հայաստանի Հանրապետությունից փայտանյութի </w:t>
      </w:r>
      <w:r w:rsidR="00121E6F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դրանից պատ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րաստ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  <w:t>ված որոշ ապրանքների արտահանման արգելքի միջոցով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սահմանել համապատասխան կարգավորումներ։</w:t>
      </w:r>
    </w:p>
    <w:p w:rsidR="001B5FCE" w:rsidRDefault="001B5FCE" w:rsidP="001B5FCE">
      <w:pPr>
        <w:tabs>
          <w:tab w:val="left" w:pos="567"/>
        </w:tabs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:rsidR="001B5FCE" w:rsidRDefault="001B5FCE" w:rsidP="001B5FCE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Style w:val="Heading1"/>
          <w:rFonts w:ascii="GHEA Grapalat" w:hAnsi="GHEA Grapalat"/>
          <w:i/>
          <w:sz w:val="24"/>
          <w:szCs w:val="24"/>
        </w:rPr>
      </w:pPr>
      <w:r>
        <w:rPr>
          <w:rStyle w:val="Heading1"/>
          <w:rFonts w:ascii="GHEA Grapalat" w:hAnsi="GHEA Grapalat"/>
          <w:i/>
          <w:sz w:val="24"/>
          <w:szCs w:val="24"/>
        </w:rPr>
        <w:lastRenderedPageBreak/>
        <w:t xml:space="preserve">5.  </w:t>
      </w:r>
      <w:r>
        <w:rPr>
          <w:rStyle w:val="Heading1"/>
          <w:rFonts w:ascii="GHEA Grapalat" w:hAnsi="GHEA Grapalat" w:cs="Arial"/>
          <w:i/>
          <w:sz w:val="24"/>
          <w:szCs w:val="24"/>
        </w:rPr>
        <w:t>Տեղեկատվություն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լրացուցիչ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ֆինանսական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միջոցների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անհրաժեշտության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և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պետական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բյուջեի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եկամուտներում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և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ծախսերում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սպասվելիք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փոփոխությունների</w:t>
      </w:r>
      <w:r>
        <w:rPr>
          <w:rStyle w:val="Heading1"/>
          <w:rFonts w:ascii="GHEA Grapalat" w:hAnsi="GHEA Grapalat"/>
          <w:i/>
          <w:sz w:val="24"/>
          <w:szCs w:val="24"/>
        </w:rPr>
        <w:t xml:space="preserve"> </w:t>
      </w:r>
      <w:r>
        <w:rPr>
          <w:rStyle w:val="Heading1"/>
          <w:rFonts w:ascii="GHEA Grapalat" w:hAnsi="GHEA Grapalat" w:cs="Arial"/>
          <w:i/>
          <w:sz w:val="24"/>
          <w:szCs w:val="24"/>
        </w:rPr>
        <w:t>մասին</w:t>
      </w:r>
      <w:r>
        <w:rPr>
          <w:rStyle w:val="Heading1"/>
          <w:rFonts w:ascii="GHEA Grapalat" w:hAnsi="GHEA Grapalat"/>
          <w:i/>
          <w:sz w:val="24"/>
          <w:szCs w:val="24"/>
        </w:rPr>
        <w:t>.</w:t>
      </w:r>
    </w:p>
    <w:p w:rsidR="001B5FCE" w:rsidRPr="001B5FCE" w:rsidRDefault="001B5FCE" w:rsidP="001B5FCE">
      <w:pPr>
        <w:tabs>
          <w:tab w:val="left" w:pos="0"/>
        </w:tabs>
        <w:spacing w:after="0" w:line="360" w:lineRule="auto"/>
        <w:ind w:firstLine="450"/>
        <w:jc w:val="both"/>
        <w:rPr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տարածքից Եվրասիական տնտեսական միության անդամ չհանդիսացող պետություններ արտահանման դեպքում Հայաստանի Հանրապետության ծագում ունեցող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ժամանակավոր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արգելված ապրանքների ցանկը հաստատելու մասին»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Կառավարության որոշման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տեղական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մարմնի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բյուջեի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եկամուտներում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ծախսերում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չի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B5FCE" w:rsidRDefault="001B5FCE" w:rsidP="001B5FCE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1B5FCE" w:rsidRDefault="001B5FCE" w:rsidP="001B5FCE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6.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Կապը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ռազմավարական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փաստաթղթերի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հետ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.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Հայաստանի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վերափոխման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ռազմավարություն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2050,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Կառավարության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2021-2026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թթ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.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ծրագիր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,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ոլորտային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>/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կամ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այլ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ռազմավարություններ</w:t>
      </w:r>
      <w:r>
        <w:rPr>
          <w:rStyle w:val="Heading1"/>
          <w:rFonts w:ascii="GHEA Grapalat" w:hAnsi="GHEA Grapalat"/>
          <w:i/>
          <w:sz w:val="24"/>
          <w:szCs w:val="24"/>
        </w:rPr>
        <w:t>.</w:t>
      </w:r>
    </w:p>
    <w:p w:rsidR="001B5FCE" w:rsidRDefault="001B5FCE" w:rsidP="001B5FCE">
      <w:pPr>
        <w:shd w:val="clear" w:color="auto" w:fill="FFFFFF"/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Ներկայացվող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բխում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ռազմավարական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փաստաթղթերից։</w:t>
      </w:r>
    </w:p>
    <w:p w:rsidR="005B64B6" w:rsidRPr="001B5FCE" w:rsidRDefault="00121E6F">
      <w:pPr>
        <w:rPr>
          <w:lang w:val="hy-AM"/>
        </w:rPr>
      </w:pPr>
    </w:p>
    <w:sectPr w:rsidR="005B64B6" w:rsidRPr="001B5FCE" w:rsidSect="001B5FCE">
      <w:pgSz w:w="12240" w:h="15840"/>
      <w:pgMar w:top="63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83"/>
    <w:rsid w:val="00121E6F"/>
    <w:rsid w:val="00166CC3"/>
    <w:rsid w:val="001B5FCE"/>
    <w:rsid w:val="004352E0"/>
    <w:rsid w:val="00507D83"/>
    <w:rsid w:val="0063628D"/>
    <w:rsid w:val="007B4B3A"/>
    <w:rsid w:val="00803B1C"/>
    <w:rsid w:val="00804F99"/>
    <w:rsid w:val="00A252CF"/>
    <w:rsid w:val="00E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CDDC"/>
  <w15:chartTrackingRefBased/>
  <w15:docId w15:val="{6FA2EBBB-A35A-4835-956E-D31655C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FCE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B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"/>
    <w:basedOn w:val="DefaultParagraphFont"/>
    <w:rsid w:val="001B5FCE"/>
    <w:rPr>
      <w:rFonts w:ascii="Tahoma" w:eastAsia="Tahoma" w:hAnsi="Tahoma" w:cs="Tahoma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styleId="Strong">
    <w:name w:val="Strong"/>
    <w:basedOn w:val="DefaultParagraphFont"/>
    <w:qFormat/>
    <w:rsid w:val="001B5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C187-690D-4F15-A5A3-7B0E6D6D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2022-02-22T05:52:00Z</dcterms:created>
  <dcterms:modified xsi:type="dcterms:W3CDTF">2022-02-28T07:53:00Z</dcterms:modified>
</cp:coreProperties>
</file>