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2279" w14:textId="77777777" w:rsidR="00C20A6C" w:rsidRPr="00780F7D" w:rsidRDefault="00C20A6C" w:rsidP="00C20A6C">
      <w:pPr>
        <w:spacing w:line="360" w:lineRule="auto"/>
        <w:ind w:firstLine="567"/>
        <w:jc w:val="right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/>
          <w:bCs/>
          <w:sz w:val="24"/>
          <w:szCs w:val="24"/>
          <w:lang w:val="hy-AM"/>
        </w:rPr>
        <w:t>ՆԱԽԱԳԻԾ</w:t>
      </w:r>
    </w:p>
    <w:p w14:paraId="472853C6" w14:textId="77777777" w:rsidR="00C20A6C" w:rsidRPr="00780F7D" w:rsidRDefault="00C20A6C" w:rsidP="00C20A6C">
      <w:pPr>
        <w:spacing w:line="360" w:lineRule="auto"/>
        <w:ind w:firstLine="567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7122A845" w14:textId="77777777" w:rsidR="00C20A6C" w:rsidRPr="00780F7D" w:rsidRDefault="00C20A6C" w:rsidP="00780F7D">
      <w:pPr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599E5AFF" w14:textId="77777777" w:rsidR="00C20A6C" w:rsidRPr="00780F7D" w:rsidRDefault="00C20A6C" w:rsidP="00780F7D">
      <w:pPr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/>
          <w:bCs/>
          <w:sz w:val="24"/>
          <w:szCs w:val="24"/>
          <w:lang w:val="hy-AM"/>
        </w:rPr>
        <w:t>Օ Ր Ե Ն Ք Ը</w:t>
      </w:r>
    </w:p>
    <w:p w14:paraId="2B15D343" w14:textId="1B0F07B3" w:rsidR="00C20A6C" w:rsidRPr="00780F7D" w:rsidRDefault="00C20A6C" w:rsidP="00780F7D">
      <w:pPr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/>
          <w:bCs/>
          <w:sz w:val="24"/>
          <w:szCs w:val="24"/>
          <w:lang w:val="hy-AM"/>
        </w:rPr>
        <w:t>ՀԱՅԱՍՏԱՆԻ ՀԱՆՐԱՊԵՏՈՒԹՅԱՆ ՔՐԵԱԿԱՆ ԴԱՏԱՎԱՐՈՒԹՅԱՆ ՕՐԵՆՍԳՐՔՈՒՄ</w:t>
      </w:r>
      <w:r w:rsidR="00780F7D" w:rsidRPr="00780F7D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/>
          <w:bCs/>
          <w:sz w:val="24"/>
          <w:szCs w:val="24"/>
          <w:lang w:val="hy-AM"/>
        </w:rPr>
        <w:t>ՓՈՓՈԽՈՒԹՅՈՒՆՆԵՐ ԵՎ ԼՐԱՑՈՒՄՆԵՐ</w:t>
      </w:r>
      <w:r w:rsidR="00780F7D" w:rsidRPr="00780F7D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/>
          <w:bCs/>
          <w:sz w:val="24"/>
          <w:szCs w:val="24"/>
          <w:lang w:val="hy-AM"/>
        </w:rPr>
        <w:t>ԿԱՏԱՐԵԼՈՒ ՄԱՍԻՆ</w:t>
      </w:r>
    </w:p>
    <w:p w14:paraId="7F567705" w14:textId="77777777" w:rsidR="00C20A6C" w:rsidRPr="00780F7D" w:rsidRDefault="00C20A6C" w:rsidP="00C20A6C">
      <w:pPr>
        <w:spacing w:line="360" w:lineRule="auto"/>
        <w:ind w:firstLine="567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14:paraId="3320F82C" w14:textId="7A2C9FC4" w:rsidR="00C20A6C" w:rsidRPr="00780F7D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/>
          <w:sz w:val="24"/>
          <w:szCs w:val="24"/>
          <w:lang w:val="hy-AM"/>
        </w:rPr>
        <w:t>Հոդված 1.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Հայաստանի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Հանրապետության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1998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թվականի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հուլիսի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1-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քրեական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դատավարության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օրենսգրքի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այսուհետ՝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Օրենսգիրք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)</w:t>
      </w:r>
      <w:r w:rsidR="00780F7D" w:rsidRPr="00780F7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190-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րդ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հոդվածի՝</w:t>
      </w:r>
    </w:p>
    <w:p w14:paraId="12DD857B" w14:textId="77777777" w:rsidR="00C20A6C" w:rsidRPr="00780F7D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sz w:val="24"/>
          <w:szCs w:val="24"/>
          <w:lang w:val="hy-AM"/>
        </w:rPr>
        <w:t>1. 3-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րդ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մասից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հանել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(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բացառությամբ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189.1-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ին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հոդվածի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2-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րդ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մասի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3-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րդ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կետի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)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բառերը և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189.1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թվից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հետո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լրացնել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190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թիվը։</w:t>
      </w:r>
    </w:p>
    <w:p w14:paraId="57567CD3" w14:textId="77777777" w:rsidR="00C20A6C" w:rsidRPr="00780F7D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sz w:val="24"/>
          <w:szCs w:val="24"/>
          <w:lang w:val="hy-AM"/>
        </w:rPr>
        <w:t>2. 5.1–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րդ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մասը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շարադրել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հետևյալ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նոր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խմբագրությամբ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BFF8CE3" w14:textId="77777777" w:rsidR="00C20A6C" w:rsidRPr="00780F7D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5.1.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Նախաքննությունը Հայաստանի Հանրապետության քրեական օրենսգրքի 6-րդ հավելվածով սահմանված կոռուպցիոն հանցագործությունների վերաբերյալ գործերով կատարում են հակակոռուպցիոն կոմիտեի քննիչները, եթե հանցագործությունները կատարվել են Հայաստանի Հանրապետության քրեական օրենսգրքի 308-րդ հոդվածի 3-րդ և 4-րդ մասերով սահմանված պաշտոնատար անձանց կողմից՝ իրենց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պաշտոնեական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դիրքի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հետ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կապված, ինչպես նաև նույն օրենսգրքի 311</w:t>
      </w:r>
      <w:r w:rsidRPr="00780F7D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1 հոդվածի 5-րդ մասով սահմանված հանրային ծառայողների կողմից՝ իրենց ծառայողական դիրքի հետ կապված, բացառությամբ Հայաստանի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Հանրապետության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քրեական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օրենսգրքի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308, 309 և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 xml:space="preserve"> 375 հոդվածներով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հանցագործությունների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վերաբերյալ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գործերով, որոնցով նախաքննությունը կատարում են հակակոռուպցիոն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կոմիտեի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քննիչները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եթե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այդ հանցագործությունները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կատարվել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են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շահադիտական շարժառիթով։</w:t>
      </w:r>
    </w:p>
    <w:p w14:paraId="05CC98F7" w14:textId="77777777" w:rsidR="00C20A6C" w:rsidRPr="00780F7D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Այս կարգը չի տարածվում</w:t>
      </w:r>
      <w:r w:rsidRPr="00780F7D">
        <w:rPr>
          <w:rFonts w:ascii="GHEA Grapalat" w:hAnsi="GHEA Grapalat"/>
          <w:sz w:val="21"/>
          <w:szCs w:val="21"/>
          <w:shd w:val="clear" w:color="auto" w:fill="FFFFFF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Հայաստանի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Հանրապետության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քրեական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օրենսգրքի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154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2, 154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9, 154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10, 161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2, 161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5, 310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1, 314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>2 և 314</w:t>
      </w:r>
      <w:r w:rsidRPr="00780F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3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հոդվածներով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lastRenderedPageBreak/>
        <w:t>նախատեսված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հանցագործությունների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վերաբերյալ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գործերի վրա, որոնց նախաքննությունը կատարում են բացառապես հակակոռուպցիոն կոմիտեի քննիչները:</w:t>
      </w:r>
    </w:p>
    <w:p w14:paraId="1514ED90" w14:textId="77777777" w:rsidR="00C20A6C" w:rsidRPr="00780F7D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Նախաքննությունը ՀՀ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քրեական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օրենսգրքի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312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313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հոդվածներով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հանցագործությունների վերաբերյալ գործերով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կատարում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են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հակակոռուպցիոն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կոմիտեի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քննիչները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, եթե հանցագործությունները կատարվել են սույն մասում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նշված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պաշտոնատար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անձանց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կաշառք տալու կապակցությամբ։</w:t>
      </w:r>
    </w:p>
    <w:p w14:paraId="5EEA58C5" w14:textId="50440583" w:rsidR="00C20A6C" w:rsidRPr="00F80CC1" w:rsidRDefault="00C20A6C" w:rsidP="00780F7D">
      <w:pPr>
        <w:spacing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en-US"/>
        </w:rPr>
      </w:pPr>
      <w:r w:rsidRPr="00780F7D">
        <w:rPr>
          <w:rFonts w:ascii="GHEA Grapalat" w:hAnsi="GHEA Grapalat" w:cs="Times New Roman"/>
          <w:b/>
          <w:sz w:val="24"/>
          <w:szCs w:val="24"/>
          <w:lang w:val="hy-AM"/>
        </w:rPr>
        <w:t>Հոդված 2.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 xml:space="preserve"> Սույն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օրենքն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ուժի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մեջ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է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մտնում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պաշտոնական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հրապարակման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օրվան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հաջորդող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տասներորդ</w:t>
      </w:r>
      <w:r w:rsidRPr="00780F7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80F7D">
        <w:rPr>
          <w:rFonts w:ascii="GHEA Grapalat" w:hAnsi="GHEA Grapalat" w:cs="Times New Roman"/>
          <w:bCs/>
          <w:sz w:val="24"/>
          <w:szCs w:val="24"/>
          <w:lang w:val="hy-AM"/>
        </w:rPr>
        <w:t>օրը։</w:t>
      </w:r>
      <w:bookmarkStart w:id="0" w:name="_GoBack"/>
      <w:bookmarkEnd w:id="0"/>
    </w:p>
    <w:sectPr w:rsidR="00C20A6C" w:rsidRPr="00F80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6C"/>
    <w:rsid w:val="00342C68"/>
    <w:rsid w:val="0073386E"/>
    <w:rsid w:val="00780F7D"/>
    <w:rsid w:val="00C20A6C"/>
    <w:rsid w:val="00C72128"/>
    <w:rsid w:val="00E82037"/>
    <w:rsid w:val="00F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69DA"/>
  <w15:chartTrackingRefBased/>
  <w15:docId w15:val="{B284744D-1462-4852-99C5-209F7ED7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6C"/>
    <w:pPr>
      <w:spacing w:after="0" w:line="240" w:lineRule="auto"/>
    </w:pPr>
    <w:rPr>
      <w:rFonts w:eastAsiaTheme="minorEastAsia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2022-01-18T10:04:00Z</dcterms:created>
  <dcterms:modified xsi:type="dcterms:W3CDTF">2022-01-20T06:56:00Z</dcterms:modified>
</cp:coreProperties>
</file>