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2C" w:rsidRPr="00594565" w:rsidRDefault="00C57E1D" w:rsidP="00A05BA6">
      <w:pPr>
        <w:spacing w:after="0" w:line="360" w:lineRule="auto"/>
        <w:ind w:left="79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ՆԱԽԱԳԻԾ</w:t>
      </w:r>
    </w:p>
    <w:p w:rsidR="00FA3F2C" w:rsidRPr="00594565" w:rsidRDefault="00FA3F2C" w:rsidP="00A05BA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A3F2C" w:rsidRPr="00594565" w:rsidRDefault="00C57E1D" w:rsidP="00A05BA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FA3F2C" w:rsidRPr="00594565" w:rsidRDefault="00C57E1D" w:rsidP="00A05BA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:rsidR="00FA3F2C" w:rsidRPr="00594565" w:rsidRDefault="00C57E1D" w:rsidP="00A05BA6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«ՀԱՅԱՍՏԱՆԻ ՀԱՆՐԱՊԵՏՈՒԹՅԱՆ ՔԱՂԱՔԱՑԻԱԿԱՆ ՕՐԵՆՍԳՐՔՈՒՄ ՓՈՓՈԽՈՒԹՅՈՒՆ</w:t>
      </w:r>
      <w:r w:rsidR="00594565"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ՆԵՐ</w:t>
      </w: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ԿԱՏԱՐԵԼՈՒ ՄԱՍԻՆ»</w:t>
      </w:r>
    </w:p>
    <w:p w:rsidR="00C57E1D" w:rsidRPr="00594565" w:rsidRDefault="00C57E1D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594565" w:rsidRPr="00594565" w:rsidRDefault="00C57E1D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 1.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>1998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>մայիսի 5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-ի </w:t>
      </w: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քաղաքացիական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(այսուհետ՝ Օրենսգիրք)</w:t>
      </w:r>
      <w:r w:rsidR="000063F8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>162.1-ին հոդվածի 2-րդ մասում «քրեական հետապնդման» բառերը փոխարինել «նախաքննության» բառով:</w:t>
      </w:r>
    </w:p>
    <w:p w:rsidR="00594565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</w:pPr>
    </w:p>
    <w:p w:rsidR="00594565" w:rsidRPr="00594565" w:rsidRDefault="00594565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Courier New"/>
          <w:b/>
          <w:color w:val="000000"/>
          <w:sz w:val="24"/>
          <w:szCs w:val="24"/>
          <w:lang w:val="hy-AM"/>
        </w:rPr>
        <w:t>Հոդված 2.</w:t>
      </w:r>
      <w:r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243-րդ հոդվածի 2-րդ մասում «կամ որպես հանցագործության համար պատժամիջոց» բառերը փոխարինել «կամ բռնագրավվել է» բառերով:</w:t>
      </w:r>
    </w:p>
    <w:p w:rsidR="00594565" w:rsidRPr="00594565" w:rsidRDefault="00594565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</w:pPr>
    </w:p>
    <w:p w:rsidR="00594565" w:rsidRPr="00594565" w:rsidRDefault="00594565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3. </w:t>
      </w:r>
      <w:r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Օրենսգրքի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28</w:t>
      </w: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>8-րդ հոդվածը շարադրել հետևյալ խմբագրությամբ.</w:t>
      </w:r>
    </w:p>
    <w:p w:rsidR="00594565" w:rsidRPr="00594565" w:rsidRDefault="00594565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5945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288. Բռնագրավում</w:t>
      </w:r>
    </w:p>
    <w:p w:rsidR="00594565" w:rsidRPr="00594565" w:rsidRDefault="00594565" w:rsidP="00594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sz w:val="24"/>
          <w:szCs w:val="24"/>
          <w:lang w:val="hy-AM"/>
        </w:rPr>
        <w:t>1. Օրենքով նախատեսված դեպքերում գույքը սեփականատիրոջից կարող է անհատույց վերցվել դատավճռով` որպես հանցագործության արդյունքում ուղղակի կամ անուղղակի առաջացած կամ ստացված գույք, այդ գույքի օգտագործումից ստացված եկամուտ և այլ տեսակի օգուտ, հանցագործության համար օգտագործված կամ օգտագործման համար նախատեսված գործիք և միջոց, հանցագործության առարկա:»:</w:t>
      </w:r>
    </w:p>
    <w:p w:rsidR="00594565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37224A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4.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37224A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341-րդ հոդվածի՝</w:t>
      </w:r>
    </w:p>
    <w:p w:rsidR="0037224A" w:rsidRPr="00594565" w:rsidRDefault="0037224A" w:rsidP="00A05BA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վերնագրում «քննության» բառը փոխարինել «լուծման» բառով.</w:t>
      </w:r>
    </w:p>
    <w:p w:rsidR="0037224A" w:rsidRPr="00594565" w:rsidRDefault="0037224A" w:rsidP="00A05BA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2-րդ մասի առաջին նախադասությունը շարադրել հետևյալ խմբագրությամբ. «</w:t>
      </w:r>
      <w:r w:rsidR="00F5033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Եթե դատարանն առանց լուծման է թողել քրեական վարույթով ներկայացված հայցը, ապա մինչև հայցի հարուցումն սկսված հայցային վաղեմության ժամկետի ընթացքը կասեցվում է մինչև այն դատավճռի օրինական ուժի մեջ մտնելը, որով հայցը թողնվել է առանց լուծման: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F5033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A05BA6" w:rsidRPr="00594565" w:rsidRDefault="00A05BA6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F5033C" w:rsidRPr="00594565" w:rsidRDefault="00594565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lastRenderedPageBreak/>
        <w:t xml:space="preserve">Հոդված 5. </w:t>
      </w:r>
      <w:r w:rsidR="00F5033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 928.1-ին հոդվածի 3-րդ մասի 4-րդ կետում «190» բառը փոխարինել «296-րդ» բառերով:</w:t>
      </w:r>
    </w:p>
    <w:p w:rsidR="00A05BA6" w:rsidRPr="00594565" w:rsidRDefault="00A05BA6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F5033C" w:rsidRPr="00594565" w:rsidRDefault="00594565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6.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Օրենսգրքի </w:t>
      </w:r>
      <w:r w:rsidR="00F5033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1064-րդ հոդվածը շարադրել հետևյալ խմբագրությամբ.</w:t>
      </w:r>
    </w:p>
    <w:p w:rsidR="00F5033C" w:rsidRPr="00594565" w:rsidRDefault="00F5033C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 1064. Պատասխանատվությունը նախաքննության մարմինների, դատախազության և դատարանի ապօրինի գործողություններով պատճառված վնասի համար</w:t>
      </w:r>
    </w:p>
    <w:p w:rsidR="00F5033C" w:rsidRPr="00594565" w:rsidRDefault="00F5033C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1. Ապօրինի դատապարտելու, քրեական պատասխանատվության ենթարկելու, կալանք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տնային կալանք, վարչական հսկողություն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բացակայելու արգելք խափանման միջոց կիրառելու, վարչական տույժի ենթարկելու հետևանքով պատճառված վնասը, օրենքով սահմանված կարգով, լրիվ ծավալով հատուցում է Հայաստանի Հանրապետությունը` անկախ նախաքննության մարմնի, դատախազության և դատարանի պաշտոնատար անձանց մեղքից:</w:t>
      </w:r>
    </w:p>
    <w:p w:rsidR="00F5033C" w:rsidRPr="00594565" w:rsidRDefault="00F5033C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2. Քաղաքացուն կամ իրավաբանական անձին նախաքննության, դատախազության մարմինների ապօրինի գործունեությամբ պատճառված վնասը, որը չի հանգեցրել սույն հոդվածի 1-ին 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նախատեսված հետևանքներին, հատուցվում է սույն օրենսգրքի 1063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հոդվածում նախատեսված հիմքերով և կարգով:</w:t>
      </w:r>
    </w:p>
    <w:p w:rsidR="00F5033C" w:rsidRPr="00594565" w:rsidRDefault="00F5033C" w:rsidP="00A05BA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3. Արդարադատություն իրականացնելիս պատճառված վնասը հատուցվում է միայն այն դեպքում, երբ դատավորի մեղքը հաստատվել է օրինական ուժի մեջ մտած դատավճռով:»:</w:t>
      </w:r>
    </w:p>
    <w:p w:rsidR="00A05BA6" w:rsidRPr="00594565" w:rsidRDefault="00A05BA6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1E581C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7.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Օրենսգրքի 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1087.2-րդ հոդվածի 9-րդ մասի «ոչ արդարացնող հիմքով քրեական գործի հարուցումը մերժելու կամ քրեական հետապնդում չիրականացնելու կամ քրեական գործով վարույթը կարճելու կամ քրեական հետապնդումը դադարեցնելու մասին քննիչի կամ դատախազի կայացրած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 բառերը փոխարինել «</w:t>
      </w:r>
      <w:r w:rsidR="005C123D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ոչ ռեաբիլիտացնող հիմքով քրեական հետապնդում չհարուցելու կամ այն դադարեցնելու կամ քրեական 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վարույթը</w:t>
      </w:r>
      <w:r w:rsidR="005C123D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կարճելու 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մասին</w:t>
      </w:r>
      <w:r w:rsidR="001E581C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բառերով:</w:t>
      </w:r>
    </w:p>
    <w:p w:rsidR="00A05BA6" w:rsidRPr="00594565" w:rsidRDefault="00A05BA6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A05BA6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8. 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Օրենսգրքի 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1087.3-րդ հոդվածի 5-րդ մասի «</w:t>
      </w:r>
      <w:r w:rsidR="00A05BA6" w:rsidRPr="005945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309.1 հոդվածով նախատեսված արարք կատարելու վերաբերյալ դատարանի մեղադրական դատավճիռը օրինական ուժի մեջ մտնելուց հետո կամ նրա նկատմամբ Հայաստանի Հանրապետության քրեական օրենսգրքի </w:t>
      </w:r>
      <w:r w:rsidR="00A05BA6" w:rsidRPr="005945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309.1 հոդվածով նախատեսված արարք կատարելու համար ոչ արդարացնող հիմքով քրեական գործի հարուցումը մերժելու կամ քրեական հետապնդում չիրականացնելու կամ քրեական գործով վարույթը կարճելու կամ քրեական հետապնդումը դադարեցնելու մասին քննիչի կամ դատախազի կայացրած՝</w:t>
      </w:r>
      <w:r w:rsidR="00A05BA6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բառերը փոխարինել 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«450-րդ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հոդվածով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նախատեսված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արարք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կատարելու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վերաբերյալ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դատարանի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մեղադրական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դատավճիռը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օրինական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ուժի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մեջ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մտնելուց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հետո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կամ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նրա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նկատմամբ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Հայաստանի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քրեական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օրենսգրքի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450-րդ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հոդվածով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նախատեսված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արարք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կատարելու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համար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ոչ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ռեաբիլիտացնող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հիմքով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քրեական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հետապնդում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չհարուցելու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կամ այն դադարեցնելու կամ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քրեական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վարույթը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կարճելու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A05BA6" w:rsidRPr="00594565">
        <w:rPr>
          <w:rFonts w:ascii="GHEA Grapalat" w:eastAsia="GHEA Grapalat" w:hAnsi="GHEA Grapalat" w:cs="Sylfaen"/>
          <w:color w:val="000000"/>
          <w:sz w:val="24"/>
          <w:szCs w:val="24"/>
          <w:lang w:val="hy-AM"/>
        </w:rPr>
        <w:t>մասին</w:t>
      </w:r>
      <w:r w:rsidR="00A05BA6" w:rsidRPr="00594565">
        <w:rPr>
          <w:rFonts w:ascii="GHEA Grapalat" w:eastAsia="GHEA Grapalat" w:hAnsi="GHEA Grapalat" w:cs="Courier New"/>
          <w:color w:val="000000"/>
          <w:sz w:val="24"/>
          <w:szCs w:val="24"/>
          <w:lang w:val="hy-AM"/>
        </w:rPr>
        <w:t>» բառերով:</w:t>
      </w:r>
    </w:p>
    <w:p w:rsidR="00594565" w:rsidRPr="00594565" w:rsidRDefault="00594565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FA3F2C" w:rsidRPr="00594565" w:rsidRDefault="00C57E1D" w:rsidP="00A0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94565"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9</w:t>
      </w:r>
      <w:r w:rsidRPr="0059456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Pr="00594565">
        <w:rPr>
          <w:rFonts w:ascii="Courier New" w:eastAsia="Courier New" w:hAnsi="Courier New" w:cs="Courier New"/>
          <w:b/>
          <w:color w:val="000000"/>
          <w:sz w:val="24"/>
          <w:szCs w:val="24"/>
          <w:lang w:val="hy-AM"/>
        </w:rPr>
        <w:t> 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օրենքն ուժի մեջ է մտնում Հայաստանի Հանրապետության քրեական</w:t>
      </w:r>
      <w:r w:rsidR="00594565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քրեական դատավարության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օրենսգ</w:t>
      </w:r>
      <w:r w:rsidR="00594565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</w:t>
      </w:r>
      <w:r w:rsidR="00594565"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</w:t>
      </w:r>
      <w:r w:rsidRPr="0059456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 ուժի մեջ մտնելու օրը:</w:t>
      </w:r>
    </w:p>
    <w:sectPr w:rsidR="00FA3F2C" w:rsidRPr="00594565" w:rsidSect="00594565">
      <w:footerReference w:type="default" r:id="rId8"/>
      <w:pgSz w:w="12240" w:h="15840"/>
      <w:pgMar w:top="851" w:right="567" w:bottom="567" w:left="1134" w:header="720" w:footer="178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8C" w:rsidRDefault="00B5278C" w:rsidP="00594565">
      <w:pPr>
        <w:spacing w:after="0" w:line="240" w:lineRule="auto"/>
      </w:pPr>
      <w:r>
        <w:separator/>
      </w:r>
    </w:p>
  </w:endnote>
  <w:endnote w:type="continuationSeparator" w:id="0">
    <w:p w:rsidR="00B5278C" w:rsidRDefault="00B5278C" w:rsidP="0059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4"/>
        <w:lang w:val="hy-AM"/>
      </w:rPr>
      <w:id w:val="12566911"/>
      <w:docPartObj>
        <w:docPartGallery w:val="Page Numbers (Bottom of Page)"/>
        <w:docPartUnique/>
      </w:docPartObj>
    </w:sdtPr>
    <w:sdtContent>
      <w:p w:rsidR="00594565" w:rsidRPr="00594565" w:rsidRDefault="00594565">
        <w:pPr>
          <w:pStyle w:val="Footer"/>
          <w:jc w:val="right"/>
          <w:rPr>
            <w:rFonts w:ascii="GHEA Grapalat" w:hAnsi="GHEA Grapalat"/>
            <w:sz w:val="24"/>
            <w:lang w:val="hy-AM"/>
          </w:rPr>
        </w:pPr>
        <w:r w:rsidRPr="00594565">
          <w:rPr>
            <w:rFonts w:ascii="GHEA Grapalat" w:hAnsi="GHEA Grapalat"/>
            <w:sz w:val="24"/>
            <w:lang w:val="hy-AM"/>
          </w:rPr>
          <w:fldChar w:fldCharType="begin"/>
        </w:r>
        <w:r w:rsidRPr="00594565">
          <w:rPr>
            <w:rFonts w:ascii="GHEA Grapalat" w:hAnsi="GHEA Grapalat"/>
            <w:sz w:val="24"/>
            <w:lang w:val="hy-AM"/>
          </w:rPr>
          <w:instrText xml:space="preserve"> PAGE   \* MERGEFORMAT </w:instrText>
        </w:r>
        <w:r w:rsidRPr="00594565">
          <w:rPr>
            <w:rFonts w:ascii="GHEA Grapalat" w:hAnsi="GHEA Grapalat"/>
            <w:sz w:val="24"/>
            <w:lang w:val="hy-AM"/>
          </w:rPr>
          <w:fldChar w:fldCharType="separate"/>
        </w:r>
        <w:r>
          <w:rPr>
            <w:rFonts w:ascii="GHEA Grapalat" w:hAnsi="GHEA Grapalat"/>
            <w:noProof/>
            <w:sz w:val="24"/>
            <w:lang w:val="hy-AM"/>
          </w:rPr>
          <w:t>1</w:t>
        </w:r>
        <w:r w:rsidRPr="00594565">
          <w:rPr>
            <w:rFonts w:ascii="GHEA Grapalat" w:hAnsi="GHEA Grapalat"/>
            <w:sz w:val="24"/>
            <w:lang w:val="hy-AM"/>
          </w:rPr>
          <w:fldChar w:fldCharType="end"/>
        </w:r>
      </w:p>
    </w:sdtContent>
  </w:sdt>
  <w:p w:rsidR="00594565" w:rsidRPr="00594565" w:rsidRDefault="00594565">
    <w:pPr>
      <w:pStyle w:val="Footer"/>
      <w:rPr>
        <w:rFonts w:ascii="GHEA Grapalat" w:hAnsi="GHEA Grapalat"/>
        <w:sz w:val="24"/>
        <w:lang w:val="hy-A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8C" w:rsidRDefault="00B5278C" w:rsidP="00594565">
      <w:pPr>
        <w:spacing w:after="0" w:line="240" w:lineRule="auto"/>
      </w:pPr>
      <w:r>
        <w:separator/>
      </w:r>
    </w:p>
  </w:footnote>
  <w:footnote w:type="continuationSeparator" w:id="0">
    <w:p w:rsidR="00B5278C" w:rsidRDefault="00B5278C" w:rsidP="0059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2202"/>
    <w:multiLevelType w:val="hybridMultilevel"/>
    <w:tmpl w:val="C3A2AEAA"/>
    <w:lvl w:ilvl="0" w:tplc="856AA5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F2C"/>
    <w:rsid w:val="000063F8"/>
    <w:rsid w:val="001E581C"/>
    <w:rsid w:val="0037224A"/>
    <w:rsid w:val="00594565"/>
    <w:rsid w:val="005C123D"/>
    <w:rsid w:val="00933B96"/>
    <w:rsid w:val="00A05BA6"/>
    <w:rsid w:val="00B5278C"/>
    <w:rsid w:val="00C57E1D"/>
    <w:rsid w:val="00F5033C"/>
    <w:rsid w:val="00FA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CC"/>
  </w:style>
  <w:style w:type="paragraph" w:styleId="Heading1">
    <w:name w:val="heading 1"/>
    <w:basedOn w:val="normal0"/>
    <w:next w:val="normal0"/>
    <w:rsid w:val="00FA3F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A3F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A3F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A3F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A3F2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A3F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FA3F2C"/>
  </w:style>
  <w:style w:type="paragraph" w:styleId="Title">
    <w:name w:val="Title"/>
    <w:basedOn w:val="normal0"/>
    <w:next w:val="normal0"/>
    <w:rsid w:val="00FA3F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FA3F2C"/>
  </w:style>
  <w:style w:type="character" w:styleId="CommentReference">
    <w:name w:val="annotation reference"/>
    <w:basedOn w:val="DefaultParagraphFont"/>
    <w:uiPriority w:val="99"/>
    <w:semiHidden/>
    <w:unhideWhenUsed/>
    <w:rsid w:val="00A5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8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88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88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unhideWhenUsed/>
    <w:rsid w:val="00A5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3688"/>
    <w:rPr>
      <w:b/>
      <w:bCs/>
    </w:rPr>
  </w:style>
  <w:style w:type="paragraph" w:styleId="ListParagraph">
    <w:name w:val="List Paragraph"/>
    <w:basedOn w:val="Normal"/>
    <w:uiPriority w:val="34"/>
    <w:qFormat/>
    <w:rsid w:val="004F20F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0836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836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rsid w:val="00FA3F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59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565"/>
  </w:style>
  <w:style w:type="paragraph" w:styleId="Footer">
    <w:name w:val="footer"/>
    <w:basedOn w:val="Normal"/>
    <w:link w:val="FooterChar"/>
    <w:uiPriority w:val="99"/>
    <w:unhideWhenUsed/>
    <w:rsid w:val="0059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abVUTo3yeoWxHC8uQlfFRNB+PQ==">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R M</cp:lastModifiedBy>
  <cp:revision>3</cp:revision>
  <dcterms:created xsi:type="dcterms:W3CDTF">2021-12-29T08:21:00Z</dcterms:created>
  <dcterms:modified xsi:type="dcterms:W3CDTF">2021-12-29T11:09:00Z</dcterms:modified>
</cp:coreProperties>
</file>