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4EE1" w14:textId="1D68A33B" w:rsidR="000D491E" w:rsidRDefault="000D491E" w:rsidP="00A06C40">
      <w:pPr>
        <w:pStyle w:val="NormalWeb"/>
        <w:shd w:val="clear" w:color="auto" w:fill="FFFFFF"/>
        <w:spacing w:line="360" w:lineRule="auto"/>
        <w:jc w:val="center"/>
        <w:rPr>
          <w:rStyle w:val="Strong"/>
          <w:rFonts w:ascii="GHEA Grapalat" w:hAnsi="GHEA Grapalat"/>
          <w:color w:val="000000"/>
          <w:sz w:val="21"/>
          <w:szCs w:val="21"/>
          <w:lang w:val="hy-AM"/>
        </w:rPr>
      </w:pPr>
      <w:r>
        <w:rPr>
          <w:rFonts w:ascii="GHEA Grapalat" w:hAnsi="GHEA Grapalat"/>
          <w:b/>
          <w:bCs/>
          <w:noProof/>
          <w:color w:val="000000"/>
          <w:sz w:val="21"/>
          <w:szCs w:val="21"/>
          <w:lang w:val="hy-A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C25B1" wp14:editId="6212007C">
                <wp:simplePos x="0" y="0"/>
                <wp:positionH relativeFrom="column">
                  <wp:posOffset>3905250</wp:posOffset>
                </wp:positionH>
                <wp:positionV relativeFrom="paragraph">
                  <wp:posOffset>-270510</wp:posOffset>
                </wp:positionV>
                <wp:extent cx="3019425" cy="11430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41A26" w14:textId="6C1534DB" w:rsidR="000D491E" w:rsidRPr="000D491E" w:rsidRDefault="000D491E" w:rsidP="000D491E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</w:pPr>
                            <w:proofErr w:type="spellStart"/>
                            <w:r w:rsidRPr="00CC6501"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>Հավելված</w:t>
                            </w:r>
                            <w:proofErr w:type="spellEnd"/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 xml:space="preserve"> N</w:t>
                            </w:r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>2</w:t>
                            </w:r>
                          </w:p>
                          <w:p w14:paraId="1FBC285B" w14:textId="77777777" w:rsidR="000D491E" w:rsidRDefault="000D491E" w:rsidP="000D491E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 xml:space="preserve">Հաստատված է </w:t>
                            </w:r>
                          </w:p>
                          <w:p w14:paraId="1064EAFA" w14:textId="77777777" w:rsidR="000D491E" w:rsidRPr="00CC6501" w:rsidRDefault="000D491E" w:rsidP="000D491E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spellStart"/>
                            <w:r w:rsidRPr="00CC6501"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>Հայաստանի</w:t>
                            </w:r>
                            <w:proofErr w:type="spellEnd"/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 xml:space="preserve"> </w:t>
                            </w:r>
                            <w:proofErr w:type="spellStart"/>
                            <w:r w:rsidRPr="00CC6501"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>Հանրապետության</w:t>
                            </w:r>
                            <w:proofErr w:type="spellEnd"/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 xml:space="preserve"> </w:t>
                            </w:r>
                            <w:proofErr w:type="spellStart"/>
                            <w:r w:rsidRPr="00CC6501"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>հանրային</w:t>
                            </w:r>
                            <w:proofErr w:type="spellEnd"/>
                          </w:p>
                          <w:p w14:paraId="0A9729FA" w14:textId="77777777" w:rsidR="000D491E" w:rsidRPr="007D6091" w:rsidRDefault="000D491E" w:rsidP="000D491E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</w:pPr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>ծ</w:t>
                            </w:r>
                            <w:proofErr w:type="spellStart"/>
                            <w:r w:rsidRPr="00CC6501"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>առայությունները</w:t>
                            </w:r>
                            <w:proofErr w:type="spellEnd"/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 xml:space="preserve"> </w:t>
                            </w:r>
                            <w:proofErr w:type="spellStart"/>
                            <w:r w:rsidRPr="00CC6501"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>կարգավորող</w:t>
                            </w:r>
                            <w:proofErr w:type="spellEnd"/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 xml:space="preserve"> </w:t>
                            </w:r>
                            <w:proofErr w:type="spellStart"/>
                            <w:r w:rsidRPr="00CC6501"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>հանձնաժողովի</w:t>
                            </w:r>
                            <w:proofErr w:type="spellEnd"/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 xml:space="preserve"> 2021 թվականի </w:t>
                            </w:r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eastAsia="ru-RU"/>
                              </w:rPr>
                              <w:t xml:space="preserve">--------- </w:t>
                            </w:r>
                            <w:r>
                              <w:rPr>
                                <w:rFonts w:ascii="GHEA Grapalat" w:hAnsi="GHEA Grapalat"/>
                                <w:kern w:val="28"/>
                                <w:sz w:val="20"/>
                                <w:szCs w:val="20"/>
                                <w:lang w:val="hy-AM" w:eastAsia="ru-RU"/>
                              </w:rPr>
                              <w:t>որոշմամբ</w:t>
                            </w:r>
                          </w:p>
                          <w:p w14:paraId="6432154A" w14:textId="77777777" w:rsidR="000D491E" w:rsidRPr="00CC6501" w:rsidRDefault="000D491E" w:rsidP="000D491E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eastAsia="Times New Roman" w:hAnsi="GHEA Grapalat"/>
                                <w:sz w:val="20"/>
                                <w:szCs w:val="20"/>
                                <w:lang w:val="af-ZA"/>
                              </w:rPr>
                            </w:pPr>
                          </w:p>
                          <w:p w14:paraId="70679DEF" w14:textId="77777777" w:rsidR="000D491E" w:rsidRPr="00CC6501" w:rsidRDefault="000D491E" w:rsidP="000D491E">
                            <w:pPr>
                              <w:spacing w:after="0" w:line="240" w:lineRule="auto"/>
                              <w:jc w:val="center"/>
                              <w:rPr>
                                <w:rFonts w:ascii="GHEA Grapalat" w:eastAsia="Times New Roman" w:hAnsi="GHEA Grapala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C25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7.5pt;margin-top:-21.3pt;width:237.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" stroked="f">
                <v:textbox>
                  <w:txbxContent>
                    <w:p w14:paraId="6F941A26" w14:textId="6C1534DB" w:rsidR="000D491E" w:rsidRPr="000D491E" w:rsidRDefault="000D491E" w:rsidP="000D491E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</w:pPr>
                      <w:proofErr w:type="spellStart"/>
                      <w:r w:rsidRPr="00CC6501"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>Հավելված</w:t>
                      </w:r>
                      <w:proofErr w:type="spellEnd"/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 xml:space="preserve"> N</w:t>
                      </w:r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>2</w:t>
                      </w:r>
                    </w:p>
                    <w:p w14:paraId="1FBC285B" w14:textId="77777777" w:rsidR="000D491E" w:rsidRDefault="000D491E" w:rsidP="000D491E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</w:pPr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 xml:space="preserve">Հաստատված է </w:t>
                      </w:r>
                    </w:p>
                    <w:p w14:paraId="1064EAFA" w14:textId="77777777" w:rsidR="000D491E" w:rsidRPr="00CC6501" w:rsidRDefault="000D491E" w:rsidP="000D491E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</w:pPr>
                      <w:proofErr w:type="spellStart"/>
                      <w:r w:rsidRPr="00CC6501"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>Հայաստանի</w:t>
                      </w:r>
                      <w:proofErr w:type="spellEnd"/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 xml:space="preserve"> </w:t>
                      </w:r>
                      <w:proofErr w:type="spellStart"/>
                      <w:r w:rsidRPr="00CC6501"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>Հանրապետության</w:t>
                      </w:r>
                      <w:proofErr w:type="spellEnd"/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 xml:space="preserve"> </w:t>
                      </w:r>
                      <w:proofErr w:type="spellStart"/>
                      <w:r w:rsidRPr="00CC6501"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>հանրային</w:t>
                      </w:r>
                      <w:proofErr w:type="spellEnd"/>
                    </w:p>
                    <w:p w14:paraId="0A9729FA" w14:textId="77777777" w:rsidR="000D491E" w:rsidRPr="007D6091" w:rsidRDefault="000D491E" w:rsidP="000D491E">
                      <w:pPr>
                        <w:spacing w:after="0" w:line="240" w:lineRule="auto"/>
                        <w:jc w:val="center"/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</w:pPr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>ծ</w:t>
                      </w:r>
                      <w:proofErr w:type="spellStart"/>
                      <w:r w:rsidRPr="00CC6501"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>առայությունները</w:t>
                      </w:r>
                      <w:proofErr w:type="spellEnd"/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 xml:space="preserve"> </w:t>
                      </w:r>
                      <w:proofErr w:type="spellStart"/>
                      <w:r w:rsidRPr="00CC6501"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>կարգավորող</w:t>
                      </w:r>
                      <w:proofErr w:type="spellEnd"/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 xml:space="preserve"> </w:t>
                      </w:r>
                      <w:proofErr w:type="spellStart"/>
                      <w:r w:rsidRPr="00CC6501"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>հանձնաժողովի</w:t>
                      </w:r>
                      <w:proofErr w:type="spellEnd"/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 xml:space="preserve"> 2021 թվականի </w:t>
                      </w:r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eastAsia="ru-RU"/>
                        </w:rPr>
                        <w:t xml:space="preserve">--------- </w:t>
                      </w:r>
                      <w:r>
                        <w:rPr>
                          <w:rFonts w:ascii="GHEA Grapalat" w:hAnsi="GHEA Grapalat"/>
                          <w:kern w:val="28"/>
                          <w:sz w:val="20"/>
                          <w:szCs w:val="20"/>
                          <w:lang w:val="hy-AM" w:eastAsia="ru-RU"/>
                        </w:rPr>
                        <w:t>որոշմամբ</w:t>
                      </w:r>
                    </w:p>
                    <w:p w14:paraId="6432154A" w14:textId="77777777" w:rsidR="000D491E" w:rsidRPr="00CC6501" w:rsidRDefault="000D491E" w:rsidP="000D491E">
                      <w:pPr>
                        <w:spacing w:after="0" w:line="240" w:lineRule="auto"/>
                        <w:jc w:val="center"/>
                        <w:rPr>
                          <w:rFonts w:ascii="GHEA Grapalat" w:eastAsia="Times New Roman" w:hAnsi="GHEA Grapalat"/>
                          <w:sz w:val="20"/>
                          <w:szCs w:val="20"/>
                          <w:lang w:val="af-ZA"/>
                        </w:rPr>
                      </w:pPr>
                    </w:p>
                    <w:p w14:paraId="70679DEF" w14:textId="77777777" w:rsidR="000D491E" w:rsidRPr="00CC6501" w:rsidRDefault="000D491E" w:rsidP="000D491E">
                      <w:pPr>
                        <w:spacing w:after="0" w:line="240" w:lineRule="auto"/>
                        <w:jc w:val="center"/>
                        <w:rPr>
                          <w:rFonts w:ascii="GHEA Grapalat" w:eastAsia="Times New Roman" w:hAnsi="GHEA Grapala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FEE44A" w14:textId="77777777" w:rsidR="000D491E" w:rsidRDefault="000D491E" w:rsidP="00A06C40">
      <w:pPr>
        <w:pStyle w:val="NormalWeb"/>
        <w:shd w:val="clear" w:color="auto" w:fill="FFFFFF"/>
        <w:spacing w:line="360" w:lineRule="auto"/>
        <w:jc w:val="center"/>
        <w:rPr>
          <w:rStyle w:val="Strong"/>
          <w:rFonts w:ascii="GHEA Grapalat" w:hAnsi="GHEA Grapalat"/>
          <w:color w:val="000000"/>
          <w:sz w:val="21"/>
          <w:szCs w:val="21"/>
          <w:lang w:val="hy-AM"/>
        </w:rPr>
      </w:pPr>
    </w:p>
    <w:p w14:paraId="2EE7CD4F" w14:textId="77777777" w:rsidR="000D491E" w:rsidRDefault="000D491E" w:rsidP="00A06C40">
      <w:pPr>
        <w:pStyle w:val="NormalWeb"/>
        <w:shd w:val="clear" w:color="auto" w:fill="FFFFFF"/>
        <w:spacing w:line="360" w:lineRule="auto"/>
        <w:jc w:val="center"/>
        <w:rPr>
          <w:rStyle w:val="Strong"/>
          <w:rFonts w:ascii="GHEA Grapalat" w:hAnsi="GHEA Grapalat"/>
          <w:color w:val="000000"/>
          <w:sz w:val="21"/>
          <w:szCs w:val="21"/>
          <w:lang w:val="hy-AM"/>
        </w:rPr>
      </w:pPr>
    </w:p>
    <w:p w14:paraId="6604482A" w14:textId="6D88A9D2" w:rsidR="00A06C40" w:rsidRPr="00A06C40" w:rsidRDefault="00A06C40" w:rsidP="00A06C40">
      <w:pPr>
        <w:pStyle w:val="NormalWeb"/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A06C40">
        <w:rPr>
          <w:rStyle w:val="Strong"/>
          <w:rFonts w:ascii="GHEA Grapalat" w:hAnsi="GHEA Grapalat"/>
          <w:color w:val="000000"/>
          <w:sz w:val="21"/>
          <w:szCs w:val="21"/>
          <w:lang w:val="hy-AM"/>
        </w:rPr>
        <w:t>Կ Ա Ր Գ</w:t>
      </w:r>
    </w:p>
    <w:p w14:paraId="0E2F05F7" w14:textId="2AF22382" w:rsidR="00EF69B4" w:rsidRPr="00EF69B4" w:rsidRDefault="000E6AF7" w:rsidP="00EF69B4">
      <w:pPr>
        <w:shd w:val="clear" w:color="auto" w:fill="FFFFFF"/>
        <w:spacing w:after="0" w:line="240" w:lineRule="auto"/>
        <w:ind w:firstLine="375"/>
        <w:jc w:val="center"/>
        <w:rPr>
          <w:rStyle w:val="Strong"/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Style w:val="Strong"/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ԼԻՑԵՆԶԱՎՈՐՎԱԾ</w:t>
      </w:r>
      <w:r w:rsidR="00EF69B4" w:rsidRPr="00EF69B4">
        <w:rPr>
          <w:rStyle w:val="Strong"/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ԱՆՁԱՆՑ ԿՈՂՄԻՑ ԿԱՏԱՐՎԱԾ ՆԵՐԴՐՈՒՄՆԵՐԻ ՄԱՍԻՆ ՀԱՇՎԵՏՎՈՒԹՅԱՆ ՆԵՐԿԱՅԱՑՄԱՆ</w:t>
      </w:r>
    </w:p>
    <w:p w14:paraId="30500612" w14:textId="064B469E" w:rsidR="00A06C40" w:rsidRPr="00A06C40" w:rsidRDefault="00A06C40" w:rsidP="00A06C4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hy-AM"/>
        </w:rPr>
      </w:pPr>
      <w:r w:rsidRPr="00A06C40">
        <w:rPr>
          <w:rFonts w:ascii="Calibri" w:hAnsi="Calibri" w:cs="Calibri"/>
          <w:color w:val="000000"/>
          <w:sz w:val="21"/>
          <w:szCs w:val="21"/>
          <w:lang w:val="hy-AM"/>
        </w:rPr>
        <w:t>  </w:t>
      </w:r>
    </w:p>
    <w:p w14:paraId="0905BFC7" w14:textId="782B7143" w:rsidR="00A06C40" w:rsidRPr="00A06C40" w:rsidRDefault="00A06C40" w:rsidP="00A06C40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A06C40">
        <w:rPr>
          <w:rStyle w:val="Strong"/>
          <w:rFonts w:ascii="GHEA Grapalat" w:hAnsi="GHEA Grapalat"/>
          <w:caps/>
          <w:color w:val="000000"/>
          <w:sz w:val="21"/>
          <w:szCs w:val="21"/>
          <w:lang w:val="hy-AM"/>
        </w:rPr>
        <w:t>ԸՆԴՀԱՆՈՒՐ ԴՐՈՒՅԹՆԵՐ</w:t>
      </w:r>
      <w:bookmarkStart w:id="0" w:name="_GoBack"/>
      <w:bookmarkEnd w:id="0"/>
    </w:p>
    <w:p w14:paraId="1542C7C9" w14:textId="4934A211" w:rsidR="00EF69B4" w:rsidRDefault="00EF69B4" w:rsidP="00EF69B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6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կարգը սահմանում է Հայաստանի Հանրապետության հանրային ծառայությունները կարգավորող հանձնաժողովի (այսուհետ` </w:t>
      </w:r>
      <w:r w:rsidR="000E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EF6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անձնաժողով) հետ համաձայնեցված ներդրումային ծրագրեր իրականացնող </w:t>
      </w:r>
      <w:r w:rsidR="000E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լիցենզավորված</w:t>
      </w:r>
      <w:r w:rsidRPr="00EF6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անձանց կողմից կատարված ներդրումների մասին հանձնաժողով ներկայացվող հաշվետվության (այսուհետ` </w:t>
      </w:r>
      <w:r w:rsidR="000E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EF6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աշվետվություն) ներկայացման ընթացակարգը:</w:t>
      </w:r>
    </w:p>
    <w:p w14:paraId="469886E6" w14:textId="22620AB9" w:rsidR="000E6AF7" w:rsidRPr="000E6AF7" w:rsidRDefault="000E6AF7" w:rsidP="000E6AF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E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Հաշվետվությունը ներկայացվում է աճողական կարգով՝ տարեսկզբից, սույն կարգի hավելվածով հաստատված Ն-1 և Ն-2 ձևերով։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E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Հաշվետվությունում ներկայացվում են հանձնաժողովի հետ համաձայնեցված ներդրումային ծրագրերի կանխատեսվող և փաստացի իրականացված ծավալները, ինչպես նաև անհետաձգելի աշխատանքների իրականացման նպատակով կատարված ներդրումների ծավալները և դրանց իրականացման անհրաժեշտության վերաբերյալ հիմնավորումները:</w:t>
      </w:r>
    </w:p>
    <w:p w14:paraId="66615962" w14:textId="45554C18" w:rsidR="000E6AF7" w:rsidRPr="00AD3963" w:rsidRDefault="000E6AF7" w:rsidP="000E6AF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F69B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Հաշվետվությունը ներկայացվում է եռամսյակային կարգով` մինչև հաշվետու եռամսյակին հաջորդող երկրորդ ամսվա 10-ը, </w:t>
      </w:r>
      <w:r w:rsidRPr="00AD39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</w:t>
      </w:r>
      <w:r w:rsidR="00BE56E2" w:rsidRPr="00AD39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D3963" w:rsidRPr="00AD39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4-րդ եռամսյակի և </w:t>
      </w:r>
      <w:r w:rsidRPr="00AD39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տարեկան հաշվետվությունը մինչև հաջորդ տարվա մայիսի 10-ը:</w:t>
      </w:r>
    </w:p>
    <w:p w14:paraId="30FED6F1" w14:textId="7AD02832" w:rsidR="000E6AF7" w:rsidRDefault="000E6AF7" w:rsidP="000E6AF7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E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Հաշվետվությունը ուղեկցող գրությամբ Հանձնաժողով է ներկայաց</w:t>
      </w:r>
      <w:r w:rsidRPr="000E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0E6A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առձեռն, փոստային կամ էլեկտրոնային եղանակով: </w:t>
      </w:r>
    </w:p>
    <w:p w14:paraId="706028A6" w14:textId="77777777" w:rsidR="000E6AF7" w:rsidRPr="000E6AF7" w:rsidRDefault="000E6AF7" w:rsidP="000E6A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6AF7">
        <w:rPr>
          <w:rFonts w:ascii="GHEA Grapalat" w:hAnsi="GHEA Grapalat"/>
          <w:sz w:val="24"/>
          <w:szCs w:val="24"/>
          <w:lang w:val="hy-AM"/>
        </w:rPr>
        <w:t xml:space="preserve">Առձեռն կամ փոստային եղանակով ներկայացման դեպքում Հաշվետվությունը Հանձնաժողով է ներկայացվում նաև </w:t>
      </w:r>
      <w:hyperlink r:id="rId5" w:history="1">
        <w:r w:rsidRPr="000E6AF7">
          <w:rPr>
            <w:rStyle w:val="Hyperlink"/>
            <w:rFonts w:ascii="GHEA Grapalat" w:hAnsi="GHEA Grapalat"/>
            <w:noProof/>
            <w:sz w:val="24"/>
            <w:szCs w:val="24"/>
            <w:lang w:val="hy-AM"/>
          </w:rPr>
          <w:t>invest.report@psrc.am</w:t>
        </w:r>
      </w:hyperlink>
      <w:r w:rsidRPr="000E6AF7">
        <w:rPr>
          <w:rFonts w:ascii="GHEA Grapalat" w:hAnsi="GHEA Grapalat"/>
          <w:sz w:val="24"/>
          <w:szCs w:val="24"/>
          <w:lang w:val="hy-AM"/>
        </w:rPr>
        <w:t xml:space="preserve"> էլեկտրոնային հասցեին՝ սույն կարգի 7-րդ կետում նշված ֆորմատներով։</w:t>
      </w:r>
    </w:p>
    <w:p w14:paraId="34044D29" w14:textId="77777777" w:rsidR="000E6AF7" w:rsidRPr="000E6AF7" w:rsidRDefault="000E6AF7" w:rsidP="000E6A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6AF7">
        <w:rPr>
          <w:rFonts w:ascii="GHEA Grapalat" w:hAnsi="GHEA Grapalat"/>
          <w:sz w:val="24"/>
          <w:szCs w:val="24"/>
          <w:lang w:val="hy-AM"/>
        </w:rPr>
        <w:lastRenderedPageBreak/>
        <w:t>Էլեկտրոնային եղանակով Հաշվետվությունը ներկայացվում է փաստաթղթերի էլեկտրոնային շարժի համակարգի (Mulberry) կամ Հանձնաժողովի պաշտո</w:t>
      </w:r>
      <w:r w:rsidRPr="000E6AF7">
        <w:rPr>
          <w:rFonts w:ascii="GHEA Grapalat" w:hAnsi="GHEA Grapalat"/>
          <w:sz w:val="24"/>
          <w:szCs w:val="24"/>
          <w:lang w:val="hy-AM"/>
        </w:rPr>
        <w:softHyphen/>
        <w:t>նական ինտերնետային կայքի (www.psrc.am) առցանց հաշվետվությունների հանձնման էլեկտրոնային համակարգի միջոցով: Հանձնաժողովի պաշտոնական ինտերնետային կայքի առցանց հաշվետվությունների հանձնման էլեկտրոնային համակարգի միջոցով Հաշվետվությունը ներկայացվում է Հանձնաժողովի սահմանած կարգով:</w:t>
      </w:r>
    </w:p>
    <w:p w14:paraId="2410E441" w14:textId="77777777" w:rsidR="000E6AF7" w:rsidRPr="000E6AF7" w:rsidRDefault="000E6AF7" w:rsidP="000E6A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6AF7">
        <w:rPr>
          <w:rFonts w:ascii="GHEA Grapalat" w:hAnsi="GHEA Grapalat"/>
          <w:sz w:val="24"/>
          <w:szCs w:val="24"/>
          <w:lang w:val="hy-AM"/>
        </w:rPr>
        <w:t>Փաստաթղթերի էլեկտրոնային շարժի համակարգով (Mulberry) Հաշվետվու</w:t>
      </w:r>
      <w:r w:rsidRPr="000E6AF7">
        <w:rPr>
          <w:rFonts w:ascii="GHEA Grapalat" w:hAnsi="GHEA Grapalat"/>
          <w:sz w:val="24"/>
          <w:szCs w:val="24"/>
          <w:lang w:val="hy-AM"/>
        </w:rPr>
        <w:softHyphen/>
        <w:t>թյունը ներկայացվում է XLS (իքսէլէս), XLSX (էքսէլէսիքս) կամ ODS (օդիէս) ֆորմատների ֆայլերի տեսքով, հայկական unicode (յունիկոդ) տառատեսակով, իսկ այլ տվյալներ ներկայացնելու համար կիրառելի են DOC (դոկ), DOCX (դոկիքս) կամ PDF (փիդիէֆ) ֆորմատները:</w:t>
      </w:r>
    </w:p>
    <w:p w14:paraId="37115A98" w14:textId="77777777" w:rsidR="000E6AF7" w:rsidRPr="000E6AF7" w:rsidRDefault="000E6AF7" w:rsidP="000E6A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6AF7">
        <w:rPr>
          <w:rFonts w:ascii="GHEA Grapalat" w:hAnsi="GHEA Grapalat"/>
          <w:sz w:val="24"/>
          <w:szCs w:val="24"/>
          <w:lang w:val="hy-AM"/>
        </w:rPr>
        <w:t>Առձեռն եղանակով ներկայացման դեպքում Հաշվետվության ներկայացման օր է համարվում Հանձնաժողովում Հաշվետվության և ուղեկցող գրության փաստացի մուտքագրման օրը, փոստային եղանակով ներկայացման դեպքում՝ Հաշվետվության և ուղեկցող գրության փոստային բաժանմունքում ընդունվելու օրվա օրացուցային կնիքի արտատիպում նշված օրը, փաստաթղթերի էլեկտրոնային շարժի համակարգով (Mulberry) ներկայացման դեպքում՝ Հաշվետվության և ուղեկցող գրության էլեկտրոնային առաքման օրը, իսկ Հանձնաժողովի պաշտոնական ինտերնետային կայքի առցանց դիմումների և հաշվետվությունների հանձնման էլեկտրոնային համակարգի միջոցով ներկայացման դեպքում՝ այդ համակարգի կողմից ինքնաշխատ եղանակով հաշվետվություններ ներկայացրած անձին</w:t>
      </w:r>
      <w:r w:rsidRPr="000E6AF7">
        <w:rPr>
          <w:rFonts w:ascii="Calibri" w:hAnsi="Calibri" w:cs="Calibri"/>
          <w:sz w:val="24"/>
          <w:szCs w:val="24"/>
          <w:lang w:val="hy-AM"/>
        </w:rPr>
        <w:t> </w:t>
      </w:r>
      <w:r w:rsidRPr="000E6AF7">
        <w:rPr>
          <w:rFonts w:ascii="GHEA Grapalat" w:hAnsi="GHEA Grapalat"/>
          <w:sz w:val="24"/>
          <w:szCs w:val="24"/>
          <w:lang w:val="hy-AM"/>
        </w:rPr>
        <w:t>հաշվետվությունների ստացումը և գրանցումը հավաստող համապատասխան էլեկտրոնային ծանուցման մեջ նշված օրը:</w:t>
      </w:r>
    </w:p>
    <w:p w14:paraId="2FCD4FE9" w14:textId="33A8F9E5" w:rsidR="000E6AF7" w:rsidRPr="000E6AF7" w:rsidRDefault="000E6AF7" w:rsidP="000E6A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6AF7">
        <w:rPr>
          <w:rFonts w:ascii="GHEA Grapalat" w:hAnsi="GHEA Grapalat"/>
          <w:sz w:val="24"/>
          <w:szCs w:val="24"/>
          <w:lang w:val="hy-AM"/>
        </w:rPr>
        <w:t>Հանձնաժողով ներկայացված Հաշվետվությունում սահմանված ձևերին անհա</w:t>
      </w:r>
      <w:r w:rsidRPr="000E6AF7">
        <w:rPr>
          <w:rFonts w:ascii="GHEA Grapalat" w:hAnsi="GHEA Grapalat"/>
          <w:sz w:val="24"/>
          <w:szCs w:val="24"/>
          <w:lang w:val="hy-AM"/>
        </w:rPr>
        <w:softHyphen/>
        <w:t>մա</w:t>
      </w:r>
      <w:r w:rsidRPr="000E6AF7">
        <w:rPr>
          <w:rFonts w:ascii="GHEA Grapalat" w:hAnsi="GHEA Grapalat"/>
          <w:sz w:val="24"/>
          <w:szCs w:val="24"/>
          <w:lang w:val="hy-AM"/>
        </w:rPr>
        <w:softHyphen/>
        <w:t>պատասխանությունների, անճշտությունների կամ բացթողումների առկայու</w:t>
      </w:r>
      <w:r w:rsidRPr="000E6AF7">
        <w:rPr>
          <w:rFonts w:ascii="GHEA Grapalat" w:hAnsi="GHEA Grapalat"/>
          <w:sz w:val="24"/>
          <w:szCs w:val="24"/>
          <w:lang w:val="hy-AM"/>
        </w:rPr>
        <w:softHyphen/>
        <w:t xml:space="preserve">թյան դեպքում </w:t>
      </w:r>
      <w:r>
        <w:rPr>
          <w:rFonts w:ascii="GHEA Grapalat" w:hAnsi="GHEA Grapalat"/>
          <w:sz w:val="24"/>
          <w:szCs w:val="24"/>
          <w:lang w:val="hy-AM"/>
        </w:rPr>
        <w:t>լիցենզավորված անձը</w:t>
      </w:r>
      <w:r w:rsidRPr="000E6AF7">
        <w:rPr>
          <w:rFonts w:ascii="GHEA Grapalat" w:hAnsi="GHEA Grapalat"/>
          <w:sz w:val="24"/>
          <w:szCs w:val="24"/>
          <w:lang w:val="hy-AM"/>
        </w:rPr>
        <w:t xml:space="preserve"> Հանձնաժողովի կողմից տեղեկացվում է այդ մասին և տեղեկացվելու օրվան հաջորդող հինգ աշխատանքային օրվա ընթացքում Հանձնաժողով է ներկայացնում ճշգրտված Հաշվետվություն կամ Հաշվետվությանն առնչվող լրացուցիչ պարզաբանումներ:</w:t>
      </w:r>
    </w:p>
    <w:p w14:paraId="727F7D8D" w14:textId="35DB1DC1" w:rsidR="000E6AF7" w:rsidRPr="000E6AF7" w:rsidRDefault="000E6AF7" w:rsidP="000E6A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6AF7">
        <w:rPr>
          <w:rFonts w:ascii="GHEA Grapalat" w:hAnsi="GHEA Grapalat"/>
          <w:sz w:val="24"/>
          <w:szCs w:val="24"/>
          <w:lang w:val="hy-AM"/>
        </w:rPr>
        <w:lastRenderedPageBreak/>
        <w:t xml:space="preserve">Հաշվետվության կազմման համար անհրաժեշտ սկզբնական հաշվառման փաստաթղթերում անորոշությունների, անճշտությունների և այլ վիճահարույց տվյալների առկայության, կամ տարբեր պատճառներով այդ փաստաթղթերի վավերացված չլինելու դեպքում </w:t>
      </w:r>
      <w:r>
        <w:rPr>
          <w:rFonts w:ascii="GHEA Grapalat" w:hAnsi="GHEA Grapalat"/>
          <w:sz w:val="24"/>
          <w:szCs w:val="24"/>
          <w:lang w:val="hy-AM"/>
        </w:rPr>
        <w:t>լիցենզավորված անձը</w:t>
      </w:r>
      <w:r w:rsidRPr="000E6AF7">
        <w:rPr>
          <w:rFonts w:ascii="GHEA Grapalat" w:hAnsi="GHEA Grapalat"/>
          <w:sz w:val="24"/>
          <w:szCs w:val="24"/>
          <w:lang w:val="hy-AM"/>
        </w:rPr>
        <w:t xml:space="preserve"> սկզբնական հաշվառման առկա փաստաթղթերի կամ իր կողմից առավել արժանահավատ համարվող ցուցանիշների հիման վրա լրացնում և Հանձնաժողովի կողմից սահմանված ժամկետներում Հաշվետվությունը ներկայացնում է Հանձնաժողով, իսկ հետագայում նոր հիմնավոր փաստերի առկայության կամ սկզբնական հաշվառման փաստաթղթերում փոփոխությունների կատարման դեպքում Հաշվետվությունում կատարում է փոփոխություններ և Հանձնաժողով է ներկայացնում ճշգրտված Հաշվետվություն: </w:t>
      </w:r>
    </w:p>
    <w:p w14:paraId="2000773F" w14:textId="53B40C28" w:rsidR="000E6AF7" w:rsidRPr="000E6AF7" w:rsidRDefault="000E6AF7" w:rsidP="000E6A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E6AF7">
        <w:rPr>
          <w:rFonts w:ascii="GHEA Grapalat" w:hAnsi="GHEA Grapalat"/>
          <w:sz w:val="24"/>
          <w:szCs w:val="24"/>
          <w:lang w:val="hy-AM"/>
        </w:rPr>
        <w:t xml:space="preserve">Հանձնաժողով ներկայացված Հաշվետվությունում </w:t>
      </w:r>
      <w:r>
        <w:rPr>
          <w:rFonts w:ascii="GHEA Grapalat" w:hAnsi="GHEA Grapalat"/>
          <w:sz w:val="24"/>
          <w:szCs w:val="24"/>
          <w:lang w:val="hy-AM"/>
        </w:rPr>
        <w:t>լիցենզավորված անձի</w:t>
      </w:r>
      <w:r w:rsidRPr="000E6AF7">
        <w:rPr>
          <w:rFonts w:ascii="GHEA Grapalat" w:hAnsi="GHEA Grapalat"/>
          <w:sz w:val="24"/>
          <w:szCs w:val="24"/>
          <w:lang w:val="hy-AM"/>
        </w:rPr>
        <w:t xml:space="preserve"> կողմից սխալների ինքնուրույն հայտնաբերման դեպքում ևս վերջինս կարող է ներկայացնել ճշգրտված Հաշվետվություն: Սույն կարգի կիրառության իմաստով՝ հաշվետու ժամանակաշրջանի համար ներկայացված մեկից ավելի  Հաշվետվությունից առաջինը համարվում է հաշվետու ժամանակաշրջանի համար ներկայացված, իսկ մյուսները` ճշգրտված:</w:t>
      </w:r>
    </w:p>
    <w:sectPr w:rsidR="000E6AF7" w:rsidRPr="000E6AF7" w:rsidSect="00A06C40">
      <w:pgSz w:w="12240" w:h="15840"/>
      <w:pgMar w:top="851" w:right="104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B0919"/>
    <w:multiLevelType w:val="hybridMultilevel"/>
    <w:tmpl w:val="927E7852"/>
    <w:lvl w:ilvl="0" w:tplc="46A244F4">
      <w:start w:val="1"/>
      <w:numFmt w:val="decimal"/>
      <w:lvlText w:val="%1."/>
      <w:lvlJc w:val="left"/>
      <w:pPr>
        <w:ind w:left="5747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06A31"/>
    <w:multiLevelType w:val="hybridMultilevel"/>
    <w:tmpl w:val="14F2CCAE"/>
    <w:lvl w:ilvl="0" w:tplc="6AC68A0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C99E24F8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5A4195C"/>
    <w:multiLevelType w:val="hybridMultilevel"/>
    <w:tmpl w:val="4C224BE6"/>
    <w:lvl w:ilvl="0" w:tplc="73BA3B82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0505F89"/>
    <w:multiLevelType w:val="hybridMultilevel"/>
    <w:tmpl w:val="B50AF8C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4A629AB"/>
    <w:multiLevelType w:val="hybridMultilevel"/>
    <w:tmpl w:val="653402B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67BF5E46"/>
    <w:multiLevelType w:val="hybridMultilevel"/>
    <w:tmpl w:val="BC6869A2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9302BD7"/>
    <w:multiLevelType w:val="hybridMultilevel"/>
    <w:tmpl w:val="3A3ECD0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6F8E6C9F"/>
    <w:multiLevelType w:val="hybridMultilevel"/>
    <w:tmpl w:val="BC6869A2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9A91907"/>
    <w:multiLevelType w:val="hybridMultilevel"/>
    <w:tmpl w:val="9378F26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F5"/>
    <w:rsid w:val="000D491E"/>
    <w:rsid w:val="000E6AF7"/>
    <w:rsid w:val="005C23C6"/>
    <w:rsid w:val="00986696"/>
    <w:rsid w:val="00A06C40"/>
    <w:rsid w:val="00AD3963"/>
    <w:rsid w:val="00BE56E2"/>
    <w:rsid w:val="00DB54F5"/>
    <w:rsid w:val="00E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56D7FF"/>
  <w15:chartTrackingRefBased/>
  <w15:docId w15:val="{DD602C7B-41F5-4C55-AEC7-3053FE95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6C40"/>
    <w:rPr>
      <w:b/>
      <w:bCs/>
    </w:rPr>
  </w:style>
  <w:style w:type="character" w:styleId="Emphasis">
    <w:name w:val="Emphasis"/>
    <w:basedOn w:val="DefaultParagraphFont"/>
    <w:uiPriority w:val="20"/>
    <w:qFormat/>
    <w:rsid w:val="00A06C40"/>
    <w:rPr>
      <w:i/>
      <w:iCs/>
    </w:rPr>
  </w:style>
  <w:style w:type="paragraph" w:styleId="ListParagraph">
    <w:name w:val="List Paragraph"/>
    <w:basedOn w:val="Normal"/>
    <w:uiPriority w:val="34"/>
    <w:qFormat/>
    <w:rsid w:val="00EF69B4"/>
    <w:pPr>
      <w:ind w:left="720"/>
      <w:contextualSpacing/>
    </w:pPr>
  </w:style>
  <w:style w:type="character" w:styleId="Hyperlink">
    <w:name w:val="Hyperlink"/>
    <w:uiPriority w:val="99"/>
    <w:unhideWhenUsed/>
    <w:rsid w:val="000E6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.report@psrc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Kolyan</dc:creator>
  <cp:keywords/>
  <dc:description/>
  <cp:lastModifiedBy>Gayane Kolyan</cp:lastModifiedBy>
  <cp:revision>9</cp:revision>
  <dcterms:created xsi:type="dcterms:W3CDTF">2020-06-07T09:33:00Z</dcterms:created>
  <dcterms:modified xsi:type="dcterms:W3CDTF">2021-04-26T05:52:00Z</dcterms:modified>
</cp:coreProperties>
</file>