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3361" w14:textId="77777777" w:rsidR="00C473C2" w:rsidRDefault="00C473C2" w:rsidP="00C473C2">
      <w:pPr>
        <w:spacing w:line="276" w:lineRule="auto"/>
        <w:jc w:val="right"/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</w:pPr>
    </w:p>
    <w:p w14:paraId="62731349" w14:textId="77777777" w:rsidR="00C473C2" w:rsidRPr="00BC6B43" w:rsidRDefault="00C473C2" w:rsidP="00C473C2">
      <w:pPr>
        <w:spacing w:line="276" w:lineRule="auto"/>
        <w:jc w:val="right"/>
        <w:rPr>
          <w:rFonts w:ascii="GHEA Grapalat" w:eastAsia="GHEA Grapalat" w:hAnsi="GHEA Grapalat" w:cs="GHEA Grapalat"/>
          <w:b/>
          <w:sz w:val="20"/>
          <w:szCs w:val="20"/>
          <w:lang w:val="en-US"/>
        </w:rPr>
      </w:pPr>
      <w:r w:rsidRPr="00BC6B43">
        <w:rPr>
          <w:rFonts w:ascii="GHEA Grapalat" w:eastAsia="GHEA Grapalat" w:hAnsi="GHEA Grapalat" w:cs="GHEA Grapalat"/>
          <w:sz w:val="20"/>
          <w:szCs w:val="20"/>
        </w:rPr>
        <w:t>ՆԱԽԱԳԻԾ</w:t>
      </w:r>
    </w:p>
    <w:p w14:paraId="73B7CBE1" w14:textId="77777777" w:rsidR="00C473C2" w:rsidRPr="00D73E37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</w:p>
    <w:p w14:paraId="6D157A4F" w14:textId="77777777" w:rsidR="00C473C2" w:rsidRPr="00AE43E1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  <w:r>
        <w:rPr>
          <w:rFonts w:ascii="GHEA Grapalat" w:eastAsia="GHEA Grapalat" w:hAnsi="GHEA Grapalat" w:cs="GHEA Grapalat"/>
          <w:b/>
        </w:rPr>
        <w:t>ՀԱՅԱՍՏԱՆԻ</w:t>
      </w:r>
      <w:r w:rsidRPr="00AE43E1">
        <w:rPr>
          <w:rFonts w:ascii="GHEA Grapalat" w:eastAsia="GHEA Grapalat" w:hAnsi="GHEA Grapalat" w:cs="GHEA Grapalat"/>
          <w:b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</w:rPr>
        <w:t>ՀԱՆՐԱՊԵՏՈՒԹՅԱՆ</w:t>
      </w:r>
      <w:r w:rsidRPr="00AE43E1">
        <w:rPr>
          <w:rFonts w:ascii="GHEA Grapalat" w:eastAsia="GHEA Grapalat" w:hAnsi="GHEA Grapalat" w:cs="GHEA Grapalat"/>
          <w:b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</w:rPr>
        <w:t>ԿԱՌԱՎԱՐՈՒԹՅՈՒՆ</w:t>
      </w:r>
    </w:p>
    <w:p w14:paraId="6C022767" w14:textId="77777777" w:rsidR="00C473C2" w:rsidRPr="00AE43E1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  <w:r>
        <w:rPr>
          <w:rFonts w:ascii="GHEA Grapalat" w:eastAsia="GHEA Grapalat" w:hAnsi="GHEA Grapalat" w:cs="GHEA Grapalat"/>
          <w:b/>
        </w:rPr>
        <w:t>ՈՐՈՇՈՒՄ</w:t>
      </w:r>
    </w:p>
    <w:p w14:paraId="29AE7A41" w14:textId="77777777" w:rsidR="00C473C2" w:rsidRPr="00AE43E1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</w:p>
    <w:p w14:paraId="2594CF61" w14:textId="77777777" w:rsidR="00C473C2" w:rsidRPr="00AE43E1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  <w:r w:rsidRPr="00AE43E1">
        <w:rPr>
          <w:rFonts w:ascii="GHEA Grapalat" w:eastAsia="GHEA Grapalat" w:hAnsi="GHEA Grapalat" w:cs="GHEA Grapalat"/>
          <w:b/>
          <w:lang w:val="en-US"/>
        </w:rPr>
        <w:t>–––––   ––––––––––––––––</w:t>
      </w:r>
      <w:proofErr w:type="gramStart"/>
      <w:r w:rsidRPr="00AE43E1">
        <w:rPr>
          <w:rFonts w:ascii="GHEA Grapalat" w:eastAsia="GHEA Grapalat" w:hAnsi="GHEA Grapalat" w:cs="GHEA Grapalat"/>
          <w:b/>
          <w:lang w:val="en-US"/>
        </w:rPr>
        <w:t>–  2021</w:t>
      </w:r>
      <w:proofErr w:type="gramEnd"/>
      <w:r w:rsidRPr="00AE43E1">
        <w:rPr>
          <w:rFonts w:ascii="GHEA Grapalat" w:eastAsia="GHEA Grapalat" w:hAnsi="GHEA Grapalat" w:cs="GHEA Grapalat"/>
          <w:b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</w:rPr>
        <w:t>թվականի</w:t>
      </w:r>
      <w:r w:rsidRPr="00AE43E1">
        <w:rPr>
          <w:rFonts w:ascii="GHEA Grapalat" w:eastAsia="GHEA Grapalat" w:hAnsi="GHEA Grapalat" w:cs="GHEA Grapalat"/>
          <w:b/>
          <w:lang w:val="en-US"/>
        </w:rPr>
        <w:t xml:space="preserve">  N–––– </w:t>
      </w:r>
      <w:r>
        <w:rPr>
          <w:rFonts w:ascii="GHEA Grapalat" w:eastAsia="GHEA Grapalat" w:hAnsi="GHEA Grapalat" w:cs="GHEA Grapalat"/>
          <w:b/>
        </w:rPr>
        <w:t>Ն</w:t>
      </w:r>
    </w:p>
    <w:p w14:paraId="58E485D1" w14:textId="77777777" w:rsidR="00C473C2" w:rsidRPr="00AE43E1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</w:p>
    <w:p w14:paraId="51EE8B00" w14:textId="77777777" w:rsidR="00C473C2" w:rsidRPr="00AE43E1" w:rsidRDefault="00C473C2" w:rsidP="00C473C2">
      <w:pP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lang w:val="en-US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ՀԱՆՐԱՊԵՏՈՒԹՅԱՆ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ԿԱՌԱՎԱՐՈՒԹՅԱՆ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2004 </w:t>
      </w:r>
      <w:r>
        <w:rPr>
          <w:rFonts w:ascii="GHEA Grapalat" w:eastAsia="GHEA Grapalat" w:hAnsi="GHEA Grapalat" w:cs="GHEA Grapalat"/>
          <w:b/>
          <w:color w:val="000000"/>
        </w:rPr>
        <w:t>ԹՎԱԿԱՆԻ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ՕԳՈՍՏՈՍԻ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19-</w:t>
      </w:r>
      <w:r>
        <w:rPr>
          <w:rFonts w:ascii="GHEA Grapalat" w:eastAsia="GHEA Grapalat" w:hAnsi="GHEA Grapalat" w:cs="GHEA Grapalat"/>
          <w:b/>
          <w:color w:val="000000"/>
        </w:rPr>
        <w:t>Ի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 N 1354–</w:t>
      </w:r>
      <w:r>
        <w:rPr>
          <w:rFonts w:ascii="GHEA Grapalat" w:eastAsia="GHEA Grapalat" w:hAnsi="GHEA Grapalat" w:cs="GHEA Grapalat"/>
          <w:b/>
          <w:color w:val="000000"/>
        </w:rPr>
        <w:t>Ն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ՈՐՈՇՄԱՆ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ՄԵՋ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ԼՐԱՑՈՒՄՆԵՐ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ԿԱՏԱՐԵԼՈՒ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 w:rsidRPr="00AE43E1">
        <w:rPr>
          <w:rFonts w:ascii="GHEA Grapalat" w:eastAsia="GHEA Grapalat" w:hAnsi="GHEA Grapalat" w:cs="GHEA Grapalat"/>
          <w:b/>
          <w:color w:val="000000"/>
          <w:lang w:val="en-US"/>
        </w:rPr>
        <w:t xml:space="preserve"> </w:t>
      </w:r>
    </w:p>
    <w:p w14:paraId="4757644E" w14:textId="77777777" w:rsidR="00C473C2" w:rsidRPr="00AE43E1" w:rsidRDefault="00C473C2" w:rsidP="00C473C2">
      <w:pPr>
        <w:spacing w:before="120" w:after="120" w:line="276" w:lineRule="auto"/>
        <w:jc w:val="center"/>
        <w:rPr>
          <w:rFonts w:ascii="GHEA Grapalat" w:eastAsia="GHEA Grapalat" w:hAnsi="GHEA Grapalat" w:cs="GHEA Grapalat"/>
          <w:b/>
          <w:lang w:val="en-US"/>
        </w:rPr>
      </w:pPr>
    </w:p>
    <w:p w14:paraId="7EAFCDFD" w14:textId="77777777" w:rsidR="00C473C2" w:rsidRPr="00AE43E1" w:rsidRDefault="00C473C2" w:rsidP="00C473C2">
      <w:pPr>
        <w:spacing w:before="120" w:after="120" w:line="276" w:lineRule="auto"/>
        <w:ind w:left="-142" w:firstLine="284"/>
        <w:rPr>
          <w:rFonts w:ascii="GHEA Grapalat" w:eastAsia="GHEA Grapalat" w:hAnsi="GHEA Grapalat" w:cs="GHEA Grapalat"/>
          <w:b/>
          <w:highlight w:val="white"/>
          <w:lang w:val="en-US"/>
        </w:rPr>
      </w:pPr>
      <w:r>
        <w:rPr>
          <w:rFonts w:ascii="GHEA Grapalat" w:eastAsia="GHEA Grapalat" w:hAnsi="GHEA Grapalat" w:cs="GHEA Grapalat"/>
          <w:highlight w:val="white"/>
        </w:rPr>
        <w:t>Ղեկավարվելով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«</w:t>
      </w:r>
      <w:r>
        <w:rPr>
          <w:rFonts w:ascii="GHEA Grapalat" w:eastAsia="GHEA Grapalat" w:hAnsi="GHEA Grapalat" w:cs="GHEA Grapalat"/>
          <w:highlight w:val="white"/>
        </w:rPr>
        <w:t>Նորմատիվ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իրավական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ակտերի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մասին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օրենքի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34-</w:t>
      </w:r>
      <w:r>
        <w:rPr>
          <w:rFonts w:ascii="GHEA Grapalat" w:eastAsia="GHEA Grapalat" w:hAnsi="GHEA Grapalat" w:cs="GHEA Grapalat"/>
          <w:highlight w:val="white"/>
        </w:rPr>
        <w:t>րդ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հոդվածի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1-</w:t>
      </w:r>
      <w:r>
        <w:rPr>
          <w:rFonts w:ascii="GHEA Grapalat" w:eastAsia="GHEA Grapalat" w:hAnsi="GHEA Grapalat" w:cs="GHEA Grapalat"/>
          <w:highlight w:val="white"/>
        </w:rPr>
        <w:t>ին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մասով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` 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կառավարությունը</w:t>
      </w:r>
      <w:r w:rsidRPr="00AE43E1">
        <w:rPr>
          <w:rFonts w:ascii="Calibri" w:eastAsia="Calibri" w:hAnsi="Calibri" w:cs="Calibri"/>
          <w:highlight w:val="white"/>
          <w:lang w:val="en-US"/>
        </w:rPr>
        <w:t> </w:t>
      </w:r>
      <w:r>
        <w:rPr>
          <w:rFonts w:ascii="GHEA Grapalat" w:eastAsia="GHEA Grapalat" w:hAnsi="GHEA Grapalat" w:cs="GHEA Grapalat"/>
          <w:b/>
          <w:highlight w:val="white"/>
        </w:rPr>
        <w:t>որոշում</w:t>
      </w:r>
      <w:r w:rsidRPr="00AE43E1">
        <w:rPr>
          <w:rFonts w:ascii="GHEA Grapalat" w:eastAsia="GHEA Grapalat" w:hAnsi="GHEA Grapalat" w:cs="GHEA Grapalat"/>
          <w:b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highlight w:val="white"/>
        </w:rPr>
        <w:t>է</w:t>
      </w:r>
      <w:r w:rsidRPr="00AE43E1">
        <w:rPr>
          <w:rFonts w:ascii="GHEA Grapalat" w:eastAsia="GHEA Grapalat" w:hAnsi="GHEA Grapalat" w:cs="GHEA Grapalat"/>
          <w:b/>
          <w:highlight w:val="white"/>
          <w:lang w:val="en-US"/>
        </w:rPr>
        <w:t>.</w:t>
      </w:r>
    </w:p>
    <w:p w14:paraId="397E51F4" w14:textId="77777777" w:rsidR="00C473C2" w:rsidRPr="00AE43E1" w:rsidRDefault="00C473C2" w:rsidP="00C473C2">
      <w:pPr>
        <w:spacing w:before="120" w:after="120" w:line="276" w:lineRule="auto"/>
        <w:ind w:left="-142" w:firstLine="284"/>
        <w:rPr>
          <w:rFonts w:ascii="Cambria Math" w:eastAsia="Cambria Math" w:hAnsi="Cambria Math" w:cs="Cambria Math"/>
          <w:highlight w:val="white"/>
          <w:lang w:val="en-US"/>
        </w:rPr>
      </w:pPr>
      <w:r w:rsidRPr="00AE43E1">
        <w:rPr>
          <w:rFonts w:ascii="GHEA Grapalat" w:eastAsia="GHEA Grapalat" w:hAnsi="GHEA Grapalat" w:cs="GHEA Grapalat"/>
          <w:highlight w:val="white"/>
          <w:lang w:val="en-US"/>
        </w:rPr>
        <w:t>1</w:t>
      </w:r>
      <w:r w:rsidRPr="00AE43E1">
        <w:rPr>
          <w:rFonts w:ascii="Cambria Math" w:eastAsia="Cambria Math" w:hAnsi="Cambria Math" w:cs="Cambria Math"/>
          <w:highlight w:val="white"/>
          <w:lang w:val="en-US"/>
        </w:rPr>
        <w:t>․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կառավարության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2004 </w:t>
      </w:r>
      <w:r>
        <w:rPr>
          <w:rFonts w:ascii="GHEA Grapalat" w:eastAsia="GHEA Grapalat" w:hAnsi="GHEA Grapalat" w:cs="GHEA Grapalat"/>
          <w:highlight w:val="white"/>
        </w:rPr>
        <w:t>թվականի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օգոստոս</w:t>
      </w:r>
      <w:r>
        <w:rPr>
          <w:rFonts w:ascii="GHEA Grapalat" w:eastAsia="GHEA Grapalat" w:hAnsi="GHEA Grapalat" w:cs="GHEA Grapalat"/>
          <w:highlight w:val="white"/>
          <w:lang w:val="hy-AM"/>
        </w:rPr>
        <w:t>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  <w:lang w:val="en-US"/>
        </w:rPr>
        <w:t xml:space="preserve">                     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>19-</w:t>
      </w:r>
      <w:r>
        <w:rPr>
          <w:rFonts w:ascii="GHEA Grapalat" w:eastAsia="GHEA Grapalat" w:hAnsi="GHEA Grapalat" w:cs="GHEA Grapalat"/>
          <w:highlight w:val="white"/>
        </w:rPr>
        <w:t>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«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գործադիր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իշխանության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որոշ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մարմինների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և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կենտրոնական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բանկի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միջև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տեղեկատվություն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փոխանակելու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մասին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>» N1354-</w:t>
      </w:r>
      <w:r>
        <w:rPr>
          <w:rFonts w:ascii="GHEA Grapalat" w:eastAsia="GHEA Grapalat" w:hAnsi="GHEA Grapalat" w:cs="GHEA Grapalat"/>
          <w:highlight w:val="white"/>
        </w:rPr>
        <w:t>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որոշման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1-</w:t>
      </w:r>
      <w:r>
        <w:rPr>
          <w:rFonts w:ascii="GHEA Grapalat" w:eastAsia="GHEA Grapalat" w:hAnsi="GHEA Grapalat" w:cs="GHEA Grapalat"/>
          <w:highlight w:val="white"/>
        </w:rPr>
        <w:t>ին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կետում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(</w:t>
      </w:r>
      <w:r>
        <w:rPr>
          <w:rFonts w:ascii="GHEA Grapalat" w:eastAsia="GHEA Grapalat" w:hAnsi="GHEA Grapalat" w:cs="GHEA Grapalat"/>
          <w:highlight w:val="white"/>
        </w:rPr>
        <w:t>այսուհետ՝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Որոշում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) </w:t>
      </w:r>
      <w:r>
        <w:rPr>
          <w:rFonts w:ascii="GHEA Grapalat" w:eastAsia="GHEA Grapalat" w:hAnsi="GHEA Grapalat" w:cs="GHEA Grapalat"/>
          <w:highlight w:val="white"/>
        </w:rPr>
        <w:t>կատարել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հետևյալ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լրացումները</w:t>
      </w:r>
      <w:r w:rsidRPr="00AE43E1">
        <w:rPr>
          <w:rFonts w:ascii="Cambria Math" w:eastAsia="Cambria Math" w:hAnsi="Cambria Math" w:cs="Cambria Math"/>
          <w:highlight w:val="white"/>
          <w:lang w:val="en-US"/>
        </w:rPr>
        <w:t>․</w:t>
      </w:r>
    </w:p>
    <w:p w14:paraId="3E1ADEF9" w14:textId="77777777" w:rsidR="00C473C2" w:rsidRPr="00D76686" w:rsidRDefault="00C473C2" w:rsidP="00C473C2">
      <w:pPr>
        <w:spacing w:before="120" w:after="120" w:line="276" w:lineRule="auto"/>
        <w:ind w:left="-142" w:firstLine="284"/>
        <w:rPr>
          <w:rFonts w:ascii="GHEA Grapalat" w:eastAsia="GHEA Grapalat" w:hAnsi="GHEA Grapalat" w:cs="GHEA Grapalat"/>
          <w:highlight w:val="white"/>
          <w:lang w:val="en-US"/>
        </w:rPr>
      </w:pP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1) </w:t>
      </w:r>
      <w:r>
        <w:rPr>
          <w:rFonts w:ascii="GHEA Grapalat" w:eastAsia="GHEA Grapalat" w:hAnsi="GHEA Grapalat" w:cs="GHEA Grapalat"/>
          <w:highlight w:val="white"/>
        </w:rPr>
        <w:t>Որոշման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«</w:t>
      </w:r>
      <w:r>
        <w:rPr>
          <w:rFonts w:ascii="GHEA Grapalat" w:eastAsia="GHEA Grapalat" w:hAnsi="GHEA Grapalat" w:cs="GHEA Grapalat"/>
          <w:highlight w:val="white"/>
        </w:rPr>
        <w:t>թ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>
        <w:rPr>
          <w:rFonts w:ascii="GHEA Grapalat" w:eastAsia="GHEA Grapalat" w:hAnsi="GHEA Grapalat" w:cs="GHEA Grapalat"/>
          <w:highlight w:val="white"/>
        </w:rPr>
        <w:t>ենթակետից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հետո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  <w:lang w:val="hy-AM"/>
        </w:rPr>
        <w:t>լրացնել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նոր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«</w:t>
      </w:r>
      <w:r>
        <w:rPr>
          <w:rFonts w:ascii="GHEA Grapalat" w:eastAsia="GHEA Grapalat" w:hAnsi="GHEA Grapalat" w:cs="GHEA Grapalat"/>
          <w:highlight w:val="white"/>
        </w:rPr>
        <w:t>ժ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>
        <w:rPr>
          <w:rFonts w:ascii="GHEA Grapalat" w:eastAsia="GHEA Grapalat" w:hAnsi="GHEA Grapalat" w:cs="GHEA Grapalat"/>
          <w:highlight w:val="white"/>
        </w:rPr>
        <w:t>ենթակետ</w:t>
      </w:r>
      <w:r>
        <w:rPr>
          <w:rFonts w:ascii="GHEA Grapalat" w:eastAsia="GHEA Grapalat" w:hAnsi="GHEA Grapalat" w:cs="GHEA Grapalat"/>
          <w:highlight w:val="white"/>
          <w:lang w:val="hy-AM"/>
        </w:rPr>
        <w:t>՝</w:t>
      </w:r>
      <w:r w:rsidRPr="00BC6B43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հետևյալ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բովանդակությամբ</w:t>
      </w:r>
      <w:r w:rsidRPr="00D76686">
        <w:rPr>
          <w:rFonts w:ascii="GHEA Grapalat" w:eastAsia="GHEA Grapalat" w:hAnsi="GHEA Grapalat" w:cs="GHEA Grapalat"/>
          <w:highlight w:val="white"/>
          <w:lang w:val="en-US"/>
        </w:rPr>
        <w:t>.</w:t>
      </w:r>
    </w:p>
    <w:p w14:paraId="27E8CE6D" w14:textId="77777777" w:rsidR="00C473C2" w:rsidRDefault="00C473C2" w:rsidP="00C473C2">
      <w:pPr>
        <w:spacing w:before="120" w:after="120" w:line="276" w:lineRule="auto"/>
        <w:ind w:left="-142" w:firstLine="284"/>
        <w:rPr>
          <w:rFonts w:ascii="Cambria Math" w:eastAsia="Cambria Math" w:hAnsi="Cambria Math" w:cs="Cambria Math"/>
          <w:highlight w:val="white"/>
        </w:rPr>
      </w:pPr>
      <w:r w:rsidRPr="00AE43E1">
        <w:rPr>
          <w:rFonts w:ascii="GHEA Grapalat" w:eastAsia="GHEA Grapalat" w:hAnsi="GHEA Grapalat" w:cs="GHEA Grapalat"/>
          <w:highlight w:val="white"/>
          <w:lang w:val="en-US"/>
        </w:rPr>
        <w:t>«</w:t>
      </w:r>
      <w:r>
        <w:rPr>
          <w:rFonts w:ascii="GHEA Grapalat" w:eastAsia="GHEA Grapalat" w:hAnsi="GHEA Grapalat" w:cs="GHEA Grapalat"/>
          <w:highlight w:val="white"/>
          <w:lang w:val="hy-AM"/>
        </w:rPr>
        <w:t>ժ</w:t>
      </w:r>
      <w:r w:rsidRPr="00BC6B43">
        <w:rPr>
          <w:rFonts w:ascii="GHEA Grapalat" w:eastAsia="GHEA Grapalat" w:hAnsi="GHEA Grapalat" w:cs="GHEA Grapalat"/>
          <w:highlight w:val="white"/>
          <w:lang w:val="en-US"/>
        </w:rPr>
        <w:t xml:space="preserve">) 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պետական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եկամուտների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կոմիտեի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կողմից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Հայաստանի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Հանրապետության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էկոնոմիկայի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նախարարությանը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տեղեկատվության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տրամադրման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ցանկը՝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համաձայն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 N</w:t>
      </w:r>
      <w:r w:rsidRPr="00BC6B43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Pr="00AE43E1">
        <w:rPr>
          <w:rFonts w:ascii="GHEA Grapalat" w:eastAsia="GHEA Grapalat" w:hAnsi="GHEA Grapalat" w:cs="GHEA Grapalat"/>
          <w:highlight w:val="white"/>
          <w:lang w:val="en-US"/>
        </w:rPr>
        <w:t xml:space="preserve">10 </w:t>
      </w:r>
      <w:r>
        <w:rPr>
          <w:rFonts w:ascii="GHEA Grapalat" w:eastAsia="GHEA Grapalat" w:hAnsi="GHEA Grapalat" w:cs="GHEA Grapalat"/>
          <w:highlight w:val="white"/>
        </w:rPr>
        <w:t>հավելվածի։»։</w:t>
      </w:r>
      <w:r>
        <w:rPr>
          <w:rFonts w:ascii="Calibri" w:eastAsia="Calibri" w:hAnsi="Calibri" w:cs="Calibri"/>
          <w:highlight w:val="white"/>
        </w:rPr>
        <w:t> </w:t>
      </w:r>
      <w:r>
        <w:rPr>
          <w:rFonts w:ascii="GHEA Grapalat" w:eastAsia="GHEA Grapalat" w:hAnsi="GHEA Grapalat" w:cs="GHEA Grapalat"/>
          <w:highlight w:val="white"/>
        </w:rPr>
        <w:t xml:space="preserve"> </w:t>
      </w:r>
    </w:p>
    <w:p w14:paraId="2943E884" w14:textId="77777777" w:rsidR="00C473C2" w:rsidRDefault="00C473C2" w:rsidP="00C473C2">
      <w:pPr>
        <w:spacing w:before="120" w:after="120" w:line="276" w:lineRule="auto"/>
        <w:ind w:left="-142" w:firstLine="284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2) Որոշումը լրացնել </w:t>
      </w:r>
      <w:r w:rsidRPr="00D232E0">
        <w:rPr>
          <w:rFonts w:ascii="GHEA Grapalat" w:eastAsia="GHEA Grapalat" w:hAnsi="GHEA Grapalat" w:cs="GHEA Grapalat"/>
          <w:highlight w:val="white"/>
        </w:rPr>
        <w:t>N</w:t>
      </w:r>
      <w:r>
        <w:rPr>
          <w:rFonts w:ascii="GHEA Grapalat" w:eastAsia="GHEA Grapalat" w:hAnsi="GHEA Grapalat" w:cs="GHEA Grapalat"/>
          <w:highlight w:val="white"/>
        </w:rPr>
        <w:t xml:space="preserve"> 10 հավելվածով</w:t>
      </w:r>
      <w:r>
        <w:rPr>
          <w:rFonts w:ascii="GHEA Grapalat" w:eastAsia="GHEA Grapalat" w:hAnsi="GHEA Grapalat" w:cs="GHEA Grapalat"/>
          <w:highlight w:val="white"/>
          <w:lang w:val="hy-AM"/>
        </w:rPr>
        <w:t>՝</w:t>
      </w:r>
      <w:r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  <w:lang w:val="hy-AM"/>
        </w:rPr>
        <w:t>համաձայն հավելվածի։</w:t>
      </w:r>
    </w:p>
    <w:p w14:paraId="2D3BDD48" w14:textId="77777777" w:rsidR="00C473C2" w:rsidRDefault="00C473C2" w:rsidP="00C473C2">
      <w:pPr>
        <w:spacing w:before="120" w:after="120" w:line="276" w:lineRule="auto"/>
        <w:ind w:left="-142" w:firstLine="284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 xml:space="preserve"> Սույն որոշումն ուժի մեջ է մտնում պաշտոնական հրապարակմանը հաջորդող օրվանից։ </w:t>
      </w:r>
    </w:p>
    <w:p w14:paraId="6CA4D803" w14:textId="77777777" w:rsidR="00C473C2" w:rsidRDefault="00C473C2" w:rsidP="00C473C2">
      <w:pPr>
        <w:spacing w:before="120" w:after="120" w:line="276" w:lineRule="auto"/>
        <w:rPr>
          <w:rFonts w:ascii="GHEA Grapalat" w:eastAsia="GHEA Grapalat" w:hAnsi="GHEA Grapalat" w:cs="GHEA Grapalat"/>
          <w:highlight w:val="white"/>
        </w:rPr>
      </w:pPr>
    </w:p>
    <w:p w14:paraId="0AFFE886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168812DB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7D481B8B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5255A858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3B2813C2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0B8AC083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65081C8E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033C71EB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40EB014A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129D4137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35DB907B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43428CAF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6B1BF2C8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2A3DE15D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22FB6642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218EB1AB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7A42AFBB" w14:textId="77777777" w:rsidR="00C473C2" w:rsidRPr="00AE43E1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  <w:r w:rsidRPr="00AE43E1">
        <w:rPr>
          <w:rFonts w:ascii="GHEA Grapalat" w:eastAsia="GHEA Grapalat" w:hAnsi="GHEA Grapalat" w:cs="GHEA Grapalat"/>
          <w:highlight w:val="white"/>
        </w:rPr>
        <w:t xml:space="preserve">Հավելված </w:t>
      </w:r>
    </w:p>
    <w:p w14:paraId="6B5C8521" w14:textId="77777777" w:rsidR="00C473C2" w:rsidRPr="00AE43E1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  <w:r w:rsidRPr="00AE43E1">
        <w:rPr>
          <w:rFonts w:ascii="GHEA Grapalat" w:eastAsia="GHEA Grapalat" w:hAnsi="GHEA Grapalat" w:cs="GHEA Grapalat"/>
          <w:highlight w:val="white"/>
        </w:rPr>
        <w:t xml:space="preserve">ՀՀ կառավարության </w:t>
      </w:r>
      <w:r>
        <w:rPr>
          <w:rFonts w:ascii="GHEA Grapalat" w:eastAsia="GHEA Grapalat" w:hAnsi="GHEA Grapalat" w:cs="GHEA Grapalat"/>
          <w:highlight w:val="white"/>
          <w:lang w:val="hy-AM"/>
        </w:rPr>
        <w:t>2021</w:t>
      </w:r>
      <w:r w:rsidRPr="00AE43E1">
        <w:rPr>
          <w:rFonts w:ascii="GHEA Grapalat" w:eastAsia="GHEA Grapalat" w:hAnsi="GHEA Grapalat" w:cs="GHEA Grapalat"/>
          <w:highlight w:val="white"/>
        </w:rPr>
        <w:t>թ</w:t>
      </w:r>
      <w:r w:rsidRPr="00AE43E1">
        <w:rPr>
          <w:rFonts w:ascii="Cambria Math" w:eastAsia="GHEA Grapalat" w:hAnsi="Cambria Math" w:cs="Cambria Math"/>
          <w:highlight w:val="white"/>
        </w:rPr>
        <w:t>․</w:t>
      </w:r>
      <w:r w:rsidRPr="00AE43E1">
        <w:rPr>
          <w:rFonts w:ascii="GHEA Grapalat" w:eastAsia="GHEA Grapalat" w:hAnsi="GHEA Grapalat" w:cs="GHEA Grapalat"/>
          <w:highlight w:val="white"/>
        </w:rPr>
        <w:t xml:space="preserve"> </w:t>
      </w:r>
    </w:p>
    <w:p w14:paraId="576C27EA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  <w:lang w:val="hy-AM"/>
        </w:rPr>
        <w:t>-------------</w:t>
      </w:r>
      <w:r w:rsidRPr="00AE43E1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  <w:lang w:val="hy-AM"/>
        </w:rPr>
        <w:t xml:space="preserve">----- </w:t>
      </w:r>
      <w:r w:rsidRPr="00AE43E1">
        <w:rPr>
          <w:rFonts w:ascii="GHEA Grapalat" w:eastAsia="GHEA Grapalat" w:hAnsi="GHEA Grapalat" w:cs="GHEA Grapalat"/>
          <w:highlight w:val="white"/>
        </w:rPr>
        <w:t xml:space="preserve">-ի N </w:t>
      </w:r>
      <w:r>
        <w:rPr>
          <w:rFonts w:ascii="GHEA Grapalat" w:eastAsia="GHEA Grapalat" w:hAnsi="GHEA Grapalat" w:cs="GHEA Grapalat"/>
          <w:highlight w:val="white"/>
          <w:lang w:val="hy-AM"/>
        </w:rPr>
        <w:t xml:space="preserve">------- </w:t>
      </w:r>
      <w:r w:rsidRPr="00AE43E1">
        <w:rPr>
          <w:rFonts w:ascii="GHEA Grapalat" w:eastAsia="GHEA Grapalat" w:hAnsi="GHEA Grapalat" w:cs="GHEA Grapalat"/>
          <w:highlight w:val="white"/>
        </w:rPr>
        <w:t>-Ն որոշման</w:t>
      </w:r>
    </w:p>
    <w:p w14:paraId="6B442F9F" w14:textId="77777777" w:rsidR="00C473C2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</w:p>
    <w:p w14:paraId="31E3CB04" w14:textId="77777777" w:rsidR="00C473C2" w:rsidRPr="00AE43E1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  <w:r w:rsidRPr="00AE43E1">
        <w:rPr>
          <w:rFonts w:ascii="GHEA Grapalat" w:eastAsia="GHEA Grapalat" w:hAnsi="GHEA Grapalat" w:cs="GHEA Grapalat"/>
          <w:highlight w:val="white"/>
        </w:rPr>
        <w:t>«Հավելված N10</w:t>
      </w:r>
    </w:p>
    <w:p w14:paraId="0AF033CB" w14:textId="77777777" w:rsidR="00C473C2" w:rsidRPr="00AE43E1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  <w:r w:rsidRPr="00AE43E1">
        <w:rPr>
          <w:rFonts w:ascii="GHEA Grapalat" w:eastAsia="GHEA Grapalat" w:hAnsi="GHEA Grapalat" w:cs="GHEA Grapalat"/>
          <w:highlight w:val="white"/>
        </w:rPr>
        <w:t>ՀՀ կառավարության 2014թ</w:t>
      </w:r>
      <w:r w:rsidRPr="00AE43E1">
        <w:rPr>
          <w:rFonts w:ascii="Cambria Math" w:eastAsia="GHEA Grapalat" w:hAnsi="Cambria Math" w:cs="Cambria Math"/>
          <w:highlight w:val="white"/>
        </w:rPr>
        <w:t>․</w:t>
      </w:r>
      <w:r w:rsidRPr="00AE43E1">
        <w:rPr>
          <w:rFonts w:ascii="GHEA Grapalat" w:eastAsia="GHEA Grapalat" w:hAnsi="GHEA Grapalat" w:cs="GHEA Grapalat"/>
          <w:highlight w:val="white"/>
        </w:rPr>
        <w:t xml:space="preserve"> </w:t>
      </w:r>
    </w:p>
    <w:p w14:paraId="3BFFB655" w14:textId="77777777" w:rsidR="00C473C2" w:rsidRPr="00AE43E1" w:rsidRDefault="00C473C2" w:rsidP="00C473C2">
      <w:pPr>
        <w:ind w:firstLine="706"/>
        <w:jc w:val="right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  <w:lang w:val="hy-AM"/>
        </w:rPr>
        <w:t>օ</w:t>
      </w:r>
      <w:r w:rsidRPr="00AE43E1">
        <w:rPr>
          <w:rFonts w:ascii="GHEA Grapalat" w:eastAsia="GHEA Grapalat" w:hAnsi="GHEA Grapalat" w:cs="GHEA Grapalat"/>
          <w:highlight w:val="white"/>
        </w:rPr>
        <w:t>գոստոսի 19-ի N 1354-Ն որոշման</w:t>
      </w:r>
    </w:p>
    <w:p w14:paraId="5C02AE93" w14:textId="77777777" w:rsidR="00C473C2" w:rsidRPr="007B638D" w:rsidRDefault="00C473C2" w:rsidP="00C473C2">
      <w:pPr>
        <w:ind w:firstLine="706"/>
        <w:jc w:val="right"/>
        <w:rPr>
          <w:rFonts w:ascii="GHEA Grapalat" w:eastAsia="GHEA Grapalat" w:hAnsi="GHEA Grapalat" w:cs="GHEA Grapalat"/>
          <w:sz w:val="20"/>
          <w:szCs w:val="20"/>
          <w:highlight w:val="white"/>
        </w:rPr>
      </w:pPr>
    </w:p>
    <w:tbl>
      <w:tblPr>
        <w:tblW w:w="108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05"/>
        <w:gridCol w:w="5405"/>
        <w:gridCol w:w="1620"/>
        <w:gridCol w:w="1440"/>
        <w:gridCol w:w="1530"/>
      </w:tblGrid>
      <w:tr w:rsidR="00C473C2" w:rsidRPr="00AE43E1" w14:paraId="752AF1C0" w14:textId="77777777" w:rsidTr="001D17D2">
        <w:trPr>
          <w:trHeight w:val="1259"/>
          <w:tblHeader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0131E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NN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A5E4F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Տրամադրվող ցուցանիշի կամ տեղեկատվության 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A0D2A4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Տեղեկատ–վության տրա–մադրման պարբե–րակա- նությունը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BDC487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Տեղե–կատ–վությունը ներկայաց–նելու ձևը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295EE9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Տեղեկատ–վությունը ներկայաց–նելու ժամկետը</w:t>
            </w:r>
          </w:p>
        </w:tc>
      </w:tr>
      <w:tr w:rsidR="00C473C2" w:rsidRPr="00AE43E1" w14:paraId="1690FF28" w14:textId="77777777" w:rsidTr="001D17D2">
        <w:trPr>
          <w:trHeight w:val="41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C2D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53B4" w14:textId="77777777" w:rsidR="00C473C2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ՀՀ արտաքին առևտրի մաքսային վիճակագրության </w:t>
            </w:r>
            <w:r w:rsidRPr="00AE43E1">
              <w:rPr>
                <w:rFonts w:ascii="GHEA Grapalat" w:hAnsi="GHEA Grapalat" w:cs="Calibri"/>
                <w:sz w:val="22"/>
                <w:szCs w:val="22"/>
              </w:rPr>
              <w:t xml:space="preserve">տվյալների բազաները (ԵԱՏՄ անդամ չհանդիսացող պետությունների, ԵԱՏՄ անդամ հանդիսացող պետությունների) ըստ ԵԱՏՄ ԱՏԳ ԱԱ 10 (տասը) նիշ և 4 (չորս) նիշ  ծածկագրերի, ըստ հետևյալ դաշտերի՝ գրանցման (հաշվետու) տարի, ամիս, ապրանքի ծածկագիր, անվանում (ԱՏԳԱԱ),  ներմուծում, արտահանում,  արտահանման/նշանակման երկրի, ծագման երկրի, առևտուր անող երկրի,   «ընթացակարգերը», «ենթաընթացակարգերը», գործարքի բնույթ, </w:t>
            </w:r>
            <w:r w:rsidRPr="00AE43E1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արտոնություննե</w:t>
            </w:r>
            <w:r w:rsidRPr="00AE43E1">
              <w:rPr>
                <w:rFonts w:ascii="GHEA Grapalat" w:hAnsi="GHEA Grapalat" w:cs="Calibri"/>
                <w:sz w:val="22"/>
                <w:szCs w:val="22"/>
              </w:rPr>
              <w:t>ր (մաքսավճար (պետական տուրք), մաքսատուրք, ակցիզային հարկ, ԱԱՀ, բնապահպանական հարկ), չափի միավոր, քանակը՝ արտահայտված չափման լրացուցիչ միավորներով,  մաքսային  արժեք (ԱՄՆ-</w:t>
            </w:r>
            <w:r w:rsidRPr="00AE43E1">
              <w:rPr>
                <w:rFonts w:ascii="GHEA Grapalat" w:hAnsi="GHEA Grapalat" w:cs="Calibri"/>
                <w:sz w:val="22"/>
                <w:szCs w:val="22"/>
              </w:rPr>
              <w:lastRenderedPageBreak/>
              <w:t xml:space="preserve">ի դոլար), </w:t>
            </w:r>
            <w:r w:rsidRPr="00AE43E1">
              <w:rPr>
                <w:rFonts w:ascii="GHEA Grapalat" w:hAnsi="GHEA Grapalat" w:cs="Calibri"/>
                <w:b/>
                <w:bCs/>
                <w:sz w:val="22"/>
                <w:szCs w:val="22"/>
              </w:rPr>
              <w:t>գանձումներն</w:t>
            </w:r>
            <w:r w:rsidRPr="00AE43E1">
              <w:rPr>
                <w:rFonts w:ascii="GHEA Grapalat" w:hAnsi="GHEA Grapalat" w:cs="Calibri"/>
                <w:sz w:val="22"/>
                <w:szCs w:val="22"/>
              </w:rPr>
              <w:t xml:space="preserve"> ըստ հարկատեսակների (ակցիզային հարկ, բնապահպանական հարկ, ԱԱՀ, մաքսատուրք), մաքսատուրքի դրույքաչափ, մաքսատուրքի բացառության դրույքաչափ, հատուկ պաշտպանական միջոցներ (հատուկ </w:t>
            </w: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տուրք, հակագնագցում, փոխհատուցում), ֆիզիկական/իրավաբանական անձ, սահմանին տրանսպորտի տեսակի ծածկագիրը: </w:t>
            </w:r>
          </w:p>
          <w:p w14:paraId="7B55F38F" w14:textId="77777777" w:rsidR="00C473C2" w:rsidRPr="00AE43E1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69E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Յուրաքանչ–յուր ամիս</w:t>
            </w:r>
          </w:p>
          <w:p w14:paraId="289DC401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ամսական և  կուտակային կարգով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494" w14:textId="77777777" w:rsidR="00C473C2" w:rsidRPr="00AE43E1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Էլեկտրո–նային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FEA" w14:textId="77777777" w:rsidR="00C473C2" w:rsidRPr="00AE43E1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ամսվա ավարտից 20 օրվա ընթացքում</w:t>
            </w:r>
          </w:p>
        </w:tc>
      </w:tr>
      <w:tr w:rsidR="00C473C2" w:rsidRPr="00AE43E1" w14:paraId="3F7D7BEE" w14:textId="77777777" w:rsidTr="001D17D2">
        <w:trPr>
          <w:trHeight w:val="14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71C7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CDBD" w14:textId="77777777" w:rsidR="00C473C2" w:rsidRPr="00AE43E1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Ըստ Տնտեսական գործունեության տեսակների 5-նիշ (հնգանիշ)  դասակարգման, ըստ հետևյալ դաշտերի՝ գրանցված վարձու աշխատողների, քաղաքացիաիրավական պայմանագրերի շրջանակներում աշխատողների թվաքանակ, աշխատավարձի չափ, եկամտային հարկ, սոցիալական վճար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B76" w14:textId="77777777" w:rsidR="00C473C2" w:rsidRPr="00AE43E1" w:rsidRDefault="00C473C2" w:rsidP="001D17D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Յուրաքանչ–յուր ամիս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C280" w14:textId="77777777" w:rsidR="00C473C2" w:rsidRPr="00AE43E1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Էլեկտրո–նային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106" w14:textId="77777777" w:rsidR="00C473C2" w:rsidRPr="00AE43E1" w:rsidRDefault="00C473C2" w:rsidP="001D17D2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E43E1">
              <w:rPr>
                <w:rFonts w:ascii="GHEA Grapalat" w:hAnsi="GHEA Grapalat" w:cs="Calibri"/>
                <w:color w:val="000000"/>
                <w:sz w:val="22"/>
                <w:szCs w:val="22"/>
              </w:rPr>
              <w:t>ամսվա ավարտից 30 օրվա ընթացքում</w:t>
            </w:r>
          </w:p>
        </w:tc>
      </w:tr>
    </w:tbl>
    <w:p w14:paraId="4C0830C1" w14:textId="77777777" w:rsidR="00C473C2" w:rsidRPr="00D76686" w:rsidRDefault="00C473C2" w:rsidP="00C473C2">
      <w:pPr>
        <w:spacing w:before="120" w:after="120" w:line="276" w:lineRule="auto"/>
        <w:ind w:firstLine="708"/>
        <w:rPr>
          <w:rFonts w:ascii="GHEA Grapalat" w:eastAsia="GHEA Grapalat" w:hAnsi="GHEA Grapalat" w:cs="GHEA Grapalat"/>
          <w:sz w:val="20"/>
          <w:szCs w:val="20"/>
          <w:highlight w:val="white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  <w:lang w:val="hy-AM"/>
        </w:rPr>
        <w:t xml:space="preserve">    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ab/>
      </w:r>
      <w:r>
        <w:rPr>
          <w:rFonts w:ascii="GHEA Grapalat" w:eastAsia="GHEA Grapalat" w:hAnsi="GHEA Grapalat" w:cs="GHEA Grapalat"/>
          <w:sz w:val="20"/>
          <w:szCs w:val="20"/>
          <w:highlight w:val="white"/>
          <w:lang w:val="hy-AM"/>
        </w:rPr>
        <w:t xml:space="preserve">  </w:t>
      </w:r>
      <w:r>
        <w:rPr>
          <w:rFonts w:ascii="GHEA Grapalat" w:eastAsia="GHEA Grapalat" w:hAnsi="GHEA Grapalat" w:cs="GHEA Grapalat"/>
          <w:sz w:val="20"/>
          <w:szCs w:val="20"/>
          <w:highlight w:val="white"/>
        </w:rPr>
        <w:t>» :</w:t>
      </w:r>
    </w:p>
    <w:p w14:paraId="2537FEFB" w14:textId="77777777" w:rsidR="00552FC5" w:rsidRDefault="00552FC5">
      <w:bookmarkStart w:id="0" w:name="_GoBack"/>
      <w:bookmarkEnd w:id="0"/>
    </w:p>
    <w:sectPr w:rsidR="00552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C2"/>
    <w:rsid w:val="00552FC5"/>
    <w:rsid w:val="00C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EBB8"/>
  <w15:chartTrackingRefBased/>
  <w15:docId w15:val="{B0E57FD4-D2FD-4563-B75D-A794016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C2"/>
    <w:pPr>
      <w:spacing w:after="0" w:line="240" w:lineRule="auto"/>
      <w:jc w:val="both"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qFormat/>
    <w:rsid w:val="00C473C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/>
  <dc:description/>
  <cp:lastModifiedBy>Artak K. Chilingaryan</cp:lastModifiedBy>
  <cp:revision>1</cp:revision>
  <dcterms:created xsi:type="dcterms:W3CDTF">2021-04-13T10:14:00Z</dcterms:created>
  <dcterms:modified xsi:type="dcterms:W3CDTF">2021-04-13T10:15:00Z</dcterms:modified>
</cp:coreProperties>
</file>