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Mariam" w:hAnsi="GHEA Mariam" w:cs="Sylfaen"/>
          <w:b w:val="0"/>
        </w:rPr>
      </w:pPr>
      <w:r w:rsidRPr="0023338A">
        <w:rPr>
          <w:rStyle w:val="Strong"/>
          <w:rFonts w:ascii="GHEA Mariam" w:hAnsi="GHEA Mariam" w:cs="Sylfaen"/>
          <w:b w:val="0"/>
        </w:rPr>
        <w:t>ՆԱԽԱԳԻԾ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Style w:val="Strong"/>
          <w:rFonts w:ascii="GHEA Mariam" w:hAnsi="GHEA Mariam" w:cs="Sylfaen"/>
          <w:b w:val="0"/>
        </w:rPr>
      </w:pP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/>
        </w:rPr>
      </w:pPr>
      <w:r w:rsidRPr="0023338A">
        <w:rPr>
          <w:rStyle w:val="Strong"/>
          <w:rFonts w:ascii="GHEA Mariam" w:hAnsi="GHEA Mariam" w:cs="Sylfaen"/>
          <w:b w:val="0"/>
        </w:rPr>
        <w:t>ՀԱՅԱՍՏԱՆԻ</w:t>
      </w:r>
      <w:r w:rsidRPr="0023338A">
        <w:rPr>
          <w:rStyle w:val="Strong"/>
          <w:rFonts w:ascii="GHEA Mariam" w:hAnsi="GHEA Mariam"/>
          <w:b w:val="0"/>
        </w:rPr>
        <w:t xml:space="preserve"> </w:t>
      </w:r>
      <w:r w:rsidRPr="0023338A">
        <w:rPr>
          <w:rStyle w:val="Strong"/>
          <w:rFonts w:ascii="GHEA Mariam" w:hAnsi="GHEA Mariam" w:cs="Sylfaen"/>
          <w:b w:val="0"/>
        </w:rPr>
        <w:t>ՀԱՆՐԱՊԵՏՈՒԹՅԱՆ</w:t>
      </w:r>
      <w:r w:rsidRPr="0023338A">
        <w:rPr>
          <w:rStyle w:val="Strong"/>
          <w:rFonts w:ascii="GHEA Mariam" w:hAnsi="GHEA Mariam"/>
          <w:b w:val="0"/>
        </w:rPr>
        <w:t xml:space="preserve"> </w:t>
      </w:r>
      <w:r w:rsidRPr="0023338A">
        <w:rPr>
          <w:rStyle w:val="Strong"/>
          <w:rFonts w:ascii="GHEA Mariam" w:hAnsi="GHEA Mariam" w:cs="Sylfaen"/>
          <w:b w:val="0"/>
        </w:rPr>
        <w:t>ԿԱՌԱՎԱՐՈՒԹՅՈՒՆ</w:t>
      </w:r>
      <w:r w:rsidRPr="0023338A">
        <w:rPr>
          <w:rStyle w:val="Strong"/>
          <w:rFonts w:ascii="GHEA Mariam" w:hAnsi="GHEA Mariam"/>
          <w:b w:val="0"/>
        </w:rPr>
        <w:t xml:space="preserve"> 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 w:cs="Sylfaen"/>
          <w:bCs/>
        </w:rPr>
      </w:pPr>
      <w:r w:rsidRPr="0023338A">
        <w:rPr>
          <w:rFonts w:ascii="GHEA Mariam" w:hAnsi="GHEA Mariam" w:cs="Sylfaen"/>
          <w:bCs/>
        </w:rPr>
        <w:t>Ո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Ր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Ո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Շ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ՈՒ</w:t>
      </w:r>
      <w:r w:rsidRPr="0023338A">
        <w:rPr>
          <w:rFonts w:ascii="GHEA Mariam" w:hAnsi="GHEA Mariam"/>
          <w:bCs/>
        </w:rPr>
        <w:t xml:space="preserve"> </w:t>
      </w:r>
      <w:r w:rsidRPr="0023338A">
        <w:rPr>
          <w:rFonts w:ascii="GHEA Mariam" w:hAnsi="GHEA Mariam" w:cs="Sylfaen"/>
          <w:bCs/>
        </w:rPr>
        <w:t>Մ</w:t>
      </w:r>
    </w:p>
    <w:p w:rsidR="00FE7429" w:rsidRPr="0023338A" w:rsidRDefault="00FE7429" w:rsidP="0023338A">
      <w:pPr>
        <w:pStyle w:val="NormalWeb"/>
        <w:spacing w:before="0" w:beforeAutospacing="0" w:after="120" w:afterAutospacing="0" w:line="276" w:lineRule="auto"/>
        <w:ind w:firstLine="375"/>
        <w:jc w:val="center"/>
        <w:rPr>
          <w:rFonts w:ascii="GHEA Mariam" w:hAnsi="GHEA Mariam"/>
        </w:rPr>
      </w:pPr>
      <w:r w:rsidRPr="0023338A">
        <w:rPr>
          <w:rFonts w:ascii="GHEA Mariam" w:hAnsi="GHEA Mariam"/>
        </w:rPr>
        <w:t>«</w:t>
      </w:r>
      <w:r w:rsidRPr="0023338A">
        <w:rPr>
          <w:rFonts w:ascii="GHEA Mariam" w:hAnsi="GHEA Mariam"/>
          <w:u w:val="single"/>
        </w:rPr>
        <w:tab/>
        <w:t xml:space="preserve">   </w:t>
      </w:r>
      <w:r w:rsidRPr="0023338A">
        <w:rPr>
          <w:rFonts w:ascii="GHEA Mariam" w:hAnsi="GHEA Mariam"/>
        </w:rPr>
        <w:t>»  «</w:t>
      </w:r>
      <w:r w:rsidRPr="0023338A">
        <w:rPr>
          <w:rFonts w:ascii="GHEA Mariam" w:hAnsi="GHEA Mariam"/>
          <w:u w:val="single"/>
        </w:rPr>
        <w:tab/>
      </w:r>
      <w:r w:rsidRPr="0023338A">
        <w:rPr>
          <w:rFonts w:ascii="GHEA Mariam" w:hAnsi="GHEA Mariam"/>
          <w:u w:val="single"/>
        </w:rPr>
        <w:tab/>
        <w:t xml:space="preserve">          </w:t>
      </w:r>
      <w:r w:rsidRPr="0023338A">
        <w:rPr>
          <w:rFonts w:ascii="GHEA Mariam" w:hAnsi="GHEA Mariam"/>
        </w:rPr>
        <w:t>»  20</w:t>
      </w:r>
      <w:r w:rsidR="00170F2D" w:rsidRPr="0023338A">
        <w:rPr>
          <w:rFonts w:ascii="GHEA Mariam" w:hAnsi="GHEA Mariam"/>
        </w:rPr>
        <w:t>20</w:t>
      </w:r>
      <w:r w:rsidRPr="0023338A">
        <w:rPr>
          <w:rFonts w:ascii="GHEA Mariam" w:hAnsi="GHEA Mariam"/>
        </w:rPr>
        <w:t xml:space="preserve"> </w:t>
      </w:r>
      <w:r w:rsidRPr="0023338A">
        <w:rPr>
          <w:rFonts w:ascii="GHEA Mariam" w:hAnsi="GHEA Mariam" w:cs="Sylfaen"/>
        </w:rPr>
        <w:t>թվականի</w:t>
      </w:r>
      <w:r w:rsidRPr="0023338A">
        <w:rPr>
          <w:rFonts w:ascii="GHEA Mariam" w:hAnsi="GHEA Mariam"/>
        </w:rPr>
        <w:t xml:space="preserve"> N     -</w:t>
      </w:r>
      <w:r w:rsidRPr="0023338A">
        <w:rPr>
          <w:rFonts w:ascii="GHEA Mariam" w:hAnsi="GHEA Mariam" w:cs="Sylfaen"/>
        </w:rPr>
        <w:t>Ն</w:t>
      </w:r>
    </w:p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rPr>
          <w:rFonts w:ascii="GHEA Mariam" w:hAnsi="GHEA Mariam"/>
        </w:rPr>
      </w:pPr>
      <w:r w:rsidRPr="0023338A">
        <w:rPr>
          <w:rFonts w:ascii="Calibri" w:hAnsi="Calibri" w:cs="Calibri"/>
        </w:rPr>
        <w:t> </w:t>
      </w:r>
    </w:p>
    <w:p w:rsidR="00FE7429" w:rsidRPr="0023338A" w:rsidRDefault="000D586D" w:rsidP="0023338A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lang w:val="hy-AM"/>
        </w:rPr>
      </w:pPr>
      <w:r w:rsidRPr="0023338A">
        <w:rPr>
          <w:rFonts w:ascii="GHEA Mariam" w:hAnsi="GHEA Mariam"/>
          <w:lang w:val="hy-AM"/>
        </w:rPr>
        <w:t xml:space="preserve">ԱՆՇԱՐԺ ԳՈՒՅՔԻ ԿԱԴԱՍՏՐ ՎԱՐՈՂ ՄԱՐՄՆԻՆ ՀԱՅԱՍՏԱՆԻ ՀԱՆՐԱՊԵՏՈՒԹՅԱՆ ՏԵՂԱԿԱՆ ԻՆՔՆԱԿԱՌԱՎԱՐՄԱՆ ՄԱՐՄԻՆՆԵՐԻ ԿՈՂՄԻՑ </w:t>
      </w:r>
      <w:r w:rsidR="003546E8" w:rsidRPr="0023338A">
        <w:rPr>
          <w:rFonts w:ascii="GHEA Mariam" w:hAnsi="GHEA Mariam"/>
          <w:lang w:val="hy-AM"/>
        </w:rPr>
        <w:t xml:space="preserve">ՀԱՐԿՄԱՆ ՕԲՅԵԿՏ ՀԱՄԱՐՎՈՂ ԱՆՇԱՐԺ ԳՈՒՅՔԻ ԸՆԹԱՑԻԿ ՀԱՇՎԱՌՄԱՆ </w:t>
      </w:r>
      <w:r w:rsidR="00F24A70">
        <w:rPr>
          <w:rFonts w:ascii="GHEA Mariam" w:hAnsi="GHEA Mariam"/>
          <w:lang w:val="hy-AM"/>
        </w:rPr>
        <w:t>ՄԱՍԻՆ</w:t>
      </w:r>
      <w:r w:rsidR="003546E8" w:rsidRPr="0023338A">
        <w:rPr>
          <w:rFonts w:ascii="GHEA Mariam" w:hAnsi="GHEA Mariam"/>
          <w:lang w:val="hy-AM"/>
        </w:rPr>
        <w:t xml:space="preserve"> ՏԵՂԵԿՈՒԹՅՈՒՆՆԵՐ ՆԵՐԿԱՅԱՑՆԵԼՈՒ ԿԱՐԳԸ ՍԱՀՄԱՆԵԼՈՒ</w:t>
      </w:r>
      <w:r w:rsidR="00405CBB" w:rsidRPr="0023338A">
        <w:rPr>
          <w:rFonts w:ascii="GHEA Mariam" w:hAnsi="GHEA Mariam"/>
          <w:lang w:val="hy-AM"/>
        </w:rPr>
        <w:t xml:space="preserve"> ԵՎ</w:t>
      </w:r>
      <w:r w:rsidR="003546E8" w:rsidRPr="0023338A">
        <w:rPr>
          <w:rFonts w:ascii="GHEA Mariam" w:hAnsi="GHEA Mariam"/>
          <w:lang w:val="hy-AM"/>
        </w:rPr>
        <w:t xml:space="preserve"> </w:t>
      </w:r>
      <w:r w:rsidR="0041598A" w:rsidRPr="0023338A">
        <w:rPr>
          <w:rFonts w:ascii="GHEA Mariam" w:hAnsi="GHEA Mariam"/>
          <w:lang w:val="hy-AM"/>
        </w:rPr>
        <w:t>ՀԱՅԱՍՏԱՆԻ ՀԱՆՐԱՊԵՏՈՒԹՅԱՆ ԿԱՌԱՎԱՐՈՒԹՅԱՆ</w:t>
      </w:r>
      <w:r w:rsidR="00405CBB" w:rsidRPr="0023338A">
        <w:rPr>
          <w:rFonts w:ascii="GHEA Mariam" w:hAnsi="GHEA Mariam"/>
        </w:rPr>
        <w:t xml:space="preserve"> 2003</w:t>
      </w:r>
      <w:r w:rsidR="00405CBB" w:rsidRPr="0023338A">
        <w:rPr>
          <w:rFonts w:ascii="GHEA Mariam" w:hAnsi="GHEA Mariam"/>
          <w:lang w:val="hy-AM"/>
        </w:rPr>
        <w:t xml:space="preserve"> ԹՎԱԿԱՆԻ ՄԱՅԻՍԻ 29-Ի </w:t>
      </w:r>
      <w:r w:rsidR="00405CBB" w:rsidRPr="0023338A">
        <w:rPr>
          <w:rFonts w:ascii="GHEA Mariam" w:hAnsi="GHEA Mariam"/>
        </w:rPr>
        <w:t>N</w:t>
      </w:r>
      <w:r w:rsidR="00405CBB" w:rsidRPr="0023338A">
        <w:rPr>
          <w:rFonts w:ascii="GHEA Mariam" w:hAnsi="GHEA Mariam"/>
          <w:lang w:val="hy-AM"/>
        </w:rPr>
        <w:t xml:space="preserve"> 680-Ն ՈՐՈՇՈՒՄՆ ՈՒԺԸ ԿՈՐՑՐԱԾ ՃԱՆԱՉԵԼՈՒ ՄԱՍԻՆ</w:t>
      </w:r>
    </w:p>
    <w:p w:rsidR="00FE7429" w:rsidRPr="0023338A" w:rsidRDefault="00FE7429" w:rsidP="0023338A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</w:rPr>
      </w:pPr>
    </w:p>
    <w:p w:rsidR="00280EF8" w:rsidRPr="0023338A" w:rsidRDefault="00405CBB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  <w:r w:rsidRPr="0023338A">
        <w:rPr>
          <w:rFonts w:ascii="GHEA Mariam" w:hAnsi="GHEA Mariam"/>
          <w:lang w:val="hy-AM"/>
        </w:rPr>
        <w:t xml:space="preserve">   Հիմք ընդունելով</w:t>
      </w:r>
      <w:r w:rsidR="00280EF8" w:rsidRPr="0023338A">
        <w:rPr>
          <w:rFonts w:ascii="GHEA Mariam" w:hAnsi="GHEA Mariam"/>
        </w:rPr>
        <w:t xml:space="preserve"> </w:t>
      </w:r>
      <w:r w:rsidRPr="0023338A">
        <w:rPr>
          <w:rFonts w:ascii="GHEA Mariam" w:hAnsi="GHEA Mariam"/>
          <w:lang w:val="hy-AM"/>
        </w:rPr>
        <w:t xml:space="preserve">Հայաստանի Հանրապետության հարկային օրենսգրքի 235-րդ հոդվածի 1-ին մասի 4-րդ կետի </w:t>
      </w:r>
      <w:r w:rsidR="00280EF8" w:rsidRPr="0023338A">
        <w:rPr>
          <w:rFonts w:ascii="GHEA Mariam" w:hAnsi="GHEA Mariam"/>
        </w:rPr>
        <w:t xml:space="preserve">և «Նորմատիվ իրավական ակտերի մասին» ՀՀ օրենքի 37-րդ հոդվածի 1-ին մասի պահանջները՝ Հայաստանի Հանրապետության կառավարությունը </w:t>
      </w:r>
      <w:r w:rsidR="00280EF8" w:rsidRPr="0023338A">
        <w:rPr>
          <w:rFonts w:ascii="GHEA Mariam" w:hAnsi="GHEA Mariam"/>
          <w:i/>
        </w:rPr>
        <w:t>որոշում է</w:t>
      </w:r>
      <w:r w:rsidR="00F06A8C">
        <w:rPr>
          <w:rFonts w:ascii="GHEA Mariam" w:hAnsi="GHEA Mariam"/>
        </w:rPr>
        <w:t>`</w:t>
      </w:r>
    </w:p>
    <w:p w:rsidR="00EA321D" w:rsidRDefault="0023338A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 w:rsidRPr="0023338A">
        <w:rPr>
          <w:rFonts w:ascii="GHEA Mariam" w:hAnsi="GHEA Mariam"/>
        </w:rPr>
        <w:t xml:space="preserve">   1</w:t>
      </w:r>
      <w:r w:rsidRPr="0023338A">
        <w:rPr>
          <w:rFonts w:ascii="Cambria Math" w:hAnsi="Cambria Math" w:cs="Cambria Math"/>
          <w:lang w:val="hy-AM"/>
        </w:rPr>
        <w:t>․</w:t>
      </w:r>
      <w:r w:rsidRPr="0023338A">
        <w:rPr>
          <w:rFonts w:ascii="GHEA Mariam" w:hAnsi="GHEA Mariam"/>
          <w:lang w:val="hy-AM"/>
        </w:rPr>
        <w:t xml:space="preserve"> </w:t>
      </w:r>
      <w:r w:rsidR="00280EF8" w:rsidRPr="0023338A">
        <w:rPr>
          <w:rFonts w:ascii="GHEA Mariam" w:hAnsi="GHEA Mariam"/>
        </w:rPr>
        <w:t>Սահմանել</w:t>
      </w:r>
      <w:r w:rsidR="00EA321D">
        <w:rPr>
          <w:rFonts w:ascii="GHEA Mariam" w:hAnsi="GHEA Mariam"/>
          <w:lang w:val="hy-AM"/>
        </w:rPr>
        <w:t>՝</w:t>
      </w:r>
    </w:p>
    <w:p w:rsidR="00EA321D" w:rsidRDefault="00EA321D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1</w:t>
      </w:r>
      <w:r>
        <w:rPr>
          <w:rFonts w:ascii="GHEA Mariam" w:hAnsi="GHEA Mariam"/>
        </w:rPr>
        <w:t>)</w:t>
      </w:r>
      <w:r>
        <w:rPr>
          <w:rFonts w:ascii="GHEA Mariam" w:hAnsi="GHEA Mariam"/>
          <w:lang w:val="hy-AM"/>
        </w:rPr>
        <w:t xml:space="preserve"> </w:t>
      </w:r>
      <w:r w:rsidR="00737FFC" w:rsidRPr="0023338A">
        <w:rPr>
          <w:rFonts w:ascii="GHEA Mariam" w:hAnsi="GHEA Mariam"/>
        </w:rPr>
        <w:t>անշարժ գույքի կադաստր վարող մարմնին Հայաստանի Հանրապետության</w:t>
      </w:r>
      <w:r w:rsidR="00737FFC" w:rsidRPr="0023338A">
        <w:rPr>
          <w:rFonts w:ascii="GHEA Mariam" w:hAnsi="GHEA Mariam"/>
          <w:lang w:val="hy-AM"/>
        </w:rPr>
        <w:t xml:space="preserve"> տեղական ինքնակառավարման մարմինների կողմից հարկման օբյեկտ համարվող անշարժ գույքի ընթացիկ հաշվառման </w:t>
      </w:r>
      <w:r w:rsidR="00F24A70">
        <w:rPr>
          <w:rFonts w:ascii="GHEA Mariam" w:hAnsi="GHEA Mariam"/>
          <w:lang w:val="hy-AM"/>
        </w:rPr>
        <w:t>մասին</w:t>
      </w:r>
      <w:r w:rsidR="00737FFC" w:rsidRPr="0023338A">
        <w:rPr>
          <w:rFonts w:ascii="GHEA Mariam" w:hAnsi="GHEA Mariam"/>
          <w:lang w:val="hy-AM"/>
        </w:rPr>
        <w:t xml:space="preserve"> տեղեկություններ ներկայացնելու կարգը՝ համաձայն </w:t>
      </w:r>
      <w:r>
        <w:rPr>
          <w:rFonts w:ascii="GHEA Mariam" w:hAnsi="GHEA Mariam"/>
        </w:rPr>
        <w:t>N</w:t>
      </w:r>
      <w:r>
        <w:rPr>
          <w:rFonts w:ascii="GHEA Mariam" w:hAnsi="GHEA Mariam"/>
          <w:lang w:val="hy-AM"/>
        </w:rPr>
        <w:t xml:space="preserve"> 1 </w:t>
      </w:r>
      <w:r w:rsidR="00737FFC" w:rsidRPr="0023338A">
        <w:rPr>
          <w:rFonts w:ascii="GHEA Mariam" w:hAnsi="GHEA Mariam"/>
          <w:lang w:val="hy-AM"/>
        </w:rPr>
        <w:t>հավելվածի</w:t>
      </w:r>
      <w:r>
        <w:rPr>
          <w:rFonts w:ascii="GHEA Mariam" w:hAnsi="GHEA Mariam"/>
          <w:lang w:val="hy-AM"/>
        </w:rPr>
        <w:t>,</w:t>
      </w:r>
    </w:p>
    <w:p w:rsidR="006F33B3" w:rsidRDefault="006F33B3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2</w:t>
      </w:r>
      <w:r>
        <w:rPr>
          <w:rFonts w:ascii="GHEA Mariam" w:hAnsi="GHEA Mariam"/>
        </w:rPr>
        <w:t>)</w:t>
      </w:r>
      <w:r>
        <w:rPr>
          <w:rFonts w:ascii="GHEA Mariam" w:hAnsi="GHEA Mariam"/>
          <w:lang w:val="hy-AM"/>
        </w:rPr>
        <w:t xml:space="preserve"> </w:t>
      </w:r>
      <w:r w:rsidRPr="0023338A">
        <w:rPr>
          <w:rFonts w:ascii="GHEA Mariam" w:hAnsi="GHEA Mariam"/>
        </w:rPr>
        <w:t>անշարժ գույքի կադաստր վարող մարմնին Հայաստանի Հանրապետության</w:t>
      </w:r>
      <w:r w:rsidRPr="0023338A">
        <w:rPr>
          <w:rFonts w:ascii="GHEA Mariam" w:hAnsi="GHEA Mariam"/>
          <w:lang w:val="hy-AM"/>
        </w:rPr>
        <w:t xml:space="preserve"> տեղական ինքնակառավարման մարմինների կողմից հարկման օբյեկտ համարվող անշարժ գույքի ընթացիկ հաշվառման </w:t>
      </w:r>
      <w:r w:rsidR="00F24A70">
        <w:rPr>
          <w:rFonts w:ascii="GHEA Mariam" w:hAnsi="GHEA Mariam"/>
          <w:lang w:val="hy-AM"/>
        </w:rPr>
        <w:t>մասին</w:t>
      </w:r>
      <w:r w:rsidRPr="0023338A">
        <w:rPr>
          <w:rFonts w:ascii="GHEA Mariam" w:hAnsi="GHEA Mariam"/>
          <w:lang w:val="hy-AM"/>
        </w:rPr>
        <w:t xml:space="preserve"> տեղեկություններ</w:t>
      </w:r>
      <w:r>
        <w:rPr>
          <w:rFonts w:ascii="GHEA Mariam" w:hAnsi="GHEA Mariam"/>
          <w:lang w:val="hy-AM"/>
        </w:rPr>
        <w:t xml:space="preserve"> ներկայացնելու </w:t>
      </w:r>
      <w:r w:rsidR="00830650">
        <w:rPr>
          <w:rFonts w:ascii="GHEA Mariam" w:hAnsi="GHEA Mariam"/>
          <w:lang w:val="hy-AM"/>
        </w:rPr>
        <w:t xml:space="preserve">Ձև 1 </w:t>
      </w:r>
      <w:r>
        <w:rPr>
          <w:rFonts w:ascii="GHEA Mariam" w:hAnsi="GHEA Mariam"/>
          <w:lang w:val="hy-AM"/>
        </w:rPr>
        <w:t>ձևատեսքը</w:t>
      </w:r>
      <w:r w:rsidR="002C208D">
        <w:rPr>
          <w:rFonts w:ascii="GHEA Mariam" w:hAnsi="GHEA Mariam"/>
          <w:lang w:val="hy-AM"/>
        </w:rPr>
        <w:t xml:space="preserve"> և դրա լրացման կարգը</w:t>
      </w:r>
      <w:r>
        <w:rPr>
          <w:rFonts w:ascii="GHEA Mariam" w:hAnsi="GHEA Mariam"/>
          <w:lang w:val="hy-AM"/>
        </w:rPr>
        <w:t xml:space="preserve">՝ համաձայն </w:t>
      </w:r>
      <w:r>
        <w:rPr>
          <w:rFonts w:ascii="GHEA Mariam" w:hAnsi="GHEA Mariam"/>
        </w:rPr>
        <w:t>N</w:t>
      </w:r>
      <w:r w:rsidR="00492C9D">
        <w:rPr>
          <w:rFonts w:ascii="GHEA Mariam" w:hAnsi="GHEA Mariam"/>
          <w:lang w:val="hy-AM"/>
        </w:rPr>
        <w:t xml:space="preserve"> 2 հավելվածի:</w:t>
      </w:r>
    </w:p>
    <w:p w:rsidR="00280EF8" w:rsidRPr="0023338A" w:rsidRDefault="00280EF8" w:rsidP="0023338A">
      <w:pPr>
        <w:pStyle w:val="NormalWeb"/>
        <w:spacing w:before="0" w:beforeAutospacing="0" w:after="0" w:afterAutospacing="0" w:line="276" w:lineRule="auto"/>
        <w:jc w:val="both"/>
        <w:rPr>
          <w:rFonts w:ascii="GHEA Mariam" w:hAnsi="GHEA Mariam"/>
        </w:rPr>
      </w:pPr>
      <w:r w:rsidRPr="0023338A">
        <w:rPr>
          <w:rFonts w:ascii="GHEA Mariam" w:hAnsi="GHEA Mariam"/>
        </w:rPr>
        <w:t xml:space="preserve">   2. Սույն որոշումն ուժի մեջ մտնելու օրվանից ուժը կորցրած </w:t>
      </w:r>
      <w:r w:rsidR="0023338A" w:rsidRPr="0023338A">
        <w:rPr>
          <w:rFonts w:ascii="GHEA Mariam" w:hAnsi="GHEA Mariam"/>
          <w:lang w:val="hy-AM"/>
        </w:rPr>
        <w:t>է</w:t>
      </w:r>
      <w:r w:rsidRPr="0023338A">
        <w:rPr>
          <w:rFonts w:ascii="GHEA Mariam" w:hAnsi="GHEA Mariam"/>
        </w:rPr>
        <w:t xml:space="preserve"> ճանաչվում</w:t>
      </w:r>
      <w:r w:rsidR="0023338A" w:rsidRPr="0023338A">
        <w:rPr>
          <w:rFonts w:ascii="GHEA Mariam" w:hAnsi="GHEA Mariam"/>
          <w:lang w:val="hy-AM"/>
        </w:rPr>
        <w:t xml:space="preserve"> Հայաստանի Հանրապետության կառավարության 2003 թվականի մայիսի 29-ի </w:t>
      </w:r>
      <w:r w:rsidR="00F24A70">
        <w:rPr>
          <w:rFonts w:ascii="GHEA Mariam" w:hAnsi="GHEA Mariam"/>
          <w:lang w:val="hy-AM"/>
        </w:rPr>
        <w:t xml:space="preserve">     </w:t>
      </w:r>
      <w:r w:rsidR="0023338A" w:rsidRPr="0023338A">
        <w:rPr>
          <w:rFonts w:ascii="GHEA Mariam" w:hAnsi="GHEA Mariam"/>
        </w:rPr>
        <w:t>N</w:t>
      </w:r>
      <w:r w:rsidR="0023338A" w:rsidRPr="0023338A">
        <w:rPr>
          <w:rFonts w:ascii="GHEA Mariam" w:hAnsi="GHEA Mariam"/>
          <w:lang w:val="hy-AM"/>
        </w:rPr>
        <w:t xml:space="preserve"> 680-Ն որոշումը։</w:t>
      </w:r>
      <w:r w:rsidRPr="0023338A">
        <w:rPr>
          <w:rFonts w:ascii="GHEA Mariam" w:hAnsi="GHEA Mariam"/>
        </w:rPr>
        <w:t xml:space="preserve"> </w:t>
      </w:r>
    </w:p>
    <w:p w:rsidR="00FE7429" w:rsidRPr="006F33B3" w:rsidRDefault="00280EF8" w:rsidP="006F33B3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rFonts w:ascii="GHEA Mariam" w:hAnsi="GHEA Mariam"/>
        </w:rPr>
      </w:pPr>
      <w:r w:rsidRPr="0023338A">
        <w:rPr>
          <w:rFonts w:ascii="GHEA Mariam" w:hAnsi="GHEA Mariam"/>
        </w:rPr>
        <w:t>Սույն որոշումն ուժի մեջ է մտնում 2021 թվականի հունվարի 1-ից:</w:t>
      </w:r>
      <w:r w:rsidRPr="0023338A">
        <w:rPr>
          <w:rFonts w:ascii="GHEA Mariam" w:hAnsi="GHEA Mariam" w:cs="Calibri"/>
        </w:rPr>
        <w:t xml:space="preserve">   </w:t>
      </w:r>
      <w:r w:rsidRPr="0023338A">
        <w:rPr>
          <w:rFonts w:ascii="Calibri" w:hAnsi="Calibri" w:cs="Calibri"/>
        </w:rPr>
        <w:t> </w:t>
      </w:r>
    </w:p>
    <w:p w:rsidR="006F33B3" w:rsidRDefault="006F33B3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F24A70" w:rsidRDefault="00F24A70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F24A70" w:rsidRDefault="00F24A70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F24A70" w:rsidRDefault="00F24A70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p w:rsidR="00F24A70" w:rsidRPr="006F33B3" w:rsidRDefault="00F24A70" w:rsidP="006F33B3">
      <w:pPr>
        <w:pStyle w:val="NormalWeb"/>
        <w:spacing w:before="0" w:beforeAutospacing="0" w:after="0" w:afterAutospacing="0" w:line="276" w:lineRule="auto"/>
        <w:ind w:left="540"/>
        <w:jc w:val="both"/>
        <w:rPr>
          <w:rFonts w:ascii="GHEA Mariam" w:hAnsi="GHEA Mari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E7429" w:rsidRPr="0023338A" w:rsidTr="004D5051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FE7429" w:rsidRPr="006F33B3" w:rsidRDefault="00FE7429" w:rsidP="00872638">
            <w:pPr>
              <w:spacing w:after="0" w:line="276" w:lineRule="auto"/>
              <w:jc w:val="right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                       Հավելված</w:t>
            </w:r>
            <w:r w:rsidR="006F33B3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6F33B3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N</w:t>
            </w:r>
            <w:r w:rsidR="006F33B3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  <w:lang w:val="hy-AM"/>
              </w:rPr>
              <w:t xml:space="preserve"> 1</w:t>
            </w:r>
          </w:p>
          <w:p w:rsidR="00FE7429" w:rsidRPr="0023338A" w:rsidRDefault="00FE7429" w:rsidP="00FE7429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ՀՀ կառավարության 20</w:t>
            </w:r>
            <w:r w:rsidR="00170F2D"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>20</w:t>
            </w: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թվականի</w:t>
            </w:r>
          </w:p>
          <w:p w:rsidR="00FE7429" w:rsidRPr="0023338A" w:rsidRDefault="00FE7429" w:rsidP="00FE7429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«                  » «   » N    -Ն որոշման</w:t>
            </w:r>
          </w:p>
          <w:p w:rsidR="00FE7429" w:rsidRPr="0023338A" w:rsidRDefault="00FE7429" w:rsidP="00FE7429">
            <w:pPr>
              <w:spacing w:after="0" w:line="276" w:lineRule="auto"/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</w:pPr>
          </w:p>
          <w:p w:rsidR="00FE7429" w:rsidRPr="0023338A" w:rsidRDefault="00FE7429" w:rsidP="0023338A">
            <w:pPr>
              <w:spacing w:after="0" w:line="276" w:lineRule="auto"/>
              <w:jc w:val="center"/>
              <w:rPr>
                <w:rFonts w:ascii="GHEA Mariam" w:eastAsia="Times New Roman" w:hAnsi="GHEA Mariam" w:cs="Times New Roman"/>
                <w:color w:val="000000"/>
                <w:sz w:val="20"/>
                <w:szCs w:val="20"/>
              </w:rPr>
            </w:pPr>
            <w:r w:rsidRPr="0023338A">
              <w:rPr>
                <w:rFonts w:ascii="GHEA Mariam" w:eastAsia="Times New Roman" w:hAnsi="GHEA Mariam" w:cs="Times New Roman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</w:t>
            </w:r>
          </w:p>
        </w:tc>
      </w:tr>
    </w:tbl>
    <w:p w:rsidR="00FE7429" w:rsidRPr="0023338A" w:rsidRDefault="00FE7429" w:rsidP="00FE7429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Calibri"/>
          <w:color w:val="000000"/>
        </w:rPr>
      </w:pPr>
    </w:p>
    <w:p w:rsidR="00FE7429" w:rsidRPr="0023338A" w:rsidRDefault="00FE7429" w:rsidP="00FE7429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</w:rPr>
      </w:pPr>
    </w:p>
    <w:p w:rsidR="00FE7429" w:rsidRPr="0023338A" w:rsidRDefault="00FE7429" w:rsidP="0023338A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23338A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Կ Ա Ր Գ</w:t>
      </w:r>
    </w:p>
    <w:p w:rsidR="00FE7429" w:rsidRDefault="00FE7429" w:rsidP="0023338A">
      <w:pPr>
        <w:shd w:val="clear" w:color="auto" w:fill="FFFFFF"/>
        <w:spacing w:after="0" w:line="276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23338A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23338A" w:rsidRPr="0023338A" w:rsidRDefault="0023338A" w:rsidP="0023338A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Calibri"/>
          <w:color w:val="000000"/>
          <w:sz w:val="24"/>
          <w:szCs w:val="24"/>
          <w:lang w:val="hy-AM"/>
        </w:rPr>
        <w:t xml:space="preserve">ԱՆՇԱՐԺ ԳՈՒՅՔԻ ԿԱԴԱՍՏՐ ՎԱՐՈՂ ՄԱՐՄՆԻՆ </w:t>
      </w:r>
      <w:r w:rsidRPr="0023338A">
        <w:rPr>
          <w:rFonts w:ascii="GHEA Mariam" w:hAnsi="GHEA Mariam"/>
          <w:sz w:val="24"/>
          <w:szCs w:val="24"/>
          <w:lang w:val="hy-AM"/>
        </w:rPr>
        <w:t xml:space="preserve">ՀԱՅԱՍՏԱՆԻ ՀԱՆՐԱՊԵՏՈՒԹՅԱՆ ՏԵՂԱԿԱՆ ԻՆՔՆԱԿԱՌԱՎԱՐՄԱՆ ՄԱՐՄԻՆՆԵՐԻ ԿՈՂՄԻՑ ՀԱՐԿՄԱՆ ՕԲՅԵԿՏ ՀԱՄԱՐՎՈՂ ԱՆՇԱՐԺ ԳՈՒՅՔԻ ԸՆԹԱՑԻԿ ՀԱՇՎԱՌՄԱՆ </w:t>
      </w:r>
      <w:r w:rsidR="00F24A70">
        <w:rPr>
          <w:rFonts w:ascii="GHEA Mariam" w:hAnsi="GHEA Mariam"/>
          <w:sz w:val="24"/>
          <w:szCs w:val="24"/>
          <w:lang w:val="hy-AM"/>
        </w:rPr>
        <w:t>ՄԱՍԻՆ</w:t>
      </w:r>
      <w:r w:rsidRPr="0023338A">
        <w:rPr>
          <w:rFonts w:ascii="GHEA Mariam" w:hAnsi="GHEA Mariam"/>
          <w:sz w:val="24"/>
          <w:szCs w:val="24"/>
          <w:lang w:val="hy-AM"/>
        </w:rPr>
        <w:t xml:space="preserve"> ՏԵՂԵԿՈՒԹՅՈՒՆՆԵՐ ՆԵՐԿԱՅԱՑՆԵԼՈՒ</w:t>
      </w:r>
    </w:p>
    <w:p w:rsidR="0023338A" w:rsidRDefault="0023338A" w:rsidP="0023338A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23338A" w:rsidRDefault="00EA321D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1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r w:rsidR="0023338A" w:rsidRPr="00EA321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Սույն կարգով սահմանվում է անշարժ գույքի կադաստր վարող մարմնին Հայաստանի Հաննրապետության տեղական ինքնակառավարման մարմինների կողմից </w:t>
      </w:r>
      <w:r w:rsidRPr="00EA321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հարկման օբյեկտ համարվող անշարժ գույքի ընթացիկ հաշվառման </w:t>
      </w:r>
      <w:r w:rsidR="00344F9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մասին</w:t>
      </w:r>
      <w:r w:rsidRPr="00EA321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տեղեկություններ ներկայացնելու կարգը։</w:t>
      </w:r>
    </w:p>
    <w:p w:rsidR="00EA321D" w:rsidRDefault="00947A34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2. </w:t>
      </w:r>
      <w:r w:rsidR="0083065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Հայաստանի Հանրապետության տեղական ինքնակառավարման մարմինները </w:t>
      </w:r>
      <w:r w:rsidR="007A351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մինչև յուրաքանչյուր ամսվա 15-ը </w:t>
      </w:r>
      <w:r w:rsidR="0083065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անշարժ գույքի կադաստր վարող մարմնին են ներկայացնում </w:t>
      </w:r>
      <w:r w:rsidR="007A351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նախորդ ամսվա ընթացքում </w:t>
      </w:r>
      <w:r w:rsidR="00344F9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նոր առաջացած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կամ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344F9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7A351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փոփոխություններ կրած հարկման օբյեկտ համարվող անշարժ գույքի ընթացիկ հաշվառման </w:t>
      </w:r>
      <w:r w:rsidR="00344F9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մասին</w:t>
      </w:r>
      <w:r w:rsidR="007A351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անհրաժեշտ տեղեկությունները։</w:t>
      </w:r>
    </w:p>
    <w:p w:rsidR="00947A34" w:rsidRDefault="00947A34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3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Սույն կարգի 2-րդ կետի կի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րառության իմաստով՝ նոր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առաջացած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կամ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փոփոխություններ կրած 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է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համարվում կադաստրային գնահատման հարկային տարվա հուլիսի 1-ի դրությամբ անշարժ գույքի կադաստր վարող մարմնում գրանցված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հաշվառված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տեղեկությունների համեմատությամբ մինչև հաջորդ կադաստր</w:t>
      </w:r>
      <w:r w:rsidR="00F06A8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ային </w:t>
      </w:r>
      <w:r w:rsidR="006C2A5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գնահատման </w:t>
      </w:r>
      <w:r w:rsidR="00F06A8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տարվա ավարտը նոր կառուցված</w:t>
      </w:r>
      <w:r w:rsidR="0085216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կամ</w:t>
      </w:r>
      <w:r w:rsidR="00F06A8C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նպատակային կամ գործառնական նշանակության, ավարտվածության աստիճանի, հարկայնության փոփոխություններ կրած, քանդված </w:t>
      </w:r>
      <w:r w:rsidR="006C2A5E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6C2A5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ոչնչացված</w:t>
      </w:r>
      <w:r w:rsidR="006C2A5E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հարկման օբյեկտ համարվող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այդ թվում Հայաստանի Հանրապետության հարկային օրենսգրքի 227-րդ հոդվածի 2-րդ մասի 8-րդ կետում նշված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անշարժ գույքը։ </w:t>
      </w:r>
    </w:p>
    <w:p w:rsidR="004606F0" w:rsidRDefault="004606F0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947A3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Սույն կարգի 2-րդ կետում նշված անշարժ գույքի ընթացիկ հաշվառման մասին տեղեկությունները ներկայացվում են համաձայն 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</w:rPr>
        <w:t>N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2 հավելվածի</w:t>
      </w:r>
      <w:r w:rsidR="00F06A8C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Ձև 1 ձևատեսքով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</w:p>
    <w:p w:rsidR="004606F0" w:rsidRDefault="005503D6" w:rsidP="004606F0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947A3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5</w:t>
      </w:r>
      <w:r w:rsidR="00B3321E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 w:rsidR="00B3321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Նոր առաջացած 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նոր կառուցված, այդ թվում՝ վերակառուցված, վերականգնված, արդիականացված, ուժեղացված, ընդլայնված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5034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</w:t>
      </w:r>
      <w:r w:rsidR="00B3321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հարկայն</w:t>
      </w:r>
      <w:r w:rsidR="005034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ության փոփոխություններ ունեցող </w:t>
      </w:r>
      <w:r w:rsidR="00B3321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անշարժ գույքի դեպքում սույն կարգի </w:t>
      </w:r>
      <w:r w:rsidR="00947A3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4</w:t>
      </w:r>
      <w:r w:rsidR="00B3321E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-րդ կետով սահմանված տեղեկությունների հետ միասին ներկայացվում է նաև 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 xml:space="preserve">Հայաստանի Հանրապետության տարածքում քարտեզագրության, գեոդեզիայի, չափագրման 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հաշվառման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և հողաշինարարության որակավորում ունեցող անձի կողմից՝ Հայաստանի Հանրապետության օրենսդրությամբ սահմանված կարգով կազմված շենքերի, շինությունների հատակագծեր</w:t>
      </w:r>
      <w:r w:rsidR="00947A3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ը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ու շինության բնութագ</w:t>
      </w:r>
      <w:r w:rsidR="00947A3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իրը։</w:t>
      </w:r>
    </w:p>
    <w:p w:rsidR="005503D6" w:rsidRDefault="004606F0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Ընդ որում՝ նոր </w:t>
      </w:r>
      <w:r w:rsidR="005034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առաջացած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5034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նոր կառուցված, 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այդ թվում՝ վերակառուցված, վերականգնված, արդիականացված, ուժեղացված, ընդլայնված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անշարժ գույքի կադաստրային գնահատություններ կատարելու նպատակով տեղեկությունները կարող են ներկայացվել նաև համաձայնեցված նախագծի և ավարտական ակտի </w:t>
      </w:r>
      <w:r w:rsidR="005034F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պատճենների</w:t>
      </w:r>
      <w:r w:rsidR="005503D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տեսքով։</w:t>
      </w:r>
    </w:p>
    <w:p w:rsidR="005034FA" w:rsidRPr="005034FA" w:rsidRDefault="005034FA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6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Նպատակային կամ գործառնական նշանակության փոփոխություններ ունեցող անշարժ գույքի դեպքում սույն կարգի 4-րդ կետով սահմանված տեղեկությունների հետ միասին ներկայացվում է նաև </w:t>
      </w:r>
      <w:r w:rsidR="007B600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այդ փոփոխությունների համար հիմք հանդիսացած իրավահաստատող փաստաթղթերը։</w:t>
      </w:r>
    </w:p>
    <w:p w:rsidR="002C208D" w:rsidRDefault="002C208D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7B600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7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Անշարժ գույքի կադաստր վարող մարմինը սույն կարգով ստացված տեղեկությունների հիման վրա իրականացնում է անշարժ գույքի կադաստրային գնահատություն, որոնց մասին տեղեկությունները սահմանված կարգով ներկայացվում են անշարժ գույքի հարկ վճարողների</w:t>
      </w:r>
      <w:r w:rsidR="004606F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 հաշվառող մարմնին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</w:p>
    <w:p w:rsidR="008B0CAA" w:rsidRDefault="008B0CAA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 w:rsidR="007B600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8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Տեղական ինքնակառավարման մարմինների կողմից սույն կարգով սահմանված տեղեկությունները անշարժ գույքի կադաստր վարող մարմնին ներկայացվում են թղթային և էլեկտրոնային տեսքով, իսկ փոխգործելիության </w:t>
      </w:r>
      <w:r w:rsidR="00872638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հարթակի գործարկումից հետո տեղեկությունները ներկայացվում են առցանց եղանակով։</w:t>
      </w:r>
    </w:p>
    <w:p w:rsidR="00872638" w:rsidRDefault="004606F0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872638" w:rsidRDefault="00872638" w:rsidP="00EA321D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A2E5D" w:rsidRDefault="00FA2E5D" w:rsidP="00872638">
      <w:pPr>
        <w:spacing w:after="0" w:line="276" w:lineRule="auto"/>
        <w:jc w:val="right"/>
        <w:rPr>
          <w:rFonts w:ascii="GHEA Mariam" w:eastAsia="Times New Roman" w:hAnsi="GHEA Mariam" w:cs="Times New Roman"/>
          <w:bCs/>
          <w:color w:val="000000"/>
          <w:sz w:val="20"/>
          <w:szCs w:val="20"/>
        </w:rPr>
        <w:sectPr w:rsidR="00FA2E5D" w:rsidSect="008F7EE3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872638" w:rsidRPr="006F33B3" w:rsidRDefault="00872638" w:rsidP="00872638">
      <w:pPr>
        <w:spacing w:after="0" w:line="276" w:lineRule="auto"/>
        <w:jc w:val="right"/>
        <w:rPr>
          <w:rFonts w:ascii="GHEA Mariam" w:eastAsia="Times New Roman" w:hAnsi="GHEA Mariam" w:cs="Times New Roman"/>
          <w:bCs/>
          <w:color w:val="000000"/>
          <w:sz w:val="20"/>
          <w:szCs w:val="20"/>
          <w:lang w:val="hy-AM"/>
        </w:rPr>
      </w:pPr>
      <w:r w:rsidRPr="0023338A">
        <w:rPr>
          <w:rFonts w:ascii="GHEA Mariam" w:eastAsia="Times New Roman" w:hAnsi="GHEA Mariam" w:cs="Times New Roman"/>
          <w:bCs/>
          <w:color w:val="000000"/>
          <w:sz w:val="20"/>
          <w:szCs w:val="20"/>
        </w:rPr>
        <w:lastRenderedPageBreak/>
        <w:t>Հավելված</w:t>
      </w:r>
      <w:r>
        <w:rPr>
          <w:rFonts w:ascii="GHEA Mariam" w:eastAsia="Times New Roman" w:hAnsi="GHEA Mariam" w:cs="Times New Roman"/>
          <w:bCs/>
          <w:color w:val="000000"/>
          <w:sz w:val="20"/>
          <w:szCs w:val="20"/>
          <w:lang w:val="hy-AM"/>
        </w:rPr>
        <w:t xml:space="preserve"> </w:t>
      </w:r>
      <w:r>
        <w:rPr>
          <w:rFonts w:ascii="GHEA Mariam" w:eastAsia="Times New Roman" w:hAnsi="GHEA Mariam" w:cs="Times New Roman"/>
          <w:bCs/>
          <w:color w:val="000000"/>
          <w:sz w:val="20"/>
          <w:szCs w:val="20"/>
        </w:rPr>
        <w:t>N</w:t>
      </w:r>
      <w:r>
        <w:rPr>
          <w:rFonts w:ascii="GHEA Mariam" w:eastAsia="Times New Roman" w:hAnsi="GHEA Mariam" w:cs="Times New Roman"/>
          <w:bCs/>
          <w:color w:val="000000"/>
          <w:sz w:val="20"/>
          <w:szCs w:val="20"/>
          <w:lang w:val="hy-AM"/>
        </w:rPr>
        <w:t xml:space="preserve"> 2</w:t>
      </w:r>
    </w:p>
    <w:p w:rsidR="00872638" w:rsidRPr="0023338A" w:rsidRDefault="00872638" w:rsidP="00FA2E5D">
      <w:pPr>
        <w:spacing w:after="0" w:line="276" w:lineRule="auto"/>
        <w:jc w:val="right"/>
        <w:rPr>
          <w:rFonts w:ascii="GHEA Mariam" w:eastAsia="Times New Roman" w:hAnsi="GHEA Mariam" w:cs="Times New Roman"/>
          <w:bCs/>
          <w:color w:val="000000"/>
          <w:sz w:val="20"/>
          <w:szCs w:val="20"/>
        </w:rPr>
      </w:pPr>
      <w:r w:rsidRPr="0023338A">
        <w:rPr>
          <w:rFonts w:ascii="GHEA Mariam" w:eastAsia="Times New Roman" w:hAnsi="GHEA Mariam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ՀՀ կառավարության 2020 թվականի</w:t>
      </w:r>
    </w:p>
    <w:p w:rsidR="00872638" w:rsidRDefault="00872638" w:rsidP="00E4547B">
      <w:pPr>
        <w:shd w:val="clear" w:color="auto" w:fill="FFFFFF"/>
        <w:spacing w:after="0" w:line="276" w:lineRule="auto"/>
        <w:jc w:val="right"/>
        <w:rPr>
          <w:rFonts w:ascii="GHEA Mariam" w:eastAsia="Times New Roman" w:hAnsi="GHEA Mariam" w:cs="Times New Roman"/>
          <w:bCs/>
          <w:color w:val="000000"/>
          <w:sz w:val="20"/>
          <w:szCs w:val="20"/>
        </w:rPr>
      </w:pPr>
      <w:r w:rsidRPr="0023338A">
        <w:rPr>
          <w:rFonts w:ascii="GHEA Mariam" w:eastAsia="Times New Roman" w:hAnsi="GHEA Mariam" w:cs="Times New Roman"/>
          <w:bCs/>
          <w:color w:val="000000"/>
          <w:sz w:val="20"/>
          <w:szCs w:val="20"/>
        </w:rPr>
        <w:t xml:space="preserve">                                                                                                        «                  » «   » N    -Ն որոշման</w:t>
      </w:r>
    </w:p>
    <w:p w:rsidR="00872638" w:rsidRDefault="00872638" w:rsidP="00872638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bCs/>
          <w:color w:val="000000"/>
          <w:sz w:val="20"/>
          <w:szCs w:val="20"/>
        </w:rPr>
      </w:pPr>
    </w:p>
    <w:p w:rsidR="00872638" w:rsidRDefault="00E4547B" w:rsidP="00E4547B">
      <w:pPr>
        <w:shd w:val="clear" w:color="auto" w:fill="FFFFFF"/>
        <w:spacing w:after="0" w:line="276" w:lineRule="auto"/>
        <w:jc w:val="right"/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  <w:t>Ձև 1</w:t>
      </w:r>
    </w:p>
    <w:p w:rsidR="00872638" w:rsidRDefault="00872638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  <w:t>ՏԵՂԵԿՈՒԹՅՈՒՆՆԵՐ</w:t>
      </w:r>
    </w:p>
    <w:p w:rsidR="00872638" w:rsidRDefault="00872638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bCs/>
          <w:color w:val="000000"/>
          <w:sz w:val="24"/>
          <w:szCs w:val="24"/>
          <w:lang w:val="hy-AM"/>
        </w:rPr>
      </w:pPr>
    </w:p>
    <w:p w:rsidR="00FA2E5D" w:rsidRDefault="00872638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թվականի </w:t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  <w:t xml:space="preserve">  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ամսվա ընթացքում </w:t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ՀՀ </w:t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  <w:t xml:space="preserve"> </w:t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մարզի </w:t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  <w:t xml:space="preserve"> </w:t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համայնքի 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 w:rsidR="00C77639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բնակավայրում</w:t>
      </w:r>
      <w:r w:rsidR="00FA2E5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FA2E5D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FA2E5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վարչական շրջանում</w:t>
      </w:r>
      <w:r w:rsidR="00FA2E5D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կադաստրային գնահատման 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վերագնահատման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տարվա հուլիսի 1-ի դրությամբ գրանցված 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հաշվառված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7E475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տվյալների համեմատությամբ, անշարժ գույքի հարկով հարկման օբյեկտ համարվող անշարժ գույքի ընթացիկ հաշվառման </w:t>
      </w:r>
      <w:r w:rsidR="00423C17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մասին</w:t>
      </w:r>
      <w:r w:rsidR="00FA2E5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</w:t>
      </w:r>
    </w:p>
    <w:p w:rsidR="00E4547B" w:rsidRDefault="00E4547B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tbl>
      <w:tblPr>
        <w:tblW w:w="16356" w:type="dxa"/>
        <w:tblInd w:w="-856" w:type="dxa"/>
        <w:tblLook w:val="04A0" w:firstRow="1" w:lastRow="0" w:firstColumn="1" w:lastColumn="0" w:noHBand="0" w:noVBand="1"/>
      </w:tblPr>
      <w:tblGrid>
        <w:gridCol w:w="513"/>
        <w:gridCol w:w="2030"/>
        <w:gridCol w:w="2293"/>
        <w:gridCol w:w="2030"/>
        <w:gridCol w:w="1588"/>
        <w:gridCol w:w="1784"/>
        <w:gridCol w:w="1727"/>
        <w:gridCol w:w="1727"/>
        <w:gridCol w:w="1476"/>
        <w:gridCol w:w="1188"/>
      </w:tblGrid>
      <w:tr w:rsidR="00E4547B" w:rsidRPr="00E4547B" w:rsidTr="00E4547B">
        <w:trPr>
          <w:trHeight w:val="43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հ/հ</w:t>
            </w:r>
          </w:p>
        </w:tc>
        <w:tc>
          <w:tcPr>
            <w:tcW w:w="6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Սեփականատիրոջ (համասեփականատիրոջ)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Անշարժ գույքի գտնվելու վայրի հասցեն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423C17" w:rsidRDefault="00423C17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Կադաստրային ծածկագիրը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423C17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Շինության նպատակային նշանակությունը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423C17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Շինության գործառնական նշանակությունը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F06A8C" w:rsidRDefault="00F06A8C" w:rsidP="00576046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 xml:space="preserve">Շինության քանդման </w:t>
            </w:r>
            <w:r w:rsidR="00576046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(</w:t>
            </w:r>
            <w:r w:rsidR="00576046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ոչնչացման</w:t>
            </w:r>
            <w:r w:rsidR="00576046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)</w:t>
            </w: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 xml:space="preserve"> ամսաթիվը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Լրացուցիչ նշումներ</w:t>
            </w:r>
          </w:p>
        </w:tc>
      </w:tr>
      <w:tr w:rsidR="00E4547B" w:rsidRPr="00E4547B" w:rsidTr="00E4547B">
        <w:trPr>
          <w:trHeight w:val="2280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AB4A6E" w:rsidRDefault="00F06A8C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>Ա</w:t>
            </w:r>
            <w:r w:rsidR="00E4547B"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նունը, ազգանունը և հայրանունը</w:t>
            </w:r>
            <w:r w:rsidR="00AB4A6E">
              <w:rPr>
                <w:rFonts w:ascii="GHEA Mariam" w:eastAsia="Times New Roman" w:hAnsi="GHEA Mariam" w:cs="Calibri"/>
                <w:color w:val="000000"/>
                <w:sz w:val="20"/>
                <w:szCs w:val="20"/>
                <w:lang w:val="hy-AM"/>
              </w:rPr>
              <w:t xml:space="preserve"> կամ կազմակերպության անվանումը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Ֆիզիկական անձի անձնագրի սերիան և համարը (կամ հանրային ծառայության համարանիշը) կամ կազմակերպության պետական ռեգիսրում գրանցման համարը (կամ ՀՎՀՀ-ն)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Ֆիզիկական անձի հաշվառման (գրանցման) կամ կազմակերպության գտնվելու վայրի հասցեն</w:t>
            </w: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</w:p>
        </w:tc>
      </w:tr>
      <w:tr w:rsidR="00E4547B" w:rsidRPr="00E4547B" w:rsidTr="00E4547B">
        <w:trPr>
          <w:trHeight w:val="36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47B" w:rsidRPr="00E4547B" w:rsidRDefault="00E4547B" w:rsidP="00E4547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</w:pPr>
            <w:r w:rsidRPr="00E4547B">
              <w:rPr>
                <w:rFonts w:ascii="GHEA Mariam" w:eastAsia="Times New Roman" w:hAnsi="GHEA Mariam" w:cs="Calibri"/>
                <w:color w:val="000000"/>
                <w:sz w:val="20"/>
                <w:szCs w:val="20"/>
              </w:rPr>
              <w:t>10</w:t>
            </w:r>
          </w:p>
        </w:tc>
      </w:tr>
    </w:tbl>
    <w:p w:rsidR="00E4547B" w:rsidRPr="00E4547B" w:rsidRDefault="00E4547B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A2E5D" w:rsidRDefault="00FA2E5D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FA2E5D" w:rsidRDefault="00E4547B" w:rsidP="00E4547B">
      <w:pPr>
        <w:shd w:val="clear" w:color="auto" w:fill="FFFFFF"/>
        <w:spacing w:after="0" w:line="276" w:lineRule="auto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մարզի</w:t>
      </w:r>
    </w:p>
    <w:p w:rsidR="00E4547B" w:rsidRPr="00E4547B" w:rsidRDefault="00E4547B" w:rsidP="00E4547B">
      <w:pPr>
        <w:shd w:val="clear" w:color="auto" w:fill="FFFFFF"/>
        <w:spacing w:after="0" w:line="276" w:lineRule="auto"/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  <w:t xml:space="preserve"> 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համայնքի ղեկավար                                       </w:t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                    </w:t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</w:p>
    <w:p w:rsidR="00FA2E5D" w:rsidRPr="00E4547B" w:rsidRDefault="00E4547B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16"/>
          <w:szCs w:val="16"/>
          <w:lang w:val="hy-AM"/>
        </w:rPr>
      </w:pPr>
      <w:r>
        <w:rPr>
          <w:rFonts w:ascii="GHEA Mariam" w:eastAsia="Times New Roman" w:hAnsi="GHEA Mariam" w:cs="Times New Roman"/>
          <w:color w:val="000000"/>
          <w:sz w:val="16"/>
          <w:szCs w:val="16"/>
          <w:lang w:val="hy-AM"/>
        </w:rPr>
        <w:t xml:space="preserve">                                                                                                            </w:t>
      </w:r>
      <w:r>
        <w:rPr>
          <w:rFonts w:ascii="GHEA Mariam" w:eastAsia="Times New Roman" w:hAnsi="GHEA Mariam" w:cs="Times New Roman"/>
          <w:color w:val="000000"/>
          <w:sz w:val="16"/>
          <w:szCs w:val="16"/>
        </w:rPr>
        <w:t>(</w:t>
      </w:r>
      <w:r>
        <w:rPr>
          <w:rFonts w:ascii="GHEA Mariam" w:eastAsia="Times New Roman" w:hAnsi="GHEA Mariam" w:cs="Times New Roman"/>
          <w:color w:val="000000"/>
          <w:sz w:val="16"/>
          <w:szCs w:val="16"/>
          <w:lang w:val="hy-AM"/>
        </w:rPr>
        <w:t>ստորագրությունը</w:t>
      </w:r>
      <w:r>
        <w:rPr>
          <w:rFonts w:ascii="GHEA Mariam" w:eastAsia="Times New Roman" w:hAnsi="GHEA Mariam" w:cs="Times New Roman"/>
          <w:color w:val="000000"/>
          <w:sz w:val="16"/>
          <w:szCs w:val="16"/>
        </w:rPr>
        <w:t>)</w:t>
      </w:r>
      <w:r>
        <w:rPr>
          <w:rFonts w:ascii="GHEA Mariam" w:eastAsia="Times New Roman" w:hAnsi="GHEA Mariam" w:cs="Times New Roman"/>
          <w:color w:val="000000"/>
          <w:sz w:val="16"/>
          <w:szCs w:val="16"/>
          <w:lang w:val="hy-AM"/>
        </w:rPr>
        <w:t xml:space="preserve">                                                             </w:t>
      </w:r>
      <w:r>
        <w:rPr>
          <w:rFonts w:ascii="GHEA Mariam" w:eastAsia="Times New Roman" w:hAnsi="GHEA Mariam" w:cs="Times New Roman"/>
          <w:color w:val="000000"/>
          <w:sz w:val="16"/>
          <w:szCs w:val="16"/>
        </w:rPr>
        <w:t>(</w:t>
      </w:r>
      <w:r>
        <w:rPr>
          <w:rFonts w:ascii="GHEA Mariam" w:eastAsia="Times New Roman" w:hAnsi="GHEA Mariam" w:cs="Times New Roman"/>
          <w:color w:val="000000"/>
          <w:sz w:val="16"/>
          <w:szCs w:val="16"/>
          <w:lang w:val="hy-AM"/>
        </w:rPr>
        <w:t>անունը, ազգանունը</w:t>
      </w:r>
      <w:r>
        <w:rPr>
          <w:rFonts w:ascii="GHEA Mariam" w:eastAsia="Times New Roman" w:hAnsi="GHEA Mariam" w:cs="Times New Roman"/>
          <w:color w:val="000000"/>
          <w:sz w:val="16"/>
          <w:szCs w:val="16"/>
        </w:rPr>
        <w:t>)</w:t>
      </w:r>
    </w:p>
    <w:p w:rsidR="00E4547B" w:rsidRDefault="00E4547B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A2E5D" w:rsidRPr="00FA2E5D" w:rsidRDefault="00E4547B" w:rsidP="00E4547B">
      <w:pPr>
        <w:shd w:val="clear" w:color="auto" w:fill="FFFFFF"/>
        <w:spacing w:after="0" w:line="276" w:lineRule="auto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sectPr w:rsidR="00FA2E5D" w:rsidRPr="00FA2E5D" w:rsidSect="007E4754">
          <w:pgSz w:w="16840" w:h="11907" w:orient="landscape" w:code="9"/>
          <w:pgMar w:top="568" w:right="1134" w:bottom="568" w:left="1134" w:header="720" w:footer="720" w:gutter="0"/>
          <w:cols w:space="720"/>
          <w:docGrid w:linePitch="360"/>
        </w:sect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«</w:t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 «</w:t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» 20 </w:t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</w:r>
      <w:r>
        <w:rPr>
          <w:rFonts w:ascii="GHEA Mariam" w:eastAsia="Times New Roman" w:hAnsi="GHEA Mariam" w:cs="Times New Roman"/>
          <w:color w:val="000000"/>
          <w:sz w:val="24"/>
          <w:szCs w:val="24"/>
          <w:u w:val="single"/>
          <w:lang w:val="hy-AM"/>
        </w:rPr>
        <w:tab/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թ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                                                       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 w:rsidR="00FA2E5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            </w:t>
      </w:r>
    </w:p>
    <w:p w:rsidR="00E4547B" w:rsidRDefault="00E4547B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lastRenderedPageBreak/>
        <w:t>ՁԵՎ 1 ՏԵՂԵԿՈՒԹՅՈՒՆՆԵՐԻ ԼՐԱՑՄԱՆ ԿԱՐԳԸ</w:t>
      </w:r>
    </w:p>
    <w:p w:rsidR="00E4547B" w:rsidRDefault="00E4547B" w:rsidP="00872638">
      <w:pPr>
        <w:shd w:val="clear" w:color="auto" w:fill="FFFFFF"/>
        <w:spacing w:after="0" w:line="276" w:lineRule="auto"/>
        <w:jc w:val="center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FA2E5D" w:rsidRDefault="00A11823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r w:rsidRPr="00A11823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Տեղեկությունների 1-ին սյունակում լրացվում ներկայացվող տեղեկության հերթական համարը։</w:t>
      </w:r>
      <w:r w:rsidR="00E4547B" w:rsidRPr="00A11823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</w:p>
    <w:p w:rsidR="00AB4A6E" w:rsidRDefault="00AB4A6E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  2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.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Տեղեկությունների 2-րդ սյունակում լրացվում է անշարժ գույքի սեփականատիրոջ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համասեփականատիրոջ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ֆիզիկական անձի անունը, ազգանունը և հայրանունը կամ կազմակերպության անվանումը։</w:t>
      </w:r>
    </w:p>
    <w:p w:rsidR="00AB4A6E" w:rsidRDefault="00AB4A6E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3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Տեղեկությունների 3-րդ սյունակում լրացվում է անշարժ գույքի սեփականատիրոջ 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համասեփականատիրոջ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ֆիզիկական անձի անձնագրի սերիան և համարը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կամ հանրային ծառայության համարանիշը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կամ կազմակերպության պետական ռեգիստրում գրանցման համարը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կամ ՀՎՀՀ-ն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</w:p>
    <w:p w:rsidR="00AB4A6E" w:rsidRDefault="00AB4A6E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4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Տեղեկությունների 4-րդ սյունակում լրացվում է սեփականատիրոջ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համասեփականատիրոջ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ֆիզիկական անձի հաշվառման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գրանցման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կամ կազմակերպության գտնվելու վայրի հասցեն։</w:t>
      </w:r>
    </w:p>
    <w:p w:rsidR="00E54920" w:rsidRDefault="00AB4A6E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5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Տեղեկությունների 5-րդ սյունակում լրացվում է </w:t>
      </w:r>
      <w:r w:rsidR="00E5492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անշարժ գույքի գտնվելու վայրի հասցեն՝ մարզ, համայնք, բնակավայր </w:t>
      </w:r>
      <w:r w:rsidR="00E54920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E5492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վարչական շրջան</w:t>
      </w:r>
      <w:r w:rsidR="00E54920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E54920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փողոց, շենք և շինություն։</w:t>
      </w:r>
    </w:p>
    <w:p w:rsidR="00E54920" w:rsidRDefault="00E54920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6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</w:t>
      </w:r>
      <w:r w:rsidR="00B36F5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Տեղեկությունների 6-րդ սյունակում լրացվում է անշարժ գույքի կադաստրային ծածկագիրը։</w:t>
      </w:r>
    </w:p>
    <w:p w:rsidR="00E54920" w:rsidRDefault="00E54920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7</w:t>
      </w:r>
      <w:r>
        <w:rPr>
          <w:rFonts w:ascii="Cambria Math" w:eastAsia="Times New Roman" w:hAnsi="Cambria Math" w:cs="Times New Roman"/>
          <w:color w:val="000000"/>
          <w:sz w:val="24"/>
          <w:szCs w:val="24"/>
        </w:rPr>
        <w:t>.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 </w:t>
      </w:r>
      <w:r w:rsidR="00B36F5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Տեղեկությունների 7-րդ սյունակում լրացվում է շինության նպատակային նշանակությունը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</w:p>
    <w:p w:rsidR="000E2742" w:rsidRDefault="000E2742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8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r w:rsidR="00B36F51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Տեղեկությունների 8-րդ սյունակում լրացվում է շինության գործառնական նշանակությունը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։</w:t>
      </w:r>
    </w:p>
    <w:p w:rsidR="00B36F51" w:rsidRDefault="00B36F51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9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Տեղեկությունների 9-րդ սյունակում լրացվում է շինության քանդման 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ոչնչացման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ամսաթիվը։ Եթե շինությունը քանդված 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ոչնչացված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չէ, ապա տեղեկությունների 9-րդ սյունակը չի լրացվում։</w:t>
      </w:r>
    </w:p>
    <w:p w:rsidR="00B36F51" w:rsidRPr="00B36F51" w:rsidRDefault="00B36F51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  10</w:t>
      </w: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.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Տեղեկությունների 10-րդ սյունակում </w:t>
      </w:r>
      <w:r w:rsidR="0068598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նոր կառուցված</w:t>
      </w:r>
      <w:r w:rsidR="00596FA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կամ նոր առաջացած</w:t>
      </w:r>
      <w:r w:rsidR="0068598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շինութունների դեպքում 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լրացվում է «</w:t>
      </w:r>
      <w:r w:rsidR="0068598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նոր կառուցված</w:t>
      </w:r>
      <w:r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</w:t>
      </w:r>
      <w:r w:rsidR="00685984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շինության նպատակային, գործառնական նշանակությունների, ավարտվածության աստիճանի, հարկայնության փոփոխությունների դեպքում՝ համապատասխանաբար «նպատակային նշանակության փոփոխություն», «գործառնական նշանակության փոփոխություն», «ավարտվածության աստիճանի փոփոխություն», «հարկայնության փոփոխություն»</w:t>
      </w:r>
      <w:r w:rsidR="00596FA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, իսկ քան</w:t>
      </w:r>
      <w:r w:rsidR="00492C9D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դ</w:t>
      </w:r>
      <w:r w:rsidR="00596FA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ված 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ոչնչացված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596FA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 xml:space="preserve"> շինության դեպքում՝ «քանդված 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</w:rPr>
        <w:t>(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ոչնչացված</w:t>
      </w:r>
      <w:r w:rsidR="00576046">
        <w:rPr>
          <w:rFonts w:ascii="GHEA Mariam" w:eastAsia="Times New Roman" w:hAnsi="GHEA Mariam" w:cs="Times New Roman"/>
          <w:color w:val="000000"/>
          <w:sz w:val="24"/>
          <w:szCs w:val="24"/>
        </w:rPr>
        <w:t>)</w:t>
      </w:r>
      <w:r w:rsidR="00596FAA"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  <w:t>»։</w:t>
      </w:r>
    </w:p>
    <w:p w:rsidR="000E2742" w:rsidRDefault="000E2742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0E2742" w:rsidRDefault="000E2742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  <w:bookmarkStart w:id="0" w:name="_GoBack"/>
      <w:bookmarkEnd w:id="0"/>
    </w:p>
    <w:p w:rsidR="000E2742" w:rsidRDefault="000E2742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0E2742" w:rsidRDefault="000E2742" w:rsidP="00A11823">
      <w:pPr>
        <w:shd w:val="clear" w:color="auto" w:fill="FFFFFF"/>
        <w:spacing w:after="0" w:line="276" w:lineRule="auto"/>
        <w:jc w:val="both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sectPr w:rsidR="000E2742" w:rsidSect="00596FA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7D3" w:rsidRDefault="00B457D3" w:rsidP="00FE7429">
      <w:pPr>
        <w:spacing w:after="0" w:line="240" w:lineRule="auto"/>
      </w:pPr>
      <w:r>
        <w:separator/>
      </w:r>
    </w:p>
  </w:endnote>
  <w:endnote w:type="continuationSeparator" w:id="0">
    <w:p w:rsidR="00B457D3" w:rsidRDefault="00B457D3" w:rsidP="00F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7D3" w:rsidRDefault="00B457D3" w:rsidP="00FE7429">
      <w:pPr>
        <w:spacing w:after="0" w:line="240" w:lineRule="auto"/>
      </w:pPr>
      <w:r>
        <w:separator/>
      </w:r>
    </w:p>
  </w:footnote>
  <w:footnote w:type="continuationSeparator" w:id="0">
    <w:p w:rsidR="00B457D3" w:rsidRDefault="00B457D3" w:rsidP="00FE7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C1A"/>
    <w:multiLevelType w:val="hybridMultilevel"/>
    <w:tmpl w:val="194490E6"/>
    <w:lvl w:ilvl="0" w:tplc="EBBAFC2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28487ED2"/>
    <w:multiLevelType w:val="hybridMultilevel"/>
    <w:tmpl w:val="E0F8091C"/>
    <w:lvl w:ilvl="0" w:tplc="F1D8B4B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447D33B3"/>
    <w:multiLevelType w:val="hybridMultilevel"/>
    <w:tmpl w:val="335CA9BC"/>
    <w:lvl w:ilvl="0" w:tplc="D408B4A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5B272D77"/>
    <w:multiLevelType w:val="hybridMultilevel"/>
    <w:tmpl w:val="F4644926"/>
    <w:lvl w:ilvl="0" w:tplc="726881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69193196"/>
    <w:multiLevelType w:val="hybridMultilevel"/>
    <w:tmpl w:val="4FD4DD46"/>
    <w:lvl w:ilvl="0" w:tplc="80CED6A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8A77F4C"/>
    <w:multiLevelType w:val="hybridMultilevel"/>
    <w:tmpl w:val="C2FE24A6"/>
    <w:lvl w:ilvl="0" w:tplc="2E9A2138">
      <w:start w:val="4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30"/>
    <w:rsid w:val="000645C7"/>
    <w:rsid w:val="00083E47"/>
    <w:rsid w:val="000A4519"/>
    <w:rsid w:val="000D586D"/>
    <w:rsid w:val="000E2742"/>
    <w:rsid w:val="00152341"/>
    <w:rsid w:val="00170F2D"/>
    <w:rsid w:val="00177286"/>
    <w:rsid w:val="001838AF"/>
    <w:rsid w:val="001853CE"/>
    <w:rsid w:val="00186F5A"/>
    <w:rsid w:val="001A25D9"/>
    <w:rsid w:val="00211244"/>
    <w:rsid w:val="00217DDF"/>
    <w:rsid w:val="00221868"/>
    <w:rsid w:val="0022192A"/>
    <w:rsid w:val="002304D7"/>
    <w:rsid w:val="0023338A"/>
    <w:rsid w:val="00233858"/>
    <w:rsid w:val="00262D30"/>
    <w:rsid w:val="00280EF8"/>
    <w:rsid w:val="00292012"/>
    <w:rsid w:val="002A7210"/>
    <w:rsid w:val="002B37E4"/>
    <w:rsid w:val="002C208D"/>
    <w:rsid w:val="00314A63"/>
    <w:rsid w:val="003244D9"/>
    <w:rsid w:val="00325973"/>
    <w:rsid w:val="00344F94"/>
    <w:rsid w:val="003546E8"/>
    <w:rsid w:val="003D651C"/>
    <w:rsid w:val="003E2153"/>
    <w:rsid w:val="003E41F3"/>
    <w:rsid w:val="00405CBB"/>
    <w:rsid w:val="0041598A"/>
    <w:rsid w:val="00423C17"/>
    <w:rsid w:val="00437F0B"/>
    <w:rsid w:val="004606F0"/>
    <w:rsid w:val="00485219"/>
    <w:rsid w:val="00492C9D"/>
    <w:rsid w:val="004D55AC"/>
    <w:rsid w:val="005034FA"/>
    <w:rsid w:val="00521A6E"/>
    <w:rsid w:val="00522DDC"/>
    <w:rsid w:val="005503D6"/>
    <w:rsid w:val="00556278"/>
    <w:rsid w:val="00576046"/>
    <w:rsid w:val="00577593"/>
    <w:rsid w:val="00590B99"/>
    <w:rsid w:val="00596FAA"/>
    <w:rsid w:val="005B2736"/>
    <w:rsid w:val="005B369B"/>
    <w:rsid w:val="005D4C54"/>
    <w:rsid w:val="0064350C"/>
    <w:rsid w:val="00672B56"/>
    <w:rsid w:val="00685984"/>
    <w:rsid w:val="00696F41"/>
    <w:rsid w:val="006C2A5E"/>
    <w:rsid w:val="006D7583"/>
    <w:rsid w:val="006F33B3"/>
    <w:rsid w:val="0070623B"/>
    <w:rsid w:val="00736D0B"/>
    <w:rsid w:val="00737FFC"/>
    <w:rsid w:val="007A3516"/>
    <w:rsid w:val="007B6006"/>
    <w:rsid w:val="007E4754"/>
    <w:rsid w:val="00817EB3"/>
    <w:rsid w:val="0082790F"/>
    <w:rsid w:val="00830650"/>
    <w:rsid w:val="00852168"/>
    <w:rsid w:val="00872638"/>
    <w:rsid w:val="00893EB4"/>
    <w:rsid w:val="008B0CAA"/>
    <w:rsid w:val="008F7EE3"/>
    <w:rsid w:val="0092446C"/>
    <w:rsid w:val="0092569C"/>
    <w:rsid w:val="009425B8"/>
    <w:rsid w:val="00947A34"/>
    <w:rsid w:val="00976D18"/>
    <w:rsid w:val="00A060E1"/>
    <w:rsid w:val="00A07D24"/>
    <w:rsid w:val="00A11823"/>
    <w:rsid w:val="00A26A53"/>
    <w:rsid w:val="00A57C1D"/>
    <w:rsid w:val="00A77DB6"/>
    <w:rsid w:val="00A9228D"/>
    <w:rsid w:val="00AB4A6E"/>
    <w:rsid w:val="00AF12D8"/>
    <w:rsid w:val="00B12344"/>
    <w:rsid w:val="00B17D08"/>
    <w:rsid w:val="00B3321E"/>
    <w:rsid w:val="00B36F51"/>
    <w:rsid w:val="00B457D3"/>
    <w:rsid w:val="00B52ECA"/>
    <w:rsid w:val="00BA0A82"/>
    <w:rsid w:val="00BF3F5A"/>
    <w:rsid w:val="00C00162"/>
    <w:rsid w:val="00C0730A"/>
    <w:rsid w:val="00C34C52"/>
    <w:rsid w:val="00C77639"/>
    <w:rsid w:val="00C811A2"/>
    <w:rsid w:val="00C853B2"/>
    <w:rsid w:val="00CA1CF0"/>
    <w:rsid w:val="00CA6534"/>
    <w:rsid w:val="00CB2EB1"/>
    <w:rsid w:val="00CC6DF0"/>
    <w:rsid w:val="00CD1BDB"/>
    <w:rsid w:val="00D05362"/>
    <w:rsid w:val="00D2255F"/>
    <w:rsid w:val="00D51FD9"/>
    <w:rsid w:val="00D53571"/>
    <w:rsid w:val="00D75A85"/>
    <w:rsid w:val="00D91D74"/>
    <w:rsid w:val="00DC52A8"/>
    <w:rsid w:val="00DF776F"/>
    <w:rsid w:val="00E4547B"/>
    <w:rsid w:val="00E54920"/>
    <w:rsid w:val="00E620F4"/>
    <w:rsid w:val="00E753A0"/>
    <w:rsid w:val="00EA321D"/>
    <w:rsid w:val="00EC07B0"/>
    <w:rsid w:val="00EE0DEA"/>
    <w:rsid w:val="00EE2EC9"/>
    <w:rsid w:val="00EF0BA0"/>
    <w:rsid w:val="00F041AF"/>
    <w:rsid w:val="00F06A8C"/>
    <w:rsid w:val="00F1599D"/>
    <w:rsid w:val="00F24A70"/>
    <w:rsid w:val="00F35940"/>
    <w:rsid w:val="00F81FE0"/>
    <w:rsid w:val="00FA2E5D"/>
    <w:rsid w:val="00FA7D13"/>
    <w:rsid w:val="00FD0222"/>
    <w:rsid w:val="00FE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42CA6"/>
  <w15:chartTrackingRefBased/>
  <w15:docId w15:val="{92E7C57D-CFD3-4FCA-BD13-D5573D03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7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74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429"/>
  </w:style>
  <w:style w:type="paragraph" w:styleId="Footer">
    <w:name w:val="footer"/>
    <w:basedOn w:val="Normal"/>
    <w:link w:val="FooterChar"/>
    <w:uiPriority w:val="99"/>
    <w:unhideWhenUsed/>
    <w:rsid w:val="00F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429"/>
  </w:style>
  <w:style w:type="paragraph" w:styleId="BalloonText">
    <w:name w:val="Balloon Text"/>
    <w:basedOn w:val="Normal"/>
    <w:link w:val="BalloonTextChar"/>
    <w:uiPriority w:val="99"/>
    <w:semiHidden/>
    <w:unhideWhenUsed/>
    <w:rsid w:val="0073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0B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0730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0730A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33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Gnahatum</cp:lastModifiedBy>
  <cp:revision>55</cp:revision>
  <cp:lastPrinted>2020-10-12T06:53:00Z</cp:lastPrinted>
  <dcterms:created xsi:type="dcterms:W3CDTF">2019-05-16T11:18:00Z</dcterms:created>
  <dcterms:modified xsi:type="dcterms:W3CDTF">2020-10-13T12:10:00Z</dcterms:modified>
</cp:coreProperties>
</file>