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2" w:type="pct"/>
        <w:tblCellSpacing w:w="0" w:type="dxa"/>
        <w:tblCellMar>
          <w:left w:w="0" w:type="dxa"/>
          <w:right w:w="0" w:type="dxa"/>
        </w:tblCellMar>
        <w:tblLook w:val="04A0" w:firstRow="1" w:lastRow="0" w:firstColumn="1" w:lastColumn="0" w:noHBand="0" w:noVBand="1"/>
      </w:tblPr>
      <w:tblGrid>
        <w:gridCol w:w="4405"/>
        <w:gridCol w:w="5172"/>
      </w:tblGrid>
      <w:tr w:rsidR="001B2389" w:rsidRPr="00C30AFE" w:rsidTr="00FC356D">
        <w:trPr>
          <w:tblCellSpacing w:w="0" w:type="dxa"/>
        </w:trPr>
        <w:tc>
          <w:tcPr>
            <w:tcW w:w="4677" w:type="dxa"/>
            <w:vAlign w:val="center"/>
            <w:hideMark/>
          </w:tcPr>
          <w:p w:rsidR="001B2389" w:rsidRPr="00C30AFE" w:rsidRDefault="001B2389" w:rsidP="00FC356D">
            <w:pPr>
              <w:spacing w:after="0" w:line="240" w:lineRule="auto"/>
              <w:rPr>
                <w:rFonts w:ascii="GHEA Grapalat" w:eastAsia="Times New Roman" w:hAnsi="GHEA Grapalat" w:cs="Times New Roman"/>
                <w:sz w:val="20"/>
                <w:szCs w:val="20"/>
              </w:rPr>
            </w:pPr>
            <w:r w:rsidRPr="00C30AFE">
              <w:rPr>
                <w:rFonts w:ascii="GHEA Grapalat" w:eastAsia="Times New Roman" w:hAnsi="GHEA Grapalat" w:cs="Times New Roman"/>
                <w:sz w:val="24"/>
                <w:szCs w:val="24"/>
                <w:lang w:val="hy-AM"/>
              </w:rPr>
              <w:br w:type="page"/>
            </w:r>
            <w:r w:rsidRPr="00C30AFE">
              <w:rPr>
                <w:rFonts w:ascii="GHEA Grapalat" w:eastAsia="Times New Roman" w:hAnsi="GHEA Grapalat" w:cs="Times New Roman"/>
                <w:sz w:val="20"/>
                <w:szCs w:val="20"/>
                <w:lang w:val="hy-AM"/>
              </w:rPr>
              <w:br w:type="page"/>
            </w:r>
          </w:p>
        </w:tc>
        <w:tc>
          <w:tcPr>
            <w:tcW w:w="5389" w:type="dxa"/>
            <w:vAlign w:val="center"/>
            <w:hideMark/>
          </w:tcPr>
          <w:p w:rsidR="001B2389" w:rsidRPr="00C30AFE" w:rsidRDefault="001B2389" w:rsidP="00FC356D">
            <w:pPr>
              <w:spacing w:after="0" w:line="240" w:lineRule="auto"/>
              <w:jc w:val="center"/>
              <w:rPr>
                <w:rFonts w:ascii="GHEA Grapalat" w:eastAsia="Times New Roman" w:hAnsi="GHEA Grapalat" w:cs="Times New Roman"/>
                <w:sz w:val="20"/>
                <w:szCs w:val="20"/>
              </w:rPr>
            </w:pPr>
            <w:proofErr w:type="spellStart"/>
            <w:r w:rsidRPr="00C30AFE">
              <w:rPr>
                <w:rFonts w:ascii="GHEA Grapalat" w:eastAsia="Times New Roman" w:hAnsi="GHEA Grapalat" w:cs="Times New Roman"/>
                <w:b/>
                <w:bCs/>
                <w:sz w:val="20"/>
                <w:szCs w:val="20"/>
              </w:rPr>
              <w:t>Հավելված</w:t>
            </w:r>
            <w:proofErr w:type="spellEnd"/>
            <w:r w:rsidRPr="00C30AFE">
              <w:rPr>
                <w:rFonts w:ascii="GHEA Grapalat" w:eastAsia="Times New Roman" w:hAnsi="GHEA Grapalat" w:cs="Times New Roman"/>
                <w:b/>
                <w:bCs/>
                <w:sz w:val="20"/>
                <w:szCs w:val="20"/>
              </w:rPr>
              <w:br/>
              <w:t xml:space="preserve">ՀՀ </w:t>
            </w:r>
            <w:proofErr w:type="spellStart"/>
            <w:r w:rsidRPr="00C30AFE">
              <w:rPr>
                <w:rFonts w:ascii="GHEA Grapalat" w:eastAsia="Times New Roman" w:hAnsi="GHEA Grapalat" w:cs="Times New Roman"/>
                <w:b/>
                <w:bCs/>
                <w:sz w:val="20"/>
                <w:szCs w:val="20"/>
              </w:rPr>
              <w:t>կառավարության</w:t>
            </w:r>
            <w:proofErr w:type="spellEnd"/>
            <w:r w:rsidRPr="00C30AFE">
              <w:rPr>
                <w:rFonts w:ascii="GHEA Grapalat" w:eastAsia="Times New Roman" w:hAnsi="GHEA Grapalat" w:cs="Times New Roman"/>
                <w:b/>
                <w:bCs/>
                <w:sz w:val="20"/>
                <w:szCs w:val="20"/>
              </w:rPr>
              <w:t xml:space="preserve"> 20</w:t>
            </w:r>
            <w:r w:rsidRPr="00C30AFE">
              <w:rPr>
                <w:rFonts w:ascii="GHEA Grapalat" w:eastAsia="Times New Roman" w:hAnsi="GHEA Grapalat" w:cs="Times New Roman"/>
                <w:b/>
                <w:bCs/>
                <w:sz w:val="20"/>
                <w:szCs w:val="20"/>
                <w:lang w:val="hy-AM"/>
              </w:rPr>
              <w:t xml:space="preserve">20 </w:t>
            </w:r>
            <w:proofErr w:type="spellStart"/>
            <w:r w:rsidRPr="00C30AFE">
              <w:rPr>
                <w:rFonts w:ascii="GHEA Grapalat" w:eastAsia="Times New Roman" w:hAnsi="GHEA Grapalat" w:cs="Times New Roman"/>
                <w:b/>
                <w:bCs/>
                <w:sz w:val="20"/>
                <w:szCs w:val="20"/>
              </w:rPr>
              <w:t>թվականի</w:t>
            </w:r>
            <w:proofErr w:type="spellEnd"/>
            <w:r w:rsidRPr="00C30AFE">
              <w:rPr>
                <w:rFonts w:ascii="GHEA Grapalat" w:eastAsia="Times New Roman" w:hAnsi="GHEA Grapalat" w:cs="Times New Roman"/>
                <w:b/>
                <w:bCs/>
                <w:sz w:val="20"/>
                <w:szCs w:val="20"/>
              </w:rPr>
              <w:br/>
            </w:r>
            <w:r w:rsidRPr="00C30AFE">
              <w:rPr>
                <w:rFonts w:ascii="GHEA Grapalat" w:eastAsia="Times New Roman" w:hAnsi="GHEA Grapalat" w:cs="Times New Roman"/>
                <w:b/>
                <w:bCs/>
                <w:sz w:val="20"/>
                <w:szCs w:val="20"/>
                <w:lang w:val="hy-AM"/>
              </w:rPr>
              <w:t xml:space="preserve">սեպտեմբերի          </w:t>
            </w:r>
            <w:r w:rsidRPr="00C30AFE">
              <w:rPr>
                <w:rFonts w:ascii="Cambria Math" w:eastAsia="Times New Roman" w:hAnsi="Cambria Math" w:cs="Times New Roman"/>
                <w:b/>
                <w:bCs/>
                <w:sz w:val="20"/>
                <w:szCs w:val="20"/>
                <w:lang w:val="hy-AM"/>
              </w:rPr>
              <w:t xml:space="preserve"> </w:t>
            </w:r>
            <w:r w:rsidRPr="00C30AFE">
              <w:rPr>
                <w:rFonts w:ascii="GHEA Grapalat" w:eastAsia="Times New Roman" w:hAnsi="GHEA Grapalat" w:cs="Times New Roman"/>
                <w:b/>
                <w:bCs/>
                <w:sz w:val="20"/>
                <w:szCs w:val="20"/>
              </w:rPr>
              <w:t xml:space="preserve">-ի N </w:t>
            </w:r>
            <w:r w:rsidRPr="00C30AFE">
              <w:rPr>
                <w:rFonts w:ascii="GHEA Grapalat" w:eastAsia="Times New Roman" w:hAnsi="GHEA Grapalat" w:cs="Times New Roman"/>
                <w:b/>
                <w:bCs/>
                <w:sz w:val="20"/>
                <w:szCs w:val="20"/>
                <w:lang w:val="hy-AM"/>
              </w:rPr>
              <w:t xml:space="preserve">          </w:t>
            </w:r>
            <w:r w:rsidRPr="00C30AFE">
              <w:rPr>
                <w:rFonts w:ascii="GHEA Grapalat" w:eastAsia="Times New Roman" w:hAnsi="GHEA Grapalat" w:cs="Times New Roman"/>
                <w:b/>
                <w:bCs/>
                <w:sz w:val="20"/>
                <w:szCs w:val="20"/>
              </w:rPr>
              <w:t xml:space="preserve">-Ն </w:t>
            </w:r>
            <w:proofErr w:type="spellStart"/>
            <w:r w:rsidRPr="00C30AFE">
              <w:rPr>
                <w:rFonts w:ascii="GHEA Grapalat" w:eastAsia="Times New Roman" w:hAnsi="GHEA Grapalat" w:cs="Times New Roman"/>
                <w:b/>
                <w:bCs/>
                <w:sz w:val="20"/>
                <w:szCs w:val="20"/>
              </w:rPr>
              <w:t>որոշման</w:t>
            </w:r>
            <w:proofErr w:type="spellEnd"/>
          </w:p>
        </w:tc>
      </w:tr>
    </w:tbl>
    <w:p w:rsidR="001B2389" w:rsidRPr="00C30AFE" w:rsidRDefault="001B2389" w:rsidP="001B2389">
      <w:pPr>
        <w:spacing w:after="0" w:line="240" w:lineRule="auto"/>
        <w:ind w:firstLine="375"/>
        <w:jc w:val="center"/>
        <w:rPr>
          <w:rFonts w:ascii="GHEA Grapalat" w:eastAsia="Times New Roman" w:hAnsi="GHEA Grapalat" w:cs="Times New Roman"/>
          <w:b/>
          <w:bCs/>
          <w:sz w:val="20"/>
          <w:szCs w:val="20"/>
        </w:rPr>
      </w:pPr>
    </w:p>
    <w:p w:rsidR="001B2389" w:rsidRPr="00C30AFE" w:rsidRDefault="001B2389" w:rsidP="001B2389">
      <w:pPr>
        <w:spacing w:after="0" w:line="240" w:lineRule="auto"/>
        <w:ind w:firstLine="375"/>
        <w:jc w:val="center"/>
        <w:rPr>
          <w:rFonts w:ascii="GHEA Grapalat" w:eastAsia="Times New Roman" w:hAnsi="GHEA Grapalat" w:cs="Times New Roman"/>
          <w:sz w:val="24"/>
          <w:szCs w:val="24"/>
        </w:rPr>
      </w:pPr>
      <w:r w:rsidRPr="00C30AFE">
        <w:rPr>
          <w:rFonts w:ascii="GHEA Grapalat" w:eastAsia="Times New Roman" w:hAnsi="GHEA Grapalat" w:cs="Times New Roman"/>
          <w:b/>
          <w:bCs/>
          <w:sz w:val="24"/>
          <w:szCs w:val="24"/>
        </w:rPr>
        <w:t>Կ Ա Ր Գ</w:t>
      </w:r>
    </w:p>
    <w:p w:rsidR="001B2389" w:rsidRPr="00C30AFE" w:rsidRDefault="001B2389" w:rsidP="001B2389">
      <w:pPr>
        <w:spacing w:after="0" w:line="240" w:lineRule="auto"/>
        <w:ind w:firstLine="375"/>
        <w:jc w:val="center"/>
        <w:rPr>
          <w:rFonts w:ascii="GHEA Grapalat" w:eastAsia="Times New Roman" w:hAnsi="GHEA Grapalat" w:cs="Times New Roman"/>
          <w:sz w:val="24"/>
          <w:szCs w:val="24"/>
        </w:rPr>
      </w:pPr>
      <w:r w:rsidRPr="00C30AFE">
        <w:rPr>
          <w:rFonts w:ascii="Calibri" w:eastAsia="Times New Roman" w:hAnsi="Calibri" w:cs="Calibri"/>
          <w:sz w:val="24"/>
          <w:szCs w:val="24"/>
        </w:rPr>
        <w:t> </w:t>
      </w:r>
    </w:p>
    <w:p w:rsidR="001B2389" w:rsidRPr="00C30AFE" w:rsidRDefault="001B2389" w:rsidP="001B2389">
      <w:pPr>
        <w:spacing w:after="0" w:line="240" w:lineRule="auto"/>
        <w:ind w:firstLine="375"/>
        <w:jc w:val="center"/>
        <w:rPr>
          <w:rFonts w:ascii="GHEA Grapalat" w:eastAsia="Times New Roman" w:hAnsi="GHEA Grapalat" w:cs="Times New Roman"/>
          <w:sz w:val="24"/>
          <w:szCs w:val="24"/>
        </w:rPr>
      </w:pPr>
      <w:r w:rsidRPr="00C30AFE">
        <w:rPr>
          <w:rFonts w:ascii="GHEA Grapalat" w:eastAsia="Times New Roman" w:hAnsi="GHEA Grapalat" w:cs="Times New Roman"/>
          <w:b/>
          <w:bCs/>
          <w:sz w:val="24"/>
          <w:szCs w:val="24"/>
        </w:rPr>
        <w:t>ՀԱՆՐԱԿՐԹԱԿԱՆ ՈՒՍՈՒՄՆԱԿԱՆ ՀԱՍՏԱՏՈՒԹՅՈՒՆՆԵՐԻ</w:t>
      </w:r>
      <w:r w:rsidRPr="00C30AFE">
        <w:rPr>
          <w:rFonts w:ascii="GHEA Grapalat" w:eastAsia="Times New Roman" w:hAnsi="GHEA Grapalat" w:cs="Times New Roman"/>
          <w:b/>
          <w:bCs/>
          <w:sz w:val="24"/>
          <w:szCs w:val="24"/>
          <w:lang w:val="hy-AM"/>
        </w:rPr>
        <w:t>՝</w:t>
      </w:r>
      <w:r w:rsidRPr="00C30AFE">
        <w:rPr>
          <w:rFonts w:ascii="GHEA Grapalat" w:eastAsia="Times New Roman" w:hAnsi="GHEA Grapalat" w:cs="Times New Roman"/>
          <w:b/>
          <w:bCs/>
          <w:sz w:val="24"/>
          <w:szCs w:val="24"/>
        </w:rPr>
        <w:t xml:space="preserve"> </w:t>
      </w:r>
      <w:r w:rsidRPr="00C30AFE">
        <w:rPr>
          <w:rFonts w:ascii="GHEA Grapalat" w:eastAsia="Times New Roman" w:hAnsi="GHEA Grapalat" w:cs="Times New Roman"/>
          <w:b/>
          <w:bCs/>
          <w:sz w:val="24"/>
          <w:szCs w:val="24"/>
          <w:lang w:val="hy-AM"/>
        </w:rPr>
        <w:t>ՊԵՏԱԿԱՆ ԲՅՈՒՋԵԻ ՄԻՋՈՑՆԵՐԻՑ ՖԻՆԱՆՍԱՎՈՐՄԱՆ</w:t>
      </w:r>
    </w:p>
    <w:p w:rsidR="001B2389" w:rsidRPr="00C30AFE" w:rsidRDefault="001B2389" w:rsidP="001B2389">
      <w:pPr>
        <w:spacing w:after="0"/>
        <w:ind w:firstLine="375"/>
        <w:rPr>
          <w:rFonts w:ascii="GHEA Grapalat" w:eastAsia="Times New Roman" w:hAnsi="GHEA Grapalat" w:cs="Times New Roman"/>
          <w:b/>
          <w:bCs/>
          <w:i/>
          <w:iCs/>
          <w:sz w:val="24"/>
          <w:szCs w:val="24"/>
        </w:rPr>
      </w:pPr>
    </w:p>
    <w:p w:rsidR="001B2389" w:rsidRPr="00C30AFE" w:rsidRDefault="001B2389" w:rsidP="001B2389">
      <w:pPr>
        <w:spacing w:after="0"/>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1</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Սույն կարգով սահմանվում է պետական </w:t>
      </w:r>
      <w:r w:rsidRPr="00C30AFE">
        <w:rPr>
          <w:rFonts w:ascii="GHEA Grapalat" w:hAnsi="GHEA Grapalat" w:cs="Arial"/>
          <w:sz w:val="24"/>
          <w:szCs w:val="24"/>
          <w:lang w:val="hy-AM"/>
        </w:rPr>
        <w:t>հանրակրթական ուսումնական հաստատությունների</w:t>
      </w:r>
      <w:r w:rsidRPr="00C30AFE">
        <w:rPr>
          <w:rFonts w:ascii="GHEA Grapalat" w:eastAsia="Times New Roman" w:hAnsi="GHEA Grapalat" w:cs="Times New Roman"/>
          <w:sz w:val="24"/>
          <w:szCs w:val="24"/>
          <w:lang w:val="hy-AM"/>
        </w:rPr>
        <w:t xml:space="preserve"> (այսուհետև՝ հաստատություններ) պետական բյուջեի միջոցներից ֆինանսավորման գործընթացը։</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2</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Հաստատությունների ֆինանսավորումը իրականացվում է հիմք ընդունելով հետևյալ սկզբունքները․</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2</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1</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հաստատությունների ֆինանսավորումը պետք է ապահովի միասնական մոտեցում,</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2</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2</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հաստատությունների ֆինանսավորումը պետք է ստեղծի բավարար պայմաններ հաստատությունների բնականոն գործունեության համար։</w:t>
      </w:r>
    </w:p>
    <w:p w:rsidR="001B2389" w:rsidRPr="00C30AFE" w:rsidRDefault="001B2389" w:rsidP="001B2389">
      <w:pPr>
        <w:spacing w:after="0" w:line="240" w:lineRule="auto"/>
        <w:ind w:firstLine="375"/>
        <w:jc w:val="both"/>
        <w:rPr>
          <w:rFonts w:ascii="Cambria Math" w:eastAsia="Times New Roman" w:hAnsi="Cambria Math" w:cs="Times New Roman"/>
          <w:sz w:val="24"/>
          <w:szCs w:val="24"/>
          <w:lang w:val="hy-AM"/>
        </w:rPr>
      </w:pPr>
      <w:r w:rsidRPr="00C30AFE">
        <w:rPr>
          <w:rFonts w:ascii="GHEA Grapalat" w:eastAsia="Times New Roman" w:hAnsi="GHEA Grapalat" w:cs="Times New Roman"/>
          <w:sz w:val="24"/>
          <w:szCs w:val="24"/>
          <w:lang w:val="hy-AM"/>
        </w:rPr>
        <w:t>3</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Հաստատությունների ֆինանսավորումն իրականացվում է հետևյալ մեթոդաբանությամբ</w:t>
      </w:r>
      <w:r w:rsidRPr="00C30AFE">
        <w:rPr>
          <w:rFonts w:ascii="Cambria Math" w:eastAsia="Times New Roman" w:hAnsi="Cambria Math" w:cs="Times New Roman"/>
          <w:sz w:val="24"/>
          <w:szCs w:val="24"/>
          <w:lang w:val="hy-AM"/>
        </w:rPr>
        <w:t>․</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3</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1</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հաստատությունների ֆինանսավորումն իրականացվում է ըստ իրենց կողմից իրականացվող ուսումնական ծրագրերի,</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3․2․ անկախ հաստատությունների ենթակայության՝ ֆինանսավորումն իրականացվում է ընդհանուր բանաձևով։</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sz w:val="24"/>
          <w:szCs w:val="24"/>
          <w:lang w:val="hy-AM"/>
        </w:rPr>
        <w:t>4. Հաստատությունները ենթակա են ֆինանսավորման հետևյալ բանաձևերով՝</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Calibri" w:eastAsia="Times New Roman" w:hAnsi="Calibri" w:cs="Calibri"/>
          <w:sz w:val="24"/>
          <w:szCs w:val="24"/>
          <w:lang w:val="hy-AM"/>
        </w:rPr>
        <w:t> </w:t>
      </w:r>
    </w:p>
    <w:p w:rsidR="001B2389" w:rsidRPr="00C30AFE" w:rsidRDefault="001B2389" w:rsidP="001B2389">
      <w:pPr>
        <w:spacing w:after="0" w:line="240" w:lineRule="auto"/>
        <w:ind w:firstLine="375"/>
        <w:jc w:val="center"/>
        <w:rPr>
          <w:rFonts w:ascii="GHEA Grapalat" w:eastAsia="Times New Roman" w:hAnsi="GHEA Grapalat" w:cs="Times New Roman"/>
          <w:b/>
          <w:sz w:val="28"/>
          <w:szCs w:val="28"/>
          <w:lang w:val="hy-AM"/>
        </w:rPr>
      </w:pPr>
      <w:r w:rsidRPr="00C30AFE">
        <w:rPr>
          <w:rFonts w:ascii="GHEA Grapalat" w:eastAsia="Times New Roman" w:hAnsi="GHEA Grapalat" w:cs="GHEA Grapalat"/>
          <w:b/>
          <w:sz w:val="28"/>
          <w:szCs w:val="28"/>
          <w:lang w:val="hy-AM"/>
        </w:rPr>
        <w:t>Ըգ</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 xml:space="preserve">ՏԴթ </w:t>
      </w:r>
      <w:r w:rsidRPr="00C30AFE">
        <w:rPr>
          <w:rFonts w:ascii="GHEA Grapalat" w:eastAsia="Times New Roman" w:hAnsi="GHEA Grapalat" w:cs="Times New Roman"/>
          <w:b/>
          <w:sz w:val="28"/>
          <w:szCs w:val="28"/>
          <w:lang w:val="hy-AM"/>
        </w:rPr>
        <w:t>x</w:t>
      </w:r>
      <w:r w:rsidRPr="00C30AFE">
        <w:rPr>
          <w:rFonts w:ascii="GHEA Grapalat" w:eastAsia="Times New Roman" w:hAnsi="GHEA Grapalat" w:cs="GHEA Grapalat"/>
          <w:b/>
          <w:sz w:val="28"/>
          <w:szCs w:val="28"/>
          <w:lang w:val="hy-AM"/>
        </w:rPr>
        <w:t xml:space="preserve"> ՏԴր</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ՄԴթ</w:t>
      </w:r>
      <w:r w:rsidRPr="00C30AFE">
        <w:rPr>
          <w:rFonts w:ascii="GHEA Grapalat" w:eastAsia="Times New Roman" w:hAnsi="GHEA Grapalat" w:cs="Times New Roman"/>
          <w:b/>
          <w:sz w:val="28"/>
          <w:szCs w:val="28"/>
          <w:lang w:val="hy-AM"/>
        </w:rPr>
        <w:t xml:space="preserve"> x </w:t>
      </w:r>
      <w:r w:rsidRPr="00C30AFE">
        <w:rPr>
          <w:rFonts w:ascii="GHEA Grapalat" w:eastAsia="Times New Roman" w:hAnsi="GHEA Grapalat" w:cs="GHEA Grapalat"/>
          <w:b/>
          <w:sz w:val="28"/>
          <w:szCs w:val="28"/>
          <w:lang w:val="hy-AM"/>
        </w:rPr>
        <w:t>ՄԴր</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ԱԴթ</w:t>
      </w:r>
      <w:r w:rsidRPr="00C30AFE">
        <w:rPr>
          <w:rFonts w:ascii="GHEA Grapalat" w:eastAsia="Times New Roman" w:hAnsi="GHEA Grapalat" w:cs="Times New Roman"/>
          <w:b/>
          <w:sz w:val="28"/>
          <w:szCs w:val="28"/>
          <w:lang w:val="hy-AM"/>
        </w:rPr>
        <w:t xml:space="preserve"> x </w:t>
      </w:r>
      <w:r w:rsidRPr="00C30AFE">
        <w:rPr>
          <w:rFonts w:ascii="GHEA Grapalat" w:eastAsia="Times New Roman" w:hAnsi="GHEA Grapalat" w:cs="GHEA Grapalat"/>
          <w:b/>
          <w:sz w:val="28"/>
          <w:szCs w:val="28"/>
          <w:lang w:val="hy-AM"/>
        </w:rPr>
        <w:t>ԱԴր</w:t>
      </w:r>
      <w:r w:rsidRPr="00C30AFE">
        <w:rPr>
          <w:rFonts w:ascii="GHEA Grapalat" w:eastAsia="Times New Roman" w:hAnsi="GHEA Grapalat" w:cs="Times New Roman"/>
          <w:b/>
          <w:sz w:val="28"/>
          <w:szCs w:val="28"/>
          <w:lang w:val="hy-AM"/>
        </w:rPr>
        <w:t xml:space="preserve">) x </w:t>
      </w:r>
      <w:r w:rsidRPr="00C30AFE">
        <w:rPr>
          <w:rFonts w:ascii="GHEA Grapalat" w:eastAsia="Times New Roman" w:hAnsi="GHEA Grapalat" w:cs="GHEA Grapalat"/>
          <w:b/>
          <w:sz w:val="28"/>
          <w:szCs w:val="28"/>
          <w:lang w:val="hy-AM"/>
        </w:rPr>
        <w:t>ՈՒՆա</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ՏԴթ</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ՄԴթ</w:t>
      </w:r>
      <w:r w:rsidRPr="00C30AFE">
        <w:rPr>
          <w:rFonts w:ascii="GHEA Grapalat" w:eastAsia="Times New Roman" w:hAnsi="GHEA Grapalat" w:cs="Times New Roman"/>
          <w:b/>
          <w:sz w:val="28"/>
          <w:szCs w:val="28"/>
          <w:lang w:val="hy-AM"/>
        </w:rPr>
        <w:t xml:space="preserve"> + </w:t>
      </w:r>
      <w:r w:rsidRPr="00C30AFE">
        <w:rPr>
          <w:rFonts w:ascii="GHEA Grapalat" w:eastAsia="Times New Roman" w:hAnsi="GHEA Grapalat" w:cs="GHEA Grapalat"/>
          <w:b/>
          <w:sz w:val="28"/>
          <w:szCs w:val="28"/>
          <w:lang w:val="hy-AM"/>
        </w:rPr>
        <w:t>ԱԴթ</w:t>
      </w:r>
      <w:r w:rsidRPr="00C30AFE">
        <w:rPr>
          <w:rFonts w:ascii="GHEA Grapalat" w:eastAsia="Times New Roman" w:hAnsi="GHEA Grapalat" w:cs="Times New Roman"/>
          <w:b/>
          <w:sz w:val="28"/>
          <w:szCs w:val="28"/>
          <w:lang w:val="hy-AM"/>
        </w:rPr>
        <w:t xml:space="preserve">)  x ԴՂլ +ՄՄգ + ՈՈՒԱա + ՆԽթ x </w:t>
      </w:r>
      <w:r w:rsidRPr="00C30AFE">
        <w:rPr>
          <w:rFonts w:ascii="GHEA Grapalat" w:eastAsia="Times New Roman" w:hAnsi="GHEA Grapalat" w:cs="GHEA Grapalat"/>
          <w:b/>
          <w:sz w:val="28"/>
          <w:szCs w:val="28"/>
          <w:lang w:val="hy-AM"/>
        </w:rPr>
        <w:t>ՈՒՆա</w:t>
      </w:r>
      <w:r w:rsidRPr="00C30AFE">
        <w:rPr>
          <w:rFonts w:ascii="GHEA Grapalat" w:eastAsia="Times New Roman" w:hAnsi="GHEA Grapalat" w:cs="Times New Roman"/>
          <w:b/>
          <w:sz w:val="28"/>
          <w:szCs w:val="28"/>
          <w:lang w:val="hy-AM"/>
        </w:rPr>
        <w:t xml:space="preserve"> x 1,8) x 12 + ԲԼլ + Սգ+ Դգ+ </w:t>
      </w:r>
      <w:r w:rsidRPr="00C30AFE">
        <w:rPr>
          <w:rFonts w:ascii="GHEA Grapalat" w:eastAsia="Times New Roman" w:hAnsi="GHEA Grapalat" w:cs="GHEA Grapalat"/>
          <w:b/>
          <w:sz w:val="28"/>
          <w:szCs w:val="28"/>
          <w:lang w:val="hy-AM"/>
        </w:rPr>
        <w:t>ՀԴծ</w:t>
      </w:r>
      <w:r w:rsidRPr="00C30AFE">
        <w:rPr>
          <w:rFonts w:ascii="GHEA Grapalat" w:eastAsia="Times New Roman" w:hAnsi="GHEA Grapalat" w:cs="Times New Roman"/>
          <w:b/>
          <w:sz w:val="28"/>
          <w:szCs w:val="28"/>
          <w:lang w:val="hy-AM"/>
        </w:rPr>
        <w:t>,</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Calibri" w:eastAsia="Times New Roman" w:hAnsi="Calibri" w:cs="Calibri"/>
          <w:sz w:val="24"/>
          <w:szCs w:val="24"/>
          <w:lang w:val="hy-AM"/>
        </w:rPr>
        <w:t> </w:t>
      </w:r>
      <w:r w:rsidRPr="00C30AFE">
        <w:rPr>
          <w:rFonts w:ascii="GHEA Grapalat" w:eastAsia="Times New Roman" w:hAnsi="GHEA Grapalat" w:cs="Times New Roman"/>
          <w:sz w:val="24"/>
          <w:szCs w:val="24"/>
          <w:lang w:val="hy-AM"/>
        </w:rPr>
        <w:t>որտեղ`</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Ըգ</w:t>
      </w:r>
      <w:r w:rsidRPr="00C30AFE">
        <w:rPr>
          <w:rFonts w:ascii="GHEA Grapalat" w:eastAsia="Times New Roman" w:hAnsi="GHEA Grapalat" w:cs="Times New Roman"/>
          <w:sz w:val="24"/>
          <w:szCs w:val="24"/>
          <w:lang w:val="hy-AM"/>
        </w:rPr>
        <w:t>-ն մեկ տարվա համար հաստատությանը հատկացվող ընդամենը գումարն է,</w:t>
      </w:r>
    </w:p>
    <w:p w:rsidR="001B2389" w:rsidRPr="00C30AFE" w:rsidRDefault="001B2389" w:rsidP="001B2389">
      <w:pPr>
        <w:spacing w:after="0" w:line="240" w:lineRule="auto"/>
        <w:ind w:firstLine="375"/>
        <w:jc w:val="both"/>
        <w:rPr>
          <w:rFonts w:eastAsia="Times New Roman" w:cs="Times New Roman"/>
          <w:sz w:val="24"/>
          <w:szCs w:val="24"/>
          <w:lang w:val="hy-AM"/>
        </w:rPr>
      </w:pPr>
      <w:r w:rsidRPr="00C30AFE">
        <w:rPr>
          <w:rFonts w:ascii="GHEA Grapalat" w:eastAsia="Times New Roman" w:hAnsi="GHEA Grapalat" w:cs="Times New Roman"/>
          <w:b/>
          <w:sz w:val="24"/>
          <w:szCs w:val="24"/>
          <w:lang w:val="hy-AM"/>
        </w:rPr>
        <w:t>ՏԴթ</w:t>
      </w:r>
      <w:r w:rsidRPr="00C30AFE">
        <w:rPr>
          <w:rFonts w:ascii="GHEA Grapalat" w:eastAsia="Times New Roman" w:hAnsi="GHEA Grapalat" w:cs="Times New Roman"/>
          <w:sz w:val="24"/>
          <w:szCs w:val="24"/>
          <w:lang w:val="hy-AM"/>
        </w:rPr>
        <w:t xml:space="preserve">-ն, </w:t>
      </w:r>
      <w:r w:rsidRPr="00C30AFE">
        <w:rPr>
          <w:rFonts w:ascii="GHEA Grapalat" w:eastAsia="Times New Roman" w:hAnsi="GHEA Grapalat" w:cs="Times New Roman"/>
          <w:b/>
          <w:sz w:val="24"/>
          <w:szCs w:val="24"/>
          <w:lang w:val="hy-AM"/>
        </w:rPr>
        <w:t>ՄԴթ</w:t>
      </w:r>
      <w:r w:rsidRPr="00C30AFE">
        <w:rPr>
          <w:rFonts w:ascii="GHEA Grapalat" w:eastAsia="Times New Roman" w:hAnsi="GHEA Grapalat" w:cs="Times New Roman"/>
          <w:sz w:val="24"/>
          <w:szCs w:val="24"/>
          <w:lang w:val="hy-AM"/>
        </w:rPr>
        <w:t xml:space="preserve">-ն և </w:t>
      </w:r>
      <w:r w:rsidRPr="00C30AFE">
        <w:rPr>
          <w:rFonts w:ascii="GHEA Grapalat" w:eastAsia="Times New Roman" w:hAnsi="GHEA Grapalat" w:cs="Times New Roman"/>
          <w:b/>
          <w:sz w:val="24"/>
          <w:szCs w:val="24"/>
          <w:lang w:val="hy-AM"/>
        </w:rPr>
        <w:t>ԱԴթ</w:t>
      </w:r>
      <w:r w:rsidRPr="00C30AFE">
        <w:rPr>
          <w:rFonts w:ascii="GHEA Grapalat" w:eastAsia="Times New Roman" w:hAnsi="GHEA Grapalat" w:cs="Times New Roman"/>
          <w:sz w:val="24"/>
          <w:szCs w:val="24"/>
          <w:lang w:val="hy-AM"/>
        </w:rPr>
        <w:t>-ն համապատասխանաբար՝ տարրական, միջին և ավագ դպրոցներում դասարանների տարեկան միջին թիվն է, որը որոշվում է հետևյալ կերպ</w:t>
      </w:r>
      <w:r w:rsidRPr="00C30AFE">
        <w:rPr>
          <w:rFonts w:ascii="Cambria Math" w:eastAsia="Times New Roman" w:hAnsi="Cambria Math" w:cs="Times New Roman"/>
          <w:sz w:val="24"/>
          <w:szCs w:val="24"/>
          <w:lang w:val="hy-AM"/>
        </w:rPr>
        <w:t>․</w:t>
      </w:r>
      <w:r w:rsidRPr="00C30AFE">
        <w:rPr>
          <w:rFonts w:ascii="GHEA Grapalat" w:eastAsia="Times New Roman" w:hAnsi="GHEA Grapalat" w:cs="Times New Roman"/>
          <w:sz w:val="24"/>
          <w:szCs w:val="24"/>
          <w:lang w:val="hy-AM"/>
        </w:rPr>
        <w:t xml:space="preserve"> (</w:t>
      </w:r>
      <w:r w:rsidRPr="00C30AFE">
        <w:rPr>
          <w:rFonts w:ascii="GHEA Grapalat" w:eastAsia="Times New Roman" w:hAnsi="GHEA Grapalat" w:cs="Times New Roman"/>
          <w:i/>
          <w:sz w:val="24"/>
          <w:szCs w:val="24"/>
          <w:lang w:val="hy-AM"/>
        </w:rPr>
        <w:t>հունվար ամսվա դասարանների թիվ x 2 + սեպտեմբեր ամսվա դասարանների թիվ) / 3</w:t>
      </w:r>
      <w:r w:rsidRPr="00C30AFE">
        <w:rPr>
          <w:rFonts w:ascii="GHEA Grapalat" w:eastAsia="Times New Roman" w:hAnsi="GHEA Grapalat" w:cs="Times New Roman"/>
          <w:sz w:val="24"/>
          <w:szCs w:val="24"/>
          <w:lang w:val="hy-AM"/>
        </w:rPr>
        <w:t>), ընդ որում, հաշվարկման համար հիմք են հանդիսանում Հայաստանի Հանրապետության կառավարության կողմից սահմանված հանրակրթական հիմնական ծրագրեր իրականացնող պետական ուսումնական հաստատության դասարանների կազմավորման և լիազոր մարմնի հաստատած հանրակրթական ուսումնական հաստատություններում բազմահամակազմ դասարանի կազմավորման կարգերը,</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lastRenderedPageBreak/>
        <w:t>ՏԴր</w:t>
      </w:r>
      <w:r w:rsidRPr="00C30AFE">
        <w:rPr>
          <w:rFonts w:ascii="GHEA Grapalat" w:eastAsia="Times New Roman" w:hAnsi="GHEA Grapalat" w:cs="Times New Roman"/>
          <w:sz w:val="24"/>
          <w:szCs w:val="24"/>
          <w:lang w:val="hy-AM"/>
        </w:rPr>
        <w:t xml:space="preserve">-ն, </w:t>
      </w:r>
      <w:r w:rsidRPr="00C30AFE">
        <w:rPr>
          <w:rFonts w:ascii="GHEA Grapalat" w:eastAsia="Times New Roman" w:hAnsi="GHEA Grapalat" w:cs="Times New Roman"/>
          <w:b/>
          <w:sz w:val="24"/>
          <w:szCs w:val="24"/>
          <w:lang w:val="hy-AM"/>
        </w:rPr>
        <w:t>ՄԴր</w:t>
      </w:r>
      <w:r w:rsidRPr="00C30AFE">
        <w:rPr>
          <w:rFonts w:ascii="GHEA Grapalat" w:eastAsia="Times New Roman" w:hAnsi="GHEA Grapalat" w:cs="Times New Roman"/>
          <w:sz w:val="24"/>
          <w:szCs w:val="24"/>
          <w:lang w:val="hy-AM"/>
        </w:rPr>
        <w:t xml:space="preserve">-ն և </w:t>
      </w:r>
      <w:r w:rsidRPr="00C30AFE">
        <w:rPr>
          <w:rFonts w:ascii="GHEA Grapalat" w:eastAsia="Times New Roman" w:hAnsi="GHEA Grapalat" w:cs="Times New Roman"/>
          <w:b/>
          <w:sz w:val="24"/>
          <w:szCs w:val="24"/>
          <w:lang w:val="hy-AM"/>
        </w:rPr>
        <w:t>ԱԴր</w:t>
      </w:r>
      <w:r w:rsidRPr="00C30AFE">
        <w:rPr>
          <w:rFonts w:ascii="GHEA Grapalat" w:eastAsia="Times New Roman" w:hAnsi="GHEA Grapalat" w:cs="Times New Roman"/>
          <w:sz w:val="24"/>
          <w:szCs w:val="24"/>
          <w:lang w:val="hy-AM"/>
        </w:rPr>
        <w:t>-ն համապատասխանաբար՝ տարրական, միջին և ավագ դպրոցներում միջին հաշվով մեկ դասարանին ընկնող ուսուցչական դրույքների թիվն է՝ համաձայն հաստատության օրինակելի ուսումնական պլանի,</w:t>
      </w:r>
    </w:p>
    <w:p w:rsidR="001B2389" w:rsidRPr="00C30AFE" w:rsidRDefault="001B2389" w:rsidP="001B2389">
      <w:pPr>
        <w:shd w:val="clear" w:color="auto" w:fill="FFFFFF"/>
        <w:spacing w:after="0" w:line="276"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ՈՒՆա</w:t>
      </w:r>
      <w:r w:rsidRPr="00C30AFE">
        <w:rPr>
          <w:rFonts w:ascii="GHEA Grapalat" w:eastAsia="Times New Roman" w:hAnsi="GHEA Grapalat" w:cs="Times New Roman"/>
          <w:sz w:val="24"/>
          <w:szCs w:val="24"/>
          <w:lang w:val="hy-AM"/>
        </w:rPr>
        <w:t>-ն ուսուցչական մեկ դրույքի համար սահմանված նվազագույն աշխատավարձի չափն է, ընդ որում, 2020 թվականի հունվարի 1-ի դրությամբ տվյալ ուսումնական հաստատությունում ուսուցչական մեկ դրույքի համար սահմանված աշխատավարձը բարձր լինելու դեպքում ենթակա է պահպանման,</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ԴՂլ-</w:t>
      </w:r>
      <w:r w:rsidRPr="00C30AFE">
        <w:rPr>
          <w:rFonts w:ascii="GHEA Grapalat" w:eastAsia="Times New Roman" w:hAnsi="GHEA Grapalat" w:cs="Times New Roman"/>
          <w:sz w:val="24"/>
          <w:szCs w:val="24"/>
          <w:lang w:val="hy-AM"/>
        </w:rPr>
        <w:t xml:space="preserve">ն դասղեկության համար նախատեսվող լրավճարն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ՄՄգ</w:t>
      </w:r>
      <w:r w:rsidRPr="00C30AFE">
        <w:rPr>
          <w:rFonts w:ascii="GHEA Grapalat" w:eastAsia="Times New Roman" w:hAnsi="GHEA Grapalat" w:cs="Times New Roman"/>
          <w:sz w:val="24"/>
          <w:szCs w:val="24"/>
          <w:lang w:val="hy-AM"/>
        </w:rPr>
        <w:t xml:space="preserve">-ն մեթոդ միավորման ղեկավարին տրվող լրավճարն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ՈՈՒԱա-</w:t>
      </w:r>
      <w:r w:rsidRPr="00C30AFE">
        <w:rPr>
          <w:rFonts w:ascii="GHEA Grapalat" w:eastAsia="Times New Roman" w:hAnsi="GHEA Grapalat" w:cs="Times New Roman"/>
          <w:sz w:val="24"/>
          <w:szCs w:val="24"/>
          <w:lang w:val="hy-AM"/>
        </w:rPr>
        <w:t>ն</w:t>
      </w:r>
      <w:r w:rsidRPr="00C30AFE">
        <w:rPr>
          <w:rFonts w:ascii="GHEA Grapalat" w:eastAsia="Times New Roman" w:hAnsi="GHEA Grapalat" w:cs="Times New Roman"/>
          <w:b/>
          <w:sz w:val="24"/>
          <w:szCs w:val="24"/>
          <w:lang w:val="hy-AM"/>
        </w:rPr>
        <w:t xml:space="preserve"> </w:t>
      </w:r>
      <w:r w:rsidRPr="00C30AFE">
        <w:rPr>
          <w:rFonts w:ascii="GHEA Grapalat" w:eastAsia="Times New Roman" w:hAnsi="GHEA Grapalat" w:cs="Times New Roman"/>
          <w:sz w:val="24"/>
          <w:szCs w:val="24"/>
          <w:lang w:val="hy-AM"/>
        </w:rPr>
        <w:t xml:space="preserve">վարչական անձնակազմի ամսական աշխատավարձն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ՆԽթ</w:t>
      </w:r>
      <w:r w:rsidRPr="00C30AFE">
        <w:rPr>
          <w:rFonts w:ascii="GHEA Grapalat" w:eastAsia="Times New Roman" w:hAnsi="GHEA Grapalat" w:cs="Times New Roman"/>
          <w:sz w:val="24"/>
          <w:szCs w:val="24"/>
          <w:lang w:val="hy-AM"/>
        </w:rPr>
        <w:t xml:space="preserve">-ն նախակրթարանի խմբակների թիվն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ԲԼլ</w:t>
      </w:r>
      <w:r w:rsidRPr="00C30AFE">
        <w:rPr>
          <w:rFonts w:ascii="GHEA Grapalat" w:eastAsia="Times New Roman" w:hAnsi="GHEA Grapalat" w:cs="Times New Roman"/>
          <w:sz w:val="24"/>
          <w:szCs w:val="24"/>
          <w:lang w:val="hy-AM"/>
        </w:rPr>
        <w:t xml:space="preserve">-ն բարձրլեռնային բնակավայրերի շարքում դասվող բնակավայրերում տեղակայված պետական ուսումնական հաստատությունների աշխատողներին բարձրլեռնային վայրերում աշխատելու համար տրվող լրավճարն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Սգ-</w:t>
      </w:r>
      <w:r w:rsidRPr="00C30AFE">
        <w:rPr>
          <w:rFonts w:ascii="GHEA Grapalat" w:eastAsia="Times New Roman" w:hAnsi="GHEA Grapalat" w:cs="Times New Roman"/>
          <w:sz w:val="24"/>
          <w:szCs w:val="24"/>
          <w:lang w:val="hy-AM"/>
        </w:rPr>
        <w:t xml:space="preserve">ն սննդի գումարն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Դգ-</w:t>
      </w:r>
      <w:r w:rsidRPr="00C30AFE">
        <w:rPr>
          <w:rFonts w:ascii="GHEA Grapalat" w:eastAsia="Times New Roman" w:hAnsi="GHEA Grapalat" w:cs="GHEA Grapalat"/>
          <w:sz w:val="24"/>
          <w:szCs w:val="24"/>
          <w:lang w:val="hy-AM"/>
        </w:rPr>
        <w:t xml:space="preserve">ն </w:t>
      </w:r>
      <w:r w:rsidRPr="00C30AFE">
        <w:rPr>
          <w:rFonts w:ascii="GHEA Grapalat" w:eastAsia="Times New Roman" w:hAnsi="GHEA Grapalat" w:cs="Times New Roman"/>
          <w:sz w:val="24"/>
          <w:szCs w:val="24"/>
          <w:lang w:val="hy-AM"/>
        </w:rPr>
        <w:t xml:space="preserve">դասագրքերի ներդրումային գումարների փոխհատուցման չափն է, </w:t>
      </w:r>
    </w:p>
    <w:p w:rsidR="001B2389" w:rsidRPr="00C30AFE" w:rsidRDefault="001B2389" w:rsidP="001B2389">
      <w:pPr>
        <w:spacing w:after="0" w:line="240" w:lineRule="auto"/>
        <w:ind w:firstLine="375"/>
        <w:jc w:val="both"/>
        <w:rPr>
          <w:rFonts w:ascii="GHEA Grapalat" w:eastAsia="Times New Roman" w:hAnsi="GHEA Grapalat" w:cs="Times New Roman"/>
          <w:sz w:val="24"/>
          <w:szCs w:val="24"/>
          <w:lang w:val="hy-AM"/>
        </w:rPr>
      </w:pPr>
      <w:r w:rsidRPr="00C30AFE">
        <w:rPr>
          <w:rFonts w:ascii="GHEA Grapalat" w:eastAsia="Times New Roman" w:hAnsi="GHEA Grapalat" w:cs="Times New Roman"/>
          <w:b/>
          <w:sz w:val="24"/>
          <w:szCs w:val="24"/>
          <w:lang w:val="hy-AM"/>
        </w:rPr>
        <w:t>ՀԴծ-</w:t>
      </w:r>
      <w:r w:rsidRPr="00C30AFE">
        <w:rPr>
          <w:rFonts w:ascii="GHEA Grapalat" w:eastAsia="Times New Roman" w:hAnsi="GHEA Grapalat" w:cs="Times New Roman"/>
          <w:sz w:val="24"/>
          <w:szCs w:val="24"/>
          <w:lang w:val="hy-AM"/>
        </w:rPr>
        <w:t xml:space="preserve">ն համադպրոցական ծախսն է։ </w:t>
      </w:r>
    </w:p>
    <w:p w:rsidR="001B2389" w:rsidRPr="00C30AFE" w:rsidRDefault="001B2389" w:rsidP="001B2389">
      <w:pPr>
        <w:shd w:val="clear" w:color="auto" w:fill="FFFFFF"/>
        <w:spacing w:after="0" w:line="276" w:lineRule="auto"/>
        <w:ind w:firstLine="375"/>
        <w:jc w:val="both"/>
        <w:rPr>
          <w:rFonts w:ascii="GHEA Grapalat" w:eastAsia="Times New Roman" w:hAnsi="GHEA Grapalat" w:cs="Times New Roman"/>
          <w:sz w:val="24"/>
          <w:szCs w:val="24"/>
          <w:lang w:val="hy-AM"/>
        </w:rPr>
      </w:pPr>
      <w:r w:rsidRPr="00C30AFE">
        <w:rPr>
          <w:rFonts w:ascii="GHEA Grapalat" w:hAnsi="GHEA Grapalat" w:cs="Arial"/>
          <w:sz w:val="24"/>
          <w:szCs w:val="24"/>
          <w:lang w:val="hy-AM"/>
        </w:rPr>
        <w:t>5</w:t>
      </w:r>
      <w:r w:rsidRPr="00C30AFE">
        <w:rPr>
          <w:rFonts w:ascii="Cambria Math" w:hAnsi="Cambria Math" w:cs="Arial"/>
          <w:sz w:val="24"/>
          <w:szCs w:val="24"/>
          <w:lang w:val="hy-AM"/>
        </w:rPr>
        <w:t>․</w:t>
      </w:r>
      <w:r w:rsidRPr="00C30AFE">
        <w:rPr>
          <w:rFonts w:ascii="GHEA Grapalat" w:hAnsi="GHEA Grapalat" w:cs="Arial"/>
          <w:sz w:val="24"/>
          <w:szCs w:val="24"/>
          <w:lang w:val="hy-AM"/>
        </w:rPr>
        <w:t xml:space="preserve"> Սույն կարգի 4-րդ կետում նշված բանաձևի</w:t>
      </w:r>
      <w:r w:rsidR="00DA5836" w:rsidRPr="00DA5836">
        <w:rPr>
          <w:rFonts w:ascii="GHEA Grapalat" w:hAnsi="GHEA Grapalat" w:cs="Arial"/>
          <w:sz w:val="24"/>
          <w:szCs w:val="24"/>
          <w:lang w:val="hy-AM"/>
        </w:rPr>
        <w:t xml:space="preserve"> </w:t>
      </w:r>
      <w:bookmarkStart w:id="0" w:name="_GoBack"/>
      <w:bookmarkEnd w:id="0"/>
      <w:r w:rsidRPr="00C30AFE">
        <w:rPr>
          <w:rFonts w:ascii="GHEA Grapalat" w:hAnsi="GHEA Grapalat" w:cs="Arial"/>
          <w:sz w:val="24"/>
          <w:szCs w:val="24"/>
          <w:lang w:val="hy-AM"/>
        </w:rPr>
        <w:t xml:space="preserve">բաղադրիչների </w:t>
      </w:r>
      <w:r w:rsidRPr="00C30AFE">
        <w:rPr>
          <w:rFonts w:ascii="GHEA Grapalat" w:eastAsia="Times New Roman" w:hAnsi="GHEA Grapalat" w:cs="Times New Roman"/>
          <w:sz w:val="24"/>
          <w:szCs w:val="24"/>
          <w:lang w:val="hy-AM"/>
        </w:rPr>
        <w:t xml:space="preserve">գործակիցներն ու  նորմատիվները հաստատում է Հայաստանի Հանրապետության կրթության, գիտության, մշակույթի և սպորտի նախարարը՝ </w:t>
      </w:r>
      <w:r w:rsidRPr="00C30AFE">
        <w:rPr>
          <w:rFonts w:ascii="GHEA Grapalat" w:hAnsi="GHEA Grapalat" w:cs="Arial"/>
          <w:sz w:val="24"/>
          <w:szCs w:val="24"/>
          <w:lang w:val="hy-AM"/>
        </w:rPr>
        <w:t>«Հանրակրթության մասին»  Հայաստանի Հանրապետության օրենքի 30-րդ հոդվածի 1-ին մասի 26</w:t>
      </w:r>
      <w:r w:rsidRPr="00C30AFE">
        <w:rPr>
          <w:rFonts w:ascii="Cambria Math" w:hAnsi="Cambria Math" w:cs="Arial"/>
          <w:sz w:val="24"/>
          <w:szCs w:val="24"/>
          <w:lang w:val="hy-AM"/>
        </w:rPr>
        <w:t>․</w:t>
      </w:r>
      <w:r w:rsidRPr="00C30AFE">
        <w:rPr>
          <w:rFonts w:ascii="GHEA Grapalat" w:hAnsi="GHEA Grapalat" w:cs="Arial"/>
          <w:sz w:val="24"/>
          <w:szCs w:val="24"/>
          <w:lang w:val="hy-AM"/>
        </w:rPr>
        <w:t xml:space="preserve">12-րդ կետին համապատասխան, ընդ որում՝ </w:t>
      </w:r>
      <w:r w:rsidRPr="00C30AFE">
        <w:rPr>
          <w:rFonts w:ascii="GHEA Grapalat" w:eastAsia="Times New Roman" w:hAnsi="GHEA Grapalat" w:cs="Times New Roman"/>
          <w:sz w:val="24"/>
          <w:szCs w:val="24"/>
          <w:lang w:val="hy-AM"/>
        </w:rPr>
        <w:t xml:space="preserve">2020 թվականի հունվարի 1-ի դրությամբ տվյալ ուսումնական հաստատությունում ուսուցչական մեկ դրույքի համար սահմանված աշխատավարձը </w:t>
      </w:r>
      <w:r w:rsidRPr="00C30AFE">
        <w:rPr>
          <w:rFonts w:ascii="GHEA Grapalat" w:eastAsia="Times New Roman" w:hAnsi="GHEA Grapalat" w:cs="Times New Roman"/>
          <w:b/>
          <w:sz w:val="24"/>
          <w:szCs w:val="24"/>
          <w:lang w:val="hy-AM"/>
        </w:rPr>
        <w:t>ՈՒՆա</w:t>
      </w:r>
      <w:r w:rsidRPr="00C30AFE">
        <w:rPr>
          <w:rFonts w:ascii="GHEA Grapalat" w:eastAsia="Times New Roman" w:hAnsi="GHEA Grapalat" w:cs="Times New Roman"/>
          <w:sz w:val="24"/>
          <w:szCs w:val="24"/>
          <w:lang w:val="hy-AM"/>
        </w:rPr>
        <w:t>-ից (ուսուցչական մեկ դրույքի համար սահմանված նվազագույն աշխատավարձից) բարձր լինելու դեպքում ենթակա է պահպանման, իսկ ոչ ուսուցչական անձնակազմի ամսական աշխատավարձը ՈՈՒԱա-ից (ոչ ուսուցչական անձնակազմի ամսական աշխատավարձից) բարձր լինելու դեպքում այն կարող է պահպանվել՝ լիազոր մարմնի որոշմամբ։</w:t>
      </w:r>
    </w:p>
    <w:p w:rsidR="001B2389" w:rsidRPr="00C30AFE" w:rsidRDefault="001B2389" w:rsidP="001B2389">
      <w:pPr>
        <w:spacing w:after="0" w:line="240" w:lineRule="auto"/>
        <w:ind w:firstLine="375"/>
        <w:jc w:val="both"/>
        <w:rPr>
          <w:rFonts w:ascii="GHEA Grapalat" w:hAnsi="GHEA Grapalat" w:cs="Arial"/>
          <w:sz w:val="24"/>
          <w:szCs w:val="24"/>
          <w:lang w:val="hy-AM"/>
        </w:rPr>
      </w:pPr>
      <w:r w:rsidRPr="00C30AFE">
        <w:rPr>
          <w:rFonts w:ascii="GHEA Grapalat" w:hAnsi="GHEA Grapalat" w:cs="Arial"/>
          <w:sz w:val="24"/>
          <w:szCs w:val="24"/>
          <w:lang w:val="hy-AM"/>
        </w:rPr>
        <w:t>6</w:t>
      </w:r>
      <w:r w:rsidRPr="00C30AFE">
        <w:rPr>
          <w:rFonts w:ascii="Cambria Math" w:hAnsi="Cambria Math" w:cs="Arial"/>
          <w:sz w:val="24"/>
          <w:szCs w:val="24"/>
          <w:lang w:val="hy-AM"/>
        </w:rPr>
        <w:t>․</w:t>
      </w:r>
      <w:r w:rsidRPr="00C30AFE">
        <w:rPr>
          <w:rFonts w:ascii="GHEA Grapalat" w:hAnsi="GHEA Grapalat" w:cs="Arial"/>
          <w:sz w:val="24"/>
          <w:szCs w:val="24"/>
          <w:lang w:val="hy-AM"/>
        </w:rPr>
        <w:t xml:space="preserve"> Թույլատրվում է Հայաստանի Հանրապետության կրթության, գիտության, մշակույթի և սպորտի նախարարին ու Հայաստանի Հանրապետության մարզպետներին (Երևանի քաղաքապետին), անհրաժեշտության դեպքում, հաշվի առնելով ուսումնական</w:t>
      </w:r>
      <w:r w:rsidRPr="00C30AFE">
        <w:rPr>
          <w:rFonts w:ascii="GHEA Grapalat" w:hAnsi="GHEA Grapalat"/>
          <w:sz w:val="24"/>
          <w:szCs w:val="24"/>
          <w:shd w:val="clear" w:color="auto" w:fill="FFFFFF"/>
          <w:lang w:val="hy-AM"/>
        </w:rPr>
        <w:t xml:space="preserve"> հաստատության առանձնահատկությունները, տվյալ բյուջետային տարվա համար «1146. Հանրակրթության ծրագիր» ծրագրի համապատասխան միջոցառումներով իրենց հատկացված գումարների շրջանակներում իրենց ենթակայության պետական հանրակրթական ուսումնական հաստատությունների հատկացումներում կատարել վերաբաշխումներ՝ նկատի ունենալով, վերաբաշխվող գումարը տվյալ հանրակրթական ուսումնական հաստատությանը սույն որոշմամբ հատկացվող գումարի 10 տոկոսը գերազանցելու կամ վերաբաշխումը կապիտալ բնույթի ծախսերին ուղղվելու դեպքում </w:t>
      </w:r>
      <w:r w:rsidRPr="00C30AFE">
        <w:rPr>
          <w:rFonts w:ascii="GHEA Grapalat" w:hAnsi="GHEA Grapalat"/>
          <w:sz w:val="24"/>
          <w:szCs w:val="24"/>
          <w:shd w:val="clear" w:color="auto" w:fill="FFFFFF"/>
          <w:lang w:val="hy-AM"/>
        </w:rPr>
        <w:lastRenderedPageBreak/>
        <w:t>վերաբաշխումը պետք է համաձայնեցվի ՀՀ կրթության, գիտության, մշակույթի և սպորտի նախարարության հետ (բացառությամբ ՀՀ կրթության, գիտության, մշակույթի և սպորտի նախարարության)</w:t>
      </w:r>
      <w:r w:rsidRPr="00C30AFE">
        <w:rPr>
          <w:rFonts w:ascii="GHEA Grapalat" w:hAnsi="GHEA Grapalat" w:cs="Arial"/>
          <w:sz w:val="24"/>
          <w:szCs w:val="24"/>
          <w:lang w:val="hy-AM"/>
        </w:rPr>
        <w:t>:</w:t>
      </w:r>
    </w:p>
    <w:p w:rsidR="00563CE5" w:rsidRPr="001B2389" w:rsidRDefault="00563CE5">
      <w:pPr>
        <w:rPr>
          <w:lang w:val="hy-AM"/>
        </w:rPr>
      </w:pPr>
    </w:p>
    <w:sectPr w:rsidR="00563CE5" w:rsidRPr="001B238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A2"/>
    <w:rsid w:val="001B2389"/>
    <w:rsid w:val="00252FA2"/>
    <w:rsid w:val="00563CE5"/>
    <w:rsid w:val="00DA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B054"/>
  <w15:chartTrackingRefBased/>
  <w15:docId w15:val="{ECE33183-3E6F-4518-962E-3B5DA1F5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Tadevosyan</dc:creator>
  <cp:keywords/>
  <dc:description/>
  <cp:lastModifiedBy>Ani Tadevosyan</cp:lastModifiedBy>
  <cp:revision>3</cp:revision>
  <dcterms:created xsi:type="dcterms:W3CDTF">2020-08-24T10:37:00Z</dcterms:created>
  <dcterms:modified xsi:type="dcterms:W3CDTF">2020-08-24T11:14:00Z</dcterms:modified>
</cp:coreProperties>
</file>