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3020F" w14:textId="77777777" w:rsidR="005F6D1A" w:rsidRPr="003C1F29" w:rsidRDefault="005F6D1A" w:rsidP="005F6D1A">
      <w:pPr>
        <w:shd w:val="clear" w:color="auto" w:fill="FFFFFF"/>
        <w:spacing w:line="276" w:lineRule="auto"/>
        <w:ind w:firstLine="567"/>
        <w:contextualSpacing/>
        <w:jc w:val="both"/>
        <w:rPr>
          <w:rFonts w:ascii="GHEA Grapalat" w:hAnsi="GHEA Grapalat"/>
        </w:rPr>
      </w:pPr>
    </w:p>
    <w:p w14:paraId="20D2F8FB" w14:textId="77777777" w:rsidR="005F6D1A" w:rsidRPr="003F40B4" w:rsidRDefault="005F6D1A" w:rsidP="00F55B42">
      <w:pPr>
        <w:shd w:val="clear" w:color="auto" w:fill="FFFFFF"/>
        <w:spacing w:line="276" w:lineRule="auto"/>
        <w:contextualSpacing/>
        <w:jc w:val="center"/>
        <w:rPr>
          <w:rFonts w:ascii="GHEA Grapalat" w:hAnsi="GHEA Grapalat"/>
          <w:b/>
          <w:lang w:val="hy-AM"/>
        </w:rPr>
      </w:pPr>
      <w:r w:rsidRPr="003F40B4">
        <w:rPr>
          <w:rFonts w:ascii="GHEA Grapalat" w:hAnsi="GHEA Grapalat"/>
          <w:b/>
          <w:lang w:val="hy-AM"/>
        </w:rPr>
        <w:t>ՀԻՄՆԱՎՈՐՈՒՄ</w:t>
      </w:r>
    </w:p>
    <w:p w14:paraId="03EFE2B9" w14:textId="0A4F073D" w:rsidR="005F6D1A" w:rsidRPr="003F40B4" w:rsidRDefault="005F6D1A" w:rsidP="00A822ED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3F40B4">
        <w:rPr>
          <w:rFonts w:ascii="GHEA Grapalat" w:hAnsi="GHEA Grapalat" w:cs="Sylfaen"/>
          <w:b/>
          <w:bCs/>
          <w:color w:val="000000"/>
          <w:lang w:val="hy-AM"/>
        </w:rPr>
        <w:t>«</w:t>
      </w:r>
      <w:r w:rsidR="00A822ED">
        <w:rPr>
          <w:rFonts w:ascii="GHEA Grapalat" w:hAnsi="GHEA Grapalat" w:cs="Sylfaen"/>
          <w:b/>
          <w:bCs/>
          <w:color w:val="000000"/>
          <w:lang w:val="hy-AM"/>
        </w:rPr>
        <w:t>ՍՆԱՆԿՈՒԹՅԱՆ ՄԱՍԻՆ</w:t>
      </w:r>
      <w:r w:rsidRPr="003F40B4">
        <w:rPr>
          <w:rFonts w:ascii="GHEA Grapalat" w:hAnsi="GHEA Grapalat" w:cs="Sylfaen"/>
          <w:b/>
          <w:bCs/>
          <w:color w:val="000000"/>
          <w:lang w:val="hy-AM"/>
        </w:rPr>
        <w:t>» ՕՐԵՆՔՈՒՄ ՓՈՓՈԽՈՒԹՅՈՒՆ</w:t>
      </w:r>
      <w:r w:rsidR="00033AEA" w:rsidRPr="003F40B4">
        <w:rPr>
          <w:rFonts w:ascii="GHEA Grapalat" w:hAnsi="GHEA Grapalat" w:cs="Sylfaen"/>
          <w:b/>
          <w:bCs/>
          <w:color w:val="000000"/>
          <w:lang w:val="hy-AM"/>
        </w:rPr>
        <w:t>ՆԵՐ</w:t>
      </w:r>
      <w:r w:rsidRPr="003F40B4">
        <w:rPr>
          <w:rFonts w:ascii="GHEA Grapalat" w:hAnsi="GHEA Grapalat" w:cs="Sylfaen"/>
          <w:b/>
          <w:bCs/>
          <w:color w:val="000000"/>
          <w:lang w:val="hy-AM"/>
        </w:rPr>
        <w:t xml:space="preserve"> ԵՎ ԼՐԱՑՈՒՄ</w:t>
      </w:r>
      <w:r w:rsidR="00411115">
        <w:rPr>
          <w:rFonts w:ascii="GHEA Grapalat" w:hAnsi="GHEA Grapalat" w:cs="Sylfaen"/>
          <w:b/>
          <w:bCs/>
          <w:color w:val="000000"/>
          <w:lang w:val="hy-AM"/>
        </w:rPr>
        <w:t>ՆԵՐ</w:t>
      </w:r>
      <w:r w:rsidRPr="003F40B4">
        <w:rPr>
          <w:rFonts w:ascii="GHEA Grapalat" w:hAnsi="GHEA Grapalat" w:cs="Sylfaen"/>
          <w:b/>
          <w:bCs/>
          <w:color w:val="000000"/>
          <w:lang w:val="hy-AM"/>
        </w:rPr>
        <w:t xml:space="preserve"> ԿԱՏԱՐԵԼՈՒ ՄԱՍԻՆ</w:t>
      </w:r>
      <w:r w:rsidR="00A822ED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  <w:r w:rsidRPr="003F40B4">
        <w:rPr>
          <w:rFonts w:ascii="GHEA Grapalat" w:hAnsi="GHEA Grapalat"/>
          <w:b/>
          <w:bCs/>
          <w:lang w:val="hy-AM"/>
        </w:rPr>
        <w:t>ՕՐԵՆՔԻ ՆԱԽԱԳԾԻ ԸՆԴՈՒՆՄԱՆ ԱՆՀՐԱԺԵՇՏՈՒԹՅԱՆ</w:t>
      </w:r>
    </w:p>
    <w:p w14:paraId="24D995D2" w14:textId="77777777" w:rsidR="005F6D1A" w:rsidRPr="003F40B4" w:rsidRDefault="005F6D1A" w:rsidP="00F55B42">
      <w:pPr>
        <w:shd w:val="clear" w:color="auto" w:fill="FFFFFF"/>
        <w:spacing w:line="276" w:lineRule="auto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4A555F1F" w14:textId="77777777" w:rsidR="00F55B42" w:rsidRPr="003F40B4" w:rsidRDefault="00F55B42" w:rsidP="00F55B42">
      <w:pPr>
        <w:shd w:val="clear" w:color="auto" w:fill="FFFFFF"/>
        <w:spacing w:line="276" w:lineRule="auto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482F0D31" w14:textId="735961C5" w:rsidR="005F6D1A" w:rsidRPr="003F40B4" w:rsidRDefault="00F55B42" w:rsidP="00F55B42">
      <w:pPr>
        <w:numPr>
          <w:ilvl w:val="0"/>
          <w:numId w:val="3"/>
        </w:numPr>
        <w:shd w:val="clear" w:color="auto" w:fill="FFFFFF"/>
        <w:spacing w:line="276" w:lineRule="auto"/>
        <w:ind w:left="0" w:firstLine="0"/>
        <w:contextualSpacing/>
        <w:jc w:val="center"/>
        <w:rPr>
          <w:rFonts w:ascii="GHEA Grapalat" w:hAnsi="GHEA Grapalat"/>
          <w:b/>
          <w:bCs/>
          <w:lang w:val="hy-AM"/>
        </w:rPr>
      </w:pPr>
      <w:r w:rsidRPr="003F40B4">
        <w:rPr>
          <w:rFonts w:ascii="GHEA Grapalat" w:hAnsi="GHEA Grapalat"/>
          <w:b/>
          <w:bCs/>
          <w:lang w:val="hy-AM"/>
        </w:rPr>
        <w:t xml:space="preserve">ԸՆԹԱՑԻԿ ԻՐԱՎԻՃԱԿԸ </w:t>
      </w:r>
      <w:r w:rsidR="005B55C9" w:rsidRPr="003F40B4">
        <w:rPr>
          <w:rFonts w:ascii="GHEA Grapalat" w:hAnsi="GHEA Grapalat"/>
          <w:b/>
          <w:bCs/>
          <w:lang w:val="hy-AM"/>
        </w:rPr>
        <w:t>ԵՎ</w:t>
      </w:r>
      <w:r w:rsidRPr="003F40B4">
        <w:rPr>
          <w:rFonts w:ascii="GHEA Grapalat" w:hAnsi="GHEA Grapalat"/>
          <w:b/>
          <w:bCs/>
          <w:lang w:val="hy-AM"/>
        </w:rPr>
        <w:t xml:space="preserve"> ԻՐԱՎԱԿԱՆ ԱԿՏԻ ԸՆԴՈՒՆՄԱՆ ԱՆՀՐԱԺԵՇՏՈՒԹՅՈՒՆԸ</w:t>
      </w:r>
    </w:p>
    <w:p w14:paraId="5019DDFA" w14:textId="77777777" w:rsidR="005F6D1A" w:rsidRPr="003F40B4" w:rsidRDefault="005F6D1A" w:rsidP="005F6D1A">
      <w:pPr>
        <w:shd w:val="clear" w:color="auto" w:fill="FFFFFF"/>
        <w:spacing w:line="276" w:lineRule="auto"/>
        <w:ind w:left="927"/>
        <w:contextualSpacing/>
        <w:rPr>
          <w:rFonts w:ascii="GHEA Grapalat" w:hAnsi="GHEA Grapalat"/>
          <w:b/>
          <w:bCs/>
          <w:lang w:val="hy-AM"/>
        </w:rPr>
      </w:pPr>
    </w:p>
    <w:p w14:paraId="0B659D1C" w14:textId="66C88904" w:rsidR="004348A6" w:rsidRPr="00B520C6" w:rsidRDefault="00B520C6" w:rsidP="002A2564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r w:rsidRPr="00B520C6">
        <w:rPr>
          <w:rFonts w:ascii="GHEA Grapalat" w:hAnsi="GHEA Grapalat"/>
          <w:bCs/>
          <w:lang w:val="hy-AM"/>
        </w:rPr>
        <w:t>«</w:t>
      </w:r>
      <w:r w:rsidR="00A822ED">
        <w:rPr>
          <w:rFonts w:ascii="GHEA Grapalat" w:hAnsi="GHEA Grapalat"/>
          <w:bCs/>
          <w:lang w:val="hy-AM"/>
        </w:rPr>
        <w:t>Սնանկության</w:t>
      </w:r>
      <w:r w:rsidRPr="00B520C6">
        <w:rPr>
          <w:rFonts w:ascii="GHEA Grapalat" w:hAnsi="GHEA Grapalat"/>
          <w:bCs/>
          <w:lang w:val="hy-AM"/>
        </w:rPr>
        <w:t xml:space="preserve"> մասին» օրենքում փոփոխություններ </w:t>
      </w:r>
      <w:r w:rsidR="00411115">
        <w:rPr>
          <w:rFonts w:ascii="GHEA Grapalat" w:hAnsi="GHEA Grapalat"/>
          <w:bCs/>
          <w:lang w:val="hy-AM"/>
        </w:rPr>
        <w:t>և լրացումներ</w:t>
      </w:r>
      <w:r w:rsidRPr="00B520C6">
        <w:rPr>
          <w:rFonts w:ascii="GHEA Grapalat" w:hAnsi="GHEA Grapalat"/>
          <w:bCs/>
          <w:lang w:val="hy-AM"/>
        </w:rPr>
        <w:t xml:space="preserve"> կատարելու մասին»</w:t>
      </w:r>
      <w:r w:rsidR="00A822ED">
        <w:rPr>
          <w:rFonts w:ascii="GHEA Grapalat" w:hAnsi="GHEA Grapalat"/>
          <w:bCs/>
          <w:lang w:val="hy-AM"/>
        </w:rPr>
        <w:t xml:space="preserve"> </w:t>
      </w:r>
      <w:r w:rsidRPr="00B520C6">
        <w:rPr>
          <w:rFonts w:ascii="GHEA Grapalat" w:hAnsi="GHEA Grapalat"/>
          <w:bCs/>
          <w:lang w:val="hy-AM"/>
        </w:rPr>
        <w:t xml:space="preserve">օրենքի </w:t>
      </w:r>
      <w:r w:rsidR="005F6D1A" w:rsidRPr="00B520C6">
        <w:rPr>
          <w:rFonts w:ascii="GHEA Grapalat" w:hAnsi="GHEA Grapalat"/>
          <w:bCs/>
          <w:lang w:val="hy-AM"/>
        </w:rPr>
        <w:t>նախագծի ընդունում</w:t>
      </w:r>
      <w:r w:rsidR="009A2920">
        <w:rPr>
          <w:rFonts w:ascii="GHEA Grapalat" w:hAnsi="GHEA Grapalat"/>
          <w:bCs/>
          <w:lang w:val="hy-AM"/>
        </w:rPr>
        <w:t xml:space="preserve">ը պայմանավորված է ապօրինի ծագում ունեցող գույքի բռնագանձման վարույթի և սնանկության վարույթի հարաբերակցության կանոնակարգման </w:t>
      </w:r>
      <w:r w:rsidR="005F6D1A" w:rsidRPr="00B520C6">
        <w:rPr>
          <w:rFonts w:ascii="GHEA Grapalat" w:hAnsi="GHEA Grapalat"/>
          <w:bCs/>
          <w:lang w:val="hy-AM"/>
        </w:rPr>
        <w:t>անհրաժեշտ</w:t>
      </w:r>
      <w:r w:rsidR="009A2920">
        <w:rPr>
          <w:rFonts w:ascii="GHEA Grapalat" w:hAnsi="GHEA Grapalat"/>
          <w:bCs/>
          <w:lang w:val="hy-AM"/>
        </w:rPr>
        <w:t>ությամբ։</w:t>
      </w:r>
    </w:p>
    <w:p w14:paraId="4FC17BBF" w14:textId="73D095A1" w:rsidR="009A2920" w:rsidRDefault="00F246E0" w:rsidP="002A2564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Ապօրինի ծագում ունեցող գույքի բռնագանձման գործընթացն ուղղված է գույքի դեմ, որի ձեռքբերումն էական ծավալներով չի հիմնավորվում օրինական եկամտի աղբյուրներով։ Այս ինստիտուտը կարող է դառնալ ֆինանսական հանցագործությունների կանխարգելման և հանցավոր եկամուտների շրջանառության դեմ պայքարի կարևոր գործիք։ Միևնույն ժամանակ, որոշ դեպքերում պարտապանի սնանկությունը կարող է առաջացնել խնդիրներ, որոնք դեռևս կարգավորված չեն</w:t>
      </w:r>
      <w:r w:rsidR="00013A64">
        <w:rPr>
          <w:rFonts w:ascii="GHEA Grapalat" w:hAnsi="GHEA Grapalat"/>
          <w:bCs/>
          <w:lang w:val="hy-AM"/>
        </w:rPr>
        <w:t xml:space="preserve"> գործող</w:t>
      </w:r>
      <w:r>
        <w:rPr>
          <w:rFonts w:ascii="GHEA Grapalat" w:hAnsi="GHEA Grapalat"/>
          <w:bCs/>
          <w:lang w:val="hy-AM"/>
        </w:rPr>
        <w:t xml:space="preserve"> օրենսդրությամբ։</w:t>
      </w:r>
    </w:p>
    <w:p w14:paraId="7E1654E8" w14:textId="0490BD6E" w:rsidR="00F246E0" w:rsidRDefault="00013A64" w:rsidP="002A2564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Այսպիսով, ս</w:t>
      </w:r>
      <w:r w:rsidR="00F246E0">
        <w:rPr>
          <w:rFonts w:ascii="GHEA Grapalat" w:hAnsi="GHEA Grapalat"/>
          <w:bCs/>
          <w:lang w:val="hy-AM"/>
        </w:rPr>
        <w:t xml:space="preserve">ույն նախագիծը նպատակ է հետապնդում </w:t>
      </w:r>
      <w:r>
        <w:rPr>
          <w:rFonts w:ascii="GHEA Grapalat" w:hAnsi="GHEA Grapalat"/>
          <w:bCs/>
          <w:lang w:val="hy-AM"/>
        </w:rPr>
        <w:t xml:space="preserve">կանոնակարգելու նշված երկու վարույթների հատման հետևանքները։ </w:t>
      </w:r>
    </w:p>
    <w:p w14:paraId="3FBFE639" w14:textId="77777777" w:rsidR="002C37DB" w:rsidRDefault="002C37DB" w:rsidP="002C37DB">
      <w:pPr>
        <w:pStyle w:val="ListParagraph"/>
        <w:spacing w:before="120" w:after="120" w:line="276" w:lineRule="auto"/>
        <w:ind w:left="0"/>
        <w:contextualSpacing w:val="0"/>
        <w:jc w:val="both"/>
        <w:rPr>
          <w:rFonts w:ascii="GHEA Grapalat" w:hAnsi="GHEA Grapalat"/>
          <w:bCs/>
          <w:lang w:val="hy-AM"/>
        </w:rPr>
      </w:pPr>
    </w:p>
    <w:p w14:paraId="18548B6C" w14:textId="77777777" w:rsidR="002C37DB" w:rsidRPr="003F40B4" w:rsidRDefault="002C37DB" w:rsidP="002C37DB">
      <w:pPr>
        <w:numPr>
          <w:ilvl w:val="0"/>
          <w:numId w:val="3"/>
        </w:numPr>
        <w:shd w:val="clear" w:color="auto" w:fill="FFFFFF"/>
        <w:spacing w:line="276" w:lineRule="auto"/>
        <w:contextualSpacing/>
        <w:jc w:val="center"/>
        <w:rPr>
          <w:rFonts w:ascii="GHEA Grapalat" w:hAnsi="GHEA Grapalat"/>
          <w:b/>
          <w:lang w:val="hy-AM"/>
        </w:rPr>
      </w:pPr>
      <w:r w:rsidRPr="003F40B4">
        <w:rPr>
          <w:rFonts w:ascii="GHEA Grapalat" w:hAnsi="GHEA Grapalat"/>
          <w:b/>
          <w:lang w:val="hy-AM"/>
        </w:rPr>
        <w:t>ԱՌԱՋԱՐԿՎՈՂ ԿԱՐԳԱՎՈՐՄԱՆ ԲՆՈՒՅԹԸ</w:t>
      </w:r>
    </w:p>
    <w:p w14:paraId="166B74C6" w14:textId="77777777" w:rsidR="00AE6AA2" w:rsidRDefault="00AE6AA2" w:rsidP="00AE6AA2">
      <w:pPr>
        <w:pStyle w:val="ListParagraph"/>
        <w:spacing w:before="120" w:after="120" w:line="276" w:lineRule="auto"/>
        <w:ind w:left="0"/>
        <w:contextualSpacing w:val="0"/>
        <w:jc w:val="both"/>
        <w:rPr>
          <w:rFonts w:ascii="GHEA Grapalat" w:hAnsi="GHEA Grapalat"/>
          <w:bCs/>
          <w:lang w:val="hy-AM"/>
        </w:rPr>
      </w:pPr>
    </w:p>
    <w:p w14:paraId="40561F8E" w14:textId="421016EA" w:rsidR="00013A64" w:rsidRPr="00745E69" w:rsidRDefault="00013A64" w:rsidP="00F52B3A">
      <w:pPr>
        <w:pStyle w:val="ListParagraph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GHEA Grapalat" w:hAnsi="GHEA Grapalat"/>
          <w:b/>
          <w:i/>
          <w:iCs/>
          <w:lang w:val="hy-AM"/>
        </w:rPr>
      </w:pPr>
      <w:r w:rsidRPr="00745E69">
        <w:rPr>
          <w:rFonts w:ascii="GHEA Grapalat" w:hAnsi="GHEA Grapalat"/>
          <w:b/>
          <w:i/>
          <w:iCs/>
          <w:lang w:val="hy-AM"/>
        </w:rPr>
        <w:t>Գործերի ենթակայությունը</w:t>
      </w:r>
    </w:p>
    <w:p w14:paraId="7E4BD7C2" w14:textId="52DECF74" w:rsidR="00013A64" w:rsidRPr="00243646" w:rsidRDefault="00243646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 xml:space="preserve">Հիմք ընդունելով ապօրինի ծագում ունեցող գույքի բռնագանձման գործերը և սնանկության գործերը քննելու համար անհրաժեշտ հատուկ մասնագիտական գիտելիքները, ինչպես նաև վարույթներից յուրաքանչյուրի </w:t>
      </w:r>
      <w:r w:rsidR="003C1F29">
        <w:rPr>
          <w:rFonts w:ascii="GHEA Grapalat" w:hAnsi="GHEA Grapalat"/>
          <w:bCs/>
          <w:lang w:val="hy-AM"/>
        </w:rPr>
        <w:t xml:space="preserve">էական </w:t>
      </w:r>
      <w:r>
        <w:rPr>
          <w:rFonts w:ascii="GHEA Grapalat" w:hAnsi="GHEA Grapalat"/>
          <w:bCs/>
          <w:lang w:val="hy-AM"/>
        </w:rPr>
        <w:t>ծավալ</w:t>
      </w:r>
      <w:r w:rsidR="003C1F29">
        <w:rPr>
          <w:rFonts w:ascii="GHEA Grapalat" w:hAnsi="GHEA Grapalat"/>
          <w:bCs/>
          <w:lang w:val="hy-AM"/>
        </w:rPr>
        <w:t>ը</w:t>
      </w:r>
      <w:r>
        <w:rPr>
          <w:rFonts w:ascii="GHEA Grapalat" w:hAnsi="GHEA Grapalat"/>
          <w:bCs/>
          <w:lang w:val="hy-AM"/>
        </w:rPr>
        <w:t xml:space="preserve">՝ նպատակահարմար է դրանց քննությունը տարբեր դատարանների կողմից։ </w:t>
      </w:r>
    </w:p>
    <w:p w14:paraId="38B17EC2" w14:textId="48C989CE" w:rsidR="00243646" w:rsidRPr="00266708" w:rsidRDefault="00F52B3A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lastRenderedPageBreak/>
        <w:t xml:space="preserve">Այդպես օրինակ, </w:t>
      </w:r>
      <w:r w:rsidR="00243646">
        <w:rPr>
          <w:rFonts w:ascii="GHEA Grapalat" w:hAnsi="GHEA Grapalat"/>
          <w:bCs/>
          <w:lang w:val="hy-AM"/>
        </w:rPr>
        <w:t xml:space="preserve">Ամերիկայի միացյալ նահանգներում քաղաքացիական բռնագանձման գործերի քննությունը հանձնված է տարածքային դատարանների </w:t>
      </w:r>
      <w:r w:rsidR="00243646" w:rsidRPr="00243646">
        <w:rPr>
          <w:rFonts w:ascii="GHEA Grapalat" w:hAnsi="GHEA Grapalat"/>
          <w:bCs/>
          <w:lang w:val="hy-AM"/>
        </w:rPr>
        <w:t>(</w:t>
      </w:r>
      <w:proofErr w:type="spellStart"/>
      <w:r w:rsidR="00243646" w:rsidRPr="00F57F34">
        <w:rPr>
          <w:rFonts w:ascii="GHEA Grapalat" w:hAnsi="GHEA Grapalat"/>
          <w:bCs/>
          <w:lang w:val="hy-AM"/>
        </w:rPr>
        <w:t>district</w:t>
      </w:r>
      <w:proofErr w:type="spellEnd"/>
      <w:r w:rsidR="00243646" w:rsidRPr="00F57F34">
        <w:rPr>
          <w:rFonts w:ascii="GHEA Grapalat" w:hAnsi="GHEA Grapalat"/>
          <w:bCs/>
          <w:lang w:val="hy-AM"/>
        </w:rPr>
        <w:t xml:space="preserve"> </w:t>
      </w:r>
      <w:proofErr w:type="spellStart"/>
      <w:r w:rsidR="00243646" w:rsidRPr="00F57F34">
        <w:rPr>
          <w:rFonts w:ascii="GHEA Grapalat" w:hAnsi="GHEA Grapalat"/>
          <w:bCs/>
          <w:lang w:val="hy-AM"/>
        </w:rPr>
        <w:t>courts</w:t>
      </w:r>
      <w:proofErr w:type="spellEnd"/>
      <w:r w:rsidR="00243646" w:rsidRPr="00243646">
        <w:rPr>
          <w:rFonts w:ascii="GHEA Grapalat" w:hAnsi="GHEA Grapalat"/>
          <w:bCs/>
          <w:lang w:val="hy-AM"/>
        </w:rPr>
        <w:t>)</w:t>
      </w:r>
      <w:r w:rsidR="00243646">
        <w:rPr>
          <w:rFonts w:ascii="GHEA Grapalat" w:hAnsi="GHEA Grapalat"/>
          <w:bCs/>
          <w:lang w:val="hy-AM"/>
        </w:rPr>
        <w:t xml:space="preserve"> ենթակայությանը և այդպիսի ենթակայությունից արված չէ բացառություն</w:t>
      </w:r>
      <w:r w:rsidR="00EC37C9">
        <w:rPr>
          <w:rFonts w:ascii="GHEA Grapalat" w:hAnsi="GHEA Grapalat"/>
          <w:bCs/>
          <w:lang w:val="hy-AM"/>
        </w:rPr>
        <w:t>,</w:t>
      </w:r>
      <w:r w:rsidR="00243646">
        <w:rPr>
          <w:rFonts w:ascii="GHEA Grapalat" w:hAnsi="GHEA Grapalat"/>
          <w:bCs/>
          <w:lang w:val="hy-AM"/>
        </w:rPr>
        <w:t xml:space="preserve"> այդ թվում նաև</w:t>
      </w:r>
      <w:r w:rsidR="003C1F29">
        <w:rPr>
          <w:rFonts w:ascii="GHEA Grapalat" w:hAnsi="GHEA Grapalat"/>
          <w:bCs/>
          <w:lang w:val="hy-AM"/>
        </w:rPr>
        <w:t>՝</w:t>
      </w:r>
      <w:r w:rsidR="00243646">
        <w:rPr>
          <w:rFonts w:ascii="GHEA Grapalat" w:hAnsi="GHEA Grapalat"/>
          <w:bCs/>
          <w:lang w:val="hy-AM"/>
        </w:rPr>
        <w:t xml:space="preserve"> սնանկության դատարանի օգտին։</w:t>
      </w:r>
      <w:r w:rsidR="00243646">
        <w:rPr>
          <w:rStyle w:val="FootnoteReference"/>
          <w:rFonts w:ascii="GHEA Grapalat" w:hAnsi="GHEA Grapalat"/>
          <w:bCs/>
          <w:lang w:val="hy-AM"/>
        </w:rPr>
        <w:footnoteReference w:id="1"/>
      </w:r>
      <w:r w:rsidR="00745E69" w:rsidRPr="00745E69">
        <w:rPr>
          <w:rFonts w:ascii="GHEA Grapalat" w:hAnsi="GHEA Grapalat"/>
          <w:bCs/>
          <w:lang w:val="hy-AM"/>
        </w:rPr>
        <w:t xml:space="preserve"> </w:t>
      </w:r>
      <w:r w:rsidR="00745E69">
        <w:rPr>
          <w:rFonts w:ascii="GHEA Grapalat" w:hAnsi="GHEA Grapalat"/>
          <w:bCs/>
          <w:lang w:val="hy-AM"/>
        </w:rPr>
        <w:t>Ավելին, սնանկության վարույթ սկսելը չի հանգեցնում քաղաքացիական բռնագանձման գործի կասեցմանը, որը, գործը այլ դատարան փոխանցելու մեխանիզմների բացակայության պայմաններում, շարունակում է քննվել այն դատարանում, որտեղ հարուցվել էր։</w:t>
      </w:r>
      <w:r w:rsidR="00745E69">
        <w:rPr>
          <w:rStyle w:val="FootnoteReference"/>
          <w:rFonts w:ascii="GHEA Grapalat" w:hAnsi="GHEA Grapalat"/>
          <w:bCs/>
          <w:lang w:val="hy-AM"/>
        </w:rPr>
        <w:footnoteReference w:id="2"/>
      </w:r>
    </w:p>
    <w:p w14:paraId="44C73666" w14:textId="22D9DBB3" w:rsidR="00266708" w:rsidRPr="00745E69" w:rsidRDefault="00266708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>Ելնելով նշվածից, նախագծով առաջարկվում է անել բացառություն քաղաքացիական գործերը սնանկության գործի հետ քննելու կանոնից և թողնել ապօրինի ծագում ունեցող գույքի բռնագանձման գործերի քննությ</w:t>
      </w:r>
      <w:r w:rsidR="00EC37C9">
        <w:rPr>
          <w:rFonts w:ascii="GHEA Grapalat" w:hAnsi="GHEA Grapalat"/>
          <w:bCs/>
          <w:lang w:val="hy-AM"/>
        </w:rPr>
        <w:t>ու</w:t>
      </w:r>
      <w:r>
        <w:rPr>
          <w:rFonts w:ascii="GHEA Grapalat" w:hAnsi="GHEA Grapalat"/>
          <w:bCs/>
          <w:lang w:val="hy-AM"/>
        </w:rPr>
        <w:t xml:space="preserve">նը մասնագիտացված դատավորներին։ </w:t>
      </w:r>
    </w:p>
    <w:p w14:paraId="5641746C" w14:textId="77777777" w:rsidR="00745E69" w:rsidRPr="00243646" w:rsidRDefault="00745E69" w:rsidP="00AE6AA2">
      <w:pPr>
        <w:pStyle w:val="ListParagraph"/>
        <w:spacing w:before="120" w:after="120" w:line="276" w:lineRule="auto"/>
        <w:ind w:left="0"/>
        <w:contextualSpacing w:val="0"/>
        <w:jc w:val="both"/>
        <w:rPr>
          <w:rFonts w:ascii="GHEA Grapalat" w:hAnsi="GHEA Grapalat"/>
          <w:b/>
          <w:lang w:val="hy-AM"/>
        </w:rPr>
      </w:pPr>
    </w:p>
    <w:p w14:paraId="07BE1286" w14:textId="7DDF5CF2" w:rsidR="00013A64" w:rsidRPr="00F52B3A" w:rsidRDefault="00266708" w:rsidP="00F52B3A">
      <w:pPr>
        <w:pStyle w:val="ListParagraph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GHEA Grapalat" w:hAnsi="GHEA Grapalat"/>
          <w:b/>
          <w:i/>
          <w:iCs/>
          <w:lang w:val="hy-AM"/>
        </w:rPr>
      </w:pPr>
      <w:r>
        <w:rPr>
          <w:rFonts w:ascii="GHEA Grapalat" w:hAnsi="GHEA Grapalat"/>
          <w:b/>
          <w:i/>
          <w:iCs/>
          <w:lang w:val="hy-AM"/>
        </w:rPr>
        <w:t>Բռնագանձման ք</w:t>
      </w:r>
      <w:r w:rsidR="00013A64" w:rsidRPr="00F52B3A">
        <w:rPr>
          <w:rFonts w:ascii="GHEA Grapalat" w:hAnsi="GHEA Grapalat"/>
          <w:b/>
          <w:i/>
          <w:iCs/>
          <w:lang w:val="hy-AM"/>
        </w:rPr>
        <w:t xml:space="preserve">աղաքացիական գործի հարուցումը և քննությունը </w:t>
      </w:r>
    </w:p>
    <w:p w14:paraId="6AFA9494" w14:textId="2C5DF4B4" w:rsidR="004B64A0" w:rsidRDefault="00F52B3A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«Սնանկության մասին» օրենքի կարգավորումների ուժով </w:t>
      </w:r>
      <w:r w:rsidR="00AE6AA2">
        <w:rPr>
          <w:rFonts w:ascii="GHEA Grapalat" w:hAnsi="GHEA Grapalat"/>
          <w:bCs/>
          <w:lang w:val="hy-AM"/>
        </w:rPr>
        <w:t>ս</w:t>
      </w:r>
      <w:r w:rsidRPr="00F52B3A">
        <w:rPr>
          <w:rFonts w:ascii="GHEA Grapalat" w:hAnsi="GHEA Grapalat"/>
          <w:bCs/>
          <w:lang w:val="hy-AM"/>
        </w:rPr>
        <w:t>նանկության վտանգի դիմումը բավարարելու և ֆինանսական առողջացման ծրագիրը հաստատելու մասին կամ պարտապանին սնանկ ճանաչելու մասին վճիռն օրինական ուժի մեջ մտնելուց հետո</w:t>
      </w:r>
      <w:r>
        <w:rPr>
          <w:rFonts w:ascii="GHEA Grapalat" w:hAnsi="GHEA Grapalat"/>
          <w:bCs/>
          <w:lang w:val="hy-AM"/>
        </w:rPr>
        <w:t xml:space="preserve"> առաջանում է </w:t>
      </w:r>
      <w:r w:rsidR="00AE6AA2">
        <w:rPr>
          <w:rFonts w:ascii="GHEA Grapalat" w:hAnsi="GHEA Grapalat"/>
          <w:bCs/>
          <w:lang w:val="hy-AM"/>
        </w:rPr>
        <w:t xml:space="preserve">պարտապանի գույքին վերաբերող </w:t>
      </w:r>
      <w:r>
        <w:rPr>
          <w:rFonts w:ascii="GHEA Grapalat" w:hAnsi="GHEA Grapalat"/>
          <w:bCs/>
          <w:lang w:val="hy-AM"/>
        </w:rPr>
        <w:t>այլ քաղաքացիական գործեր հարուցելու և քննելու արգելք</w:t>
      </w:r>
      <w:r w:rsidR="00AE6AA2">
        <w:rPr>
          <w:rFonts w:ascii="GHEA Grapalat" w:hAnsi="GHEA Grapalat"/>
          <w:bCs/>
          <w:lang w:val="hy-AM"/>
        </w:rPr>
        <w:t>։ Հարուցված գործերը կարճվում են կամ ավարտվում են, իսկ համապատասխան պահանջները կարող են ներկայացվել սնանկության գործի շրջանակներում։</w:t>
      </w:r>
    </w:p>
    <w:p w14:paraId="25438F07" w14:textId="06C259EF" w:rsidR="00AE6AA2" w:rsidRDefault="00AE6AA2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Նմանօրինակ կարգավորում նախատեսված է նաև Ամերիկայի միացյալ նահանգների սնանկության օրենսդրությամբ։ Միևնույն ժամանակ, նախադեպային իրավունքը հաստատել է, որ գործերի քննությունը շարունակելու արգելքից բացառությ</w:t>
      </w:r>
      <w:r w:rsidR="00211C85">
        <w:rPr>
          <w:rFonts w:ascii="GHEA Grapalat" w:hAnsi="GHEA Grapalat"/>
          <w:bCs/>
          <w:lang w:val="hy-AM"/>
        </w:rPr>
        <w:t>ու</w:t>
      </w:r>
      <w:r>
        <w:rPr>
          <w:rFonts w:ascii="GHEA Grapalat" w:hAnsi="GHEA Grapalat"/>
          <w:bCs/>
          <w:lang w:val="hy-AM"/>
        </w:rPr>
        <w:t>ն են կազմում պետության կողմից ներկայացված բռնագանձման պահանջներով գործերը</w:t>
      </w:r>
      <w:r w:rsidRPr="00AE6AA2">
        <w:rPr>
          <w:rFonts w:ascii="GHEA Grapalat" w:hAnsi="GHEA Grapalat"/>
          <w:bCs/>
          <w:lang w:val="hy-AM"/>
        </w:rPr>
        <w:t xml:space="preserve">, </w:t>
      </w:r>
      <w:r>
        <w:rPr>
          <w:rFonts w:ascii="GHEA Grapalat" w:hAnsi="GHEA Grapalat"/>
          <w:bCs/>
          <w:lang w:val="hy-AM"/>
        </w:rPr>
        <w:t>որոնք</w:t>
      </w:r>
      <w:r w:rsidR="00C214C6">
        <w:rPr>
          <w:rFonts w:ascii="GHEA Grapalat" w:hAnsi="GHEA Grapalat"/>
          <w:bCs/>
          <w:lang w:val="hy-AM"/>
        </w:rPr>
        <w:t xml:space="preserve"> համարվում են հանրային շահ հետապնդող և </w:t>
      </w:r>
      <w:r>
        <w:rPr>
          <w:rFonts w:ascii="GHEA Grapalat" w:hAnsi="GHEA Grapalat"/>
          <w:bCs/>
          <w:lang w:val="hy-AM"/>
        </w:rPr>
        <w:t xml:space="preserve"> շարունակվում են քննվել անկախ սնանկության գործի հարուցումից։</w:t>
      </w:r>
      <w:r>
        <w:rPr>
          <w:rStyle w:val="FootnoteReference"/>
          <w:rFonts w:ascii="GHEA Grapalat" w:hAnsi="GHEA Grapalat"/>
          <w:bCs/>
          <w:lang w:val="hy-AM"/>
        </w:rPr>
        <w:footnoteReference w:id="3"/>
      </w:r>
    </w:p>
    <w:p w14:paraId="053C42DB" w14:textId="0F8A7D61" w:rsidR="00A843CC" w:rsidRDefault="00A843CC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lastRenderedPageBreak/>
        <w:t>Ավ</w:t>
      </w:r>
      <w:r w:rsidR="00CB3815">
        <w:rPr>
          <w:rFonts w:ascii="GHEA Grapalat" w:hAnsi="GHEA Grapalat"/>
          <w:bCs/>
          <w:lang w:val="hy-AM"/>
        </w:rPr>
        <w:t>ստրա</w:t>
      </w:r>
      <w:r>
        <w:rPr>
          <w:rFonts w:ascii="GHEA Grapalat" w:hAnsi="GHEA Grapalat"/>
          <w:bCs/>
          <w:lang w:val="hy-AM"/>
        </w:rPr>
        <w:t>լիայի</w:t>
      </w:r>
      <w:r w:rsidR="00CB3815">
        <w:rPr>
          <w:rFonts w:ascii="GHEA Grapalat" w:hAnsi="GHEA Grapalat"/>
          <w:bCs/>
          <w:lang w:val="hy-AM"/>
        </w:rPr>
        <w:t xml:space="preserve"> սնանկության օրենսդրությունը արգելում է սնանկության դատարանի կողմից </w:t>
      </w:r>
      <w:r>
        <w:rPr>
          <w:rFonts w:ascii="GHEA Grapalat" w:hAnsi="GHEA Grapalat"/>
          <w:bCs/>
          <w:lang w:val="hy-AM"/>
        </w:rPr>
        <w:t xml:space="preserve">հանցավոր ակտիվների </w:t>
      </w:r>
      <w:r w:rsidR="00CB3815">
        <w:rPr>
          <w:rFonts w:ascii="GHEA Grapalat" w:hAnsi="GHEA Grapalat"/>
          <w:bCs/>
          <w:lang w:val="hy-AM"/>
        </w:rPr>
        <w:t>բռնագանձման գործերի քննության կասեցումը։</w:t>
      </w:r>
      <w:r w:rsidR="00CB3815">
        <w:rPr>
          <w:rStyle w:val="FootnoteReference"/>
          <w:rFonts w:ascii="GHEA Grapalat" w:hAnsi="GHEA Grapalat"/>
          <w:bCs/>
          <w:lang w:val="hy-AM"/>
        </w:rPr>
        <w:footnoteReference w:id="4"/>
      </w:r>
    </w:p>
    <w:p w14:paraId="5C3084F3" w14:textId="4A720B75" w:rsidR="00266708" w:rsidRDefault="00266708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Հաշվի առնելով նշվածը, ինչպես նաև ենթակայության բաժանումը, որն առաջարկվում է անել այս նախագծով՝ </w:t>
      </w:r>
      <w:r w:rsidR="00F57F34">
        <w:rPr>
          <w:rFonts w:ascii="GHEA Grapalat" w:hAnsi="GHEA Grapalat"/>
          <w:bCs/>
          <w:lang w:val="hy-AM"/>
        </w:rPr>
        <w:t>առաջարկվում է</w:t>
      </w:r>
      <w:r>
        <w:rPr>
          <w:rFonts w:ascii="GHEA Grapalat" w:hAnsi="GHEA Grapalat"/>
          <w:bCs/>
          <w:lang w:val="hy-AM"/>
        </w:rPr>
        <w:t xml:space="preserve"> նաև հանել քաղաքացիական գործերի քննության սահմանափակումը, այնքանով, որքանով դա վերաբերում է ապօրինի ծագում ունեցող գույքի բռնագանձման</w:t>
      </w:r>
      <w:r w:rsidR="003C1F29">
        <w:rPr>
          <w:rFonts w:ascii="GHEA Grapalat" w:hAnsi="GHEA Grapalat"/>
          <w:bCs/>
          <w:lang w:val="hy-AM"/>
        </w:rPr>
        <w:t xml:space="preserve"> հայցերով</w:t>
      </w:r>
      <w:r>
        <w:rPr>
          <w:rFonts w:ascii="GHEA Grapalat" w:hAnsi="GHEA Grapalat"/>
          <w:bCs/>
          <w:lang w:val="hy-AM"/>
        </w:rPr>
        <w:t xml:space="preserve"> գործերին։ </w:t>
      </w:r>
    </w:p>
    <w:p w14:paraId="2C99525E" w14:textId="77777777" w:rsidR="00266708" w:rsidRPr="00F52B3A" w:rsidRDefault="00266708" w:rsidP="00266708">
      <w:pPr>
        <w:pStyle w:val="ListParagraph"/>
        <w:spacing w:before="120" w:after="120" w:line="276" w:lineRule="auto"/>
        <w:ind w:left="0"/>
        <w:contextualSpacing w:val="0"/>
        <w:jc w:val="both"/>
        <w:rPr>
          <w:rFonts w:ascii="GHEA Grapalat" w:hAnsi="GHEA Grapalat"/>
          <w:bCs/>
          <w:lang w:val="hy-AM"/>
        </w:rPr>
      </w:pPr>
    </w:p>
    <w:p w14:paraId="61DAC18A" w14:textId="7C0EAC95" w:rsidR="004A5593" w:rsidRDefault="0035554D" w:rsidP="00266708">
      <w:pPr>
        <w:pStyle w:val="ListParagraph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GHEA Grapalat" w:hAnsi="GHEA Grapalat"/>
          <w:b/>
          <w:i/>
          <w:iCs/>
          <w:lang w:val="hy-AM"/>
        </w:rPr>
      </w:pPr>
      <w:r>
        <w:rPr>
          <w:rFonts w:ascii="GHEA Grapalat" w:hAnsi="GHEA Grapalat"/>
          <w:b/>
          <w:i/>
          <w:iCs/>
          <w:lang w:val="hy-AM"/>
        </w:rPr>
        <w:t xml:space="preserve">Մինչև անձին սնանկ ճանաչելը </w:t>
      </w:r>
      <w:r w:rsidR="001D61A7">
        <w:rPr>
          <w:rFonts w:ascii="GHEA Grapalat" w:hAnsi="GHEA Grapalat"/>
          <w:b/>
          <w:i/>
          <w:iCs/>
          <w:lang w:val="hy-AM"/>
        </w:rPr>
        <w:t xml:space="preserve">բռնագանձման գործով </w:t>
      </w:r>
      <w:r>
        <w:rPr>
          <w:rFonts w:ascii="GHEA Grapalat" w:hAnsi="GHEA Grapalat"/>
          <w:b/>
          <w:i/>
          <w:iCs/>
          <w:lang w:val="hy-AM"/>
        </w:rPr>
        <w:t>կայացված դատական ակտերի</w:t>
      </w:r>
      <w:r w:rsidR="004A5593">
        <w:rPr>
          <w:rFonts w:ascii="GHEA Grapalat" w:hAnsi="GHEA Grapalat"/>
          <w:b/>
          <w:i/>
          <w:iCs/>
          <w:lang w:val="hy-AM"/>
        </w:rPr>
        <w:t xml:space="preserve"> կատարումը</w:t>
      </w:r>
    </w:p>
    <w:p w14:paraId="6D29DFDB" w14:textId="77777777" w:rsidR="004A5593" w:rsidRPr="004A5593" w:rsidRDefault="004A5593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lang w:val="hy-AM"/>
        </w:rPr>
      </w:pPr>
      <w:r>
        <w:rPr>
          <w:rFonts w:ascii="GHEA Grapalat" w:hAnsi="GHEA Grapalat"/>
          <w:bCs/>
          <w:lang w:val="hy-AM"/>
        </w:rPr>
        <w:t xml:space="preserve">«Սնանկության մասին» օրենքի </w:t>
      </w:r>
      <w:r w:rsidRPr="004A5593">
        <w:rPr>
          <w:rFonts w:ascii="GHEA Grapalat" w:hAnsi="GHEA Grapalat"/>
          <w:bCs/>
          <w:lang w:val="hy-AM"/>
        </w:rPr>
        <w:t>13-</w:t>
      </w:r>
      <w:r>
        <w:rPr>
          <w:rFonts w:ascii="GHEA Grapalat" w:hAnsi="GHEA Grapalat"/>
          <w:bCs/>
          <w:lang w:val="hy-AM"/>
        </w:rPr>
        <w:t xml:space="preserve">րդ հոդվածի </w:t>
      </w:r>
      <w:r w:rsidRPr="004A5593">
        <w:rPr>
          <w:rFonts w:ascii="GHEA Grapalat" w:hAnsi="GHEA Grapalat"/>
          <w:bCs/>
          <w:lang w:val="hy-AM"/>
        </w:rPr>
        <w:t>5-</w:t>
      </w:r>
      <w:r>
        <w:rPr>
          <w:rFonts w:ascii="GHEA Grapalat" w:hAnsi="GHEA Grapalat"/>
          <w:bCs/>
          <w:lang w:val="hy-AM"/>
        </w:rPr>
        <w:t>րդ մասի համաձայն՝ ս</w:t>
      </w:r>
      <w:r w:rsidRPr="004A5593">
        <w:rPr>
          <w:rFonts w:ascii="GHEA Grapalat" w:hAnsi="GHEA Grapalat"/>
          <w:bCs/>
          <w:lang w:val="hy-AM"/>
        </w:rPr>
        <w:t>նանկության դիմումը վարույթ ընդունելու մասին դատարանի որոշումն ստանալու պահից Հարկադիր կատարումն ապահովող ծառայությունը կասեցնում է պարտապանի գույքի բռնագանձման վերաբերյալ բոլոր կատարողական վարույթները</w:t>
      </w:r>
      <w:r>
        <w:rPr>
          <w:rFonts w:ascii="GHEA Grapalat" w:hAnsi="GHEA Grapalat"/>
          <w:bCs/>
          <w:lang w:val="hy-AM"/>
        </w:rPr>
        <w:t>։</w:t>
      </w:r>
    </w:p>
    <w:p w14:paraId="00CEFE19" w14:textId="31F086A6" w:rsidR="004A5593" w:rsidRPr="004A5593" w:rsidRDefault="004A5593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lang w:val="hy-AM"/>
        </w:rPr>
      </w:pPr>
      <w:r>
        <w:rPr>
          <w:rFonts w:ascii="GHEA Grapalat" w:hAnsi="GHEA Grapalat"/>
          <w:bCs/>
          <w:lang w:val="hy-AM"/>
        </w:rPr>
        <w:t xml:space="preserve">Միևնույն ժամանակ, </w:t>
      </w:r>
      <w:r w:rsidR="00441352">
        <w:rPr>
          <w:rFonts w:ascii="GHEA Grapalat" w:hAnsi="GHEA Grapalat"/>
          <w:bCs/>
          <w:lang w:val="hy-AM"/>
        </w:rPr>
        <w:t xml:space="preserve">հարկ է նկատել, որ </w:t>
      </w:r>
      <w:r>
        <w:rPr>
          <w:rFonts w:ascii="GHEA Grapalat" w:hAnsi="GHEA Grapalat"/>
          <w:bCs/>
          <w:lang w:val="hy-AM"/>
        </w:rPr>
        <w:t xml:space="preserve">որպես կանոն ժամանակագրական առումով սնանկության վարույթի </w:t>
      </w:r>
      <w:proofErr w:type="spellStart"/>
      <w:r>
        <w:rPr>
          <w:rFonts w:ascii="GHEA Grapalat" w:hAnsi="GHEA Grapalat"/>
          <w:bCs/>
          <w:lang w:val="hy-AM"/>
        </w:rPr>
        <w:t>նախաձեռնմանը</w:t>
      </w:r>
      <w:proofErr w:type="spellEnd"/>
      <w:r w:rsidR="00A843CC" w:rsidRPr="00A843CC">
        <w:rPr>
          <w:rFonts w:ascii="GHEA Grapalat" w:hAnsi="GHEA Grapalat"/>
          <w:bCs/>
          <w:lang w:val="hy-AM"/>
        </w:rPr>
        <w:t xml:space="preserve"> (</w:t>
      </w:r>
      <w:r w:rsidR="00A843CC">
        <w:rPr>
          <w:rFonts w:ascii="GHEA Grapalat" w:hAnsi="GHEA Grapalat"/>
          <w:bCs/>
          <w:lang w:val="hy-AM"/>
        </w:rPr>
        <w:t>անձին սնանկ ճանաչելու մասին որոշման կայացմանը</w:t>
      </w:r>
      <w:r w:rsidR="00A843CC" w:rsidRPr="00A843CC">
        <w:rPr>
          <w:rFonts w:ascii="GHEA Grapalat" w:hAnsi="GHEA Grapalat"/>
          <w:bCs/>
          <w:lang w:val="hy-AM"/>
        </w:rPr>
        <w:t>)</w:t>
      </w:r>
      <w:r>
        <w:rPr>
          <w:rFonts w:ascii="GHEA Grapalat" w:hAnsi="GHEA Grapalat"/>
          <w:bCs/>
          <w:lang w:val="hy-AM"/>
        </w:rPr>
        <w:t xml:space="preserve"> նախորդած քաղաքացիական բռնագանձման դատական ակտերն ունեն նախապատվություն դրանց կատարման տեսանկյունից։</w:t>
      </w:r>
    </w:p>
    <w:p w14:paraId="5520DD7E" w14:textId="7317EA38" w:rsidR="004A5593" w:rsidRPr="00441352" w:rsidRDefault="004A5593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lang w:val="hy-AM"/>
        </w:rPr>
      </w:pPr>
      <w:r>
        <w:rPr>
          <w:rFonts w:ascii="GHEA Grapalat" w:hAnsi="GHEA Grapalat"/>
          <w:bCs/>
          <w:lang w:val="hy-AM"/>
        </w:rPr>
        <w:t>Այդպես, Իռլանդիայի հանցավոր ակտիվների բռնագանձման օրենսդրությունը նախատեսում է, որ եթե անձը, ում պատկանում է գույքը ճանաչվում է սնանկ, այն գույքը, որի առնչությամբ մինչև անձին սնանկ ճանաչելը կայացվել են սառեցման, բռնագանձման կամ իրացման դատական ակտեր, դուրս է սնանկության օրենսդրության կարգավորումների ազդեցությունից։</w:t>
      </w:r>
      <w:r>
        <w:rPr>
          <w:rStyle w:val="FootnoteReference"/>
          <w:rFonts w:ascii="GHEA Grapalat" w:hAnsi="GHEA Grapalat"/>
          <w:bCs/>
          <w:lang w:val="hy-AM"/>
        </w:rPr>
        <w:footnoteReference w:id="5"/>
      </w:r>
    </w:p>
    <w:p w14:paraId="778151CA" w14:textId="7A9D5CDD" w:rsidR="00441352" w:rsidRPr="00924742" w:rsidRDefault="00441352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lang w:val="hy-AM"/>
        </w:rPr>
      </w:pPr>
      <w:r w:rsidRPr="009F31DE">
        <w:rPr>
          <w:rFonts w:ascii="GHEA Grapalat" w:hAnsi="GHEA Grapalat"/>
          <w:bCs/>
          <w:lang w:val="hy-AM"/>
        </w:rPr>
        <w:t xml:space="preserve">Ավստրալիայի սնանկության օրենսդրությունը նախատեսում է, որ </w:t>
      </w:r>
      <w:r w:rsidR="009F31DE" w:rsidRPr="009F31DE">
        <w:rPr>
          <w:rFonts w:ascii="GHEA Grapalat" w:hAnsi="GHEA Grapalat"/>
          <w:bCs/>
          <w:lang w:val="hy-AM"/>
        </w:rPr>
        <w:t>եթե գույքի արգելադրման կամ դրա բռնագանձման վերաբերյալ դատական ակտը կայացվել է մինչև անձին սնանկ ճանաչելը, ապա այդպիսի գույքը չի փոխանցվում կառավարչին (</w:t>
      </w:r>
      <w:proofErr w:type="spellStart"/>
      <w:r w:rsidR="0065032B" w:rsidRPr="0065032B">
        <w:rPr>
          <w:rFonts w:ascii="GHEA Grapalat" w:hAnsi="GHEA Grapalat"/>
          <w:bCs/>
          <w:lang w:val="hy-AM"/>
        </w:rPr>
        <w:t>O</w:t>
      </w:r>
      <w:r w:rsidR="009F31DE" w:rsidRPr="009F31DE">
        <w:rPr>
          <w:rFonts w:ascii="GHEA Grapalat" w:hAnsi="GHEA Grapalat"/>
          <w:bCs/>
          <w:lang w:val="hy-AM"/>
        </w:rPr>
        <w:t>fficial</w:t>
      </w:r>
      <w:proofErr w:type="spellEnd"/>
      <w:r w:rsidR="009F31DE" w:rsidRPr="009F31DE">
        <w:rPr>
          <w:rFonts w:ascii="GHEA Grapalat" w:hAnsi="GHEA Grapalat"/>
          <w:bCs/>
          <w:lang w:val="hy-AM"/>
        </w:rPr>
        <w:t xml:space="preserve"> </w:t>
      </w:r>
      <w:proofErr w:type="spellStart"/>
      <w:r w:rsidR="009F31DE" w:rsidRPr="009F31DE">
        <w:rPr>
          <w:rFonts w:ascii="GHEA Grapalat" w:hAnsi="GHEA Grapalat"/>
          <w:bCs/>
          <w:lang w:val="hy-AM"/>
        </w:rPr>
        <w:t>Trustee</w:t>
      </w:r>
      <w:proofErr w:type="spellEnd"/>
      <w:r w:rsidR="009F31DE" w:rsidRPr="009F31DE">
        <w:rPr>
          <w:rFonts w:ascii="GHEA Grapalat" w:hAnsi="GHEA Grapalat"/>
          <w:bCs/>
          <w:lang w:val="hy-AM"/>
        </w:rPr>
        <w:t>), քանի դեռ դատական ակտն ուժի մեջ է։</w:t>
      </w:r>
      <w:r w:rsidR="009F31DE">
        <w:rPr>
          <w:rStyle w:val="FootnoteReference"/>
          <w:rFonts w:ascii="GHEA Grapalat" w:hAnsi="GHEA Grapalat"/>
          <w:bCs/>
          <w:lang w:val="hy-AM"/>
        </w:rPr>
        <w:footnoteReference w:id="6"/>
      </w:r>
      <w:r w:rsidR="009F31DE">
        <w:rPr>
          <w:rFonts w:ascii="GHEA Grapalat" w:hAnsi="GHEA Grapalat"/>
          <w:bCs/>
          <w:lang w:val="hy-AM"/>
        </w:rPr>
        <w:t xml:space="preserve"> </w:t>
      </w:r>
      <w:r w:rsidR="009F31DE" w:rsidRPr="009F31DE">
        <w:rPr>
          <w:rFonts w:ascii="GHEA Grapalat" w:hAnsi="GHEA Grapalat"/>
          <w:bCs/>
          <w:lang w:val="hy-AM"/>
        </w:rPr>
        <w:t xml:space="preserve">Նույն բաժնում նախատեսվում է նաև, որ եթե դրամական բռնագանձման (այդ թվում՝ չհիմնավորվող հարստության բռնագանձման) պահանջներով դատական ակտը կայացվել է մինչև </w:t>
      </w:r>
      <w:r w:rsidR="009F31DE" w:rsidRPr="009F31DE">
        <w:rPr>
          <w:rFonts w:ascii="GHEA Grapalat" w:hAnsi="GHEA Grapalat"/>
          <w:bCs/>
          <w:lang w:val="hy-AM"/>
        </w:rPr>
        <w:lastRenderedPageBreak/>
        <w:t>անձին սնանկ ճանաչելը, ապա պարտապանին պատկանող ոչ մի գույք չի անցնում կառավարչին, քանի դեռ դատական ակտն ուժի մեջ է։</w:t>
      </w:r>
      <w:r w:rsidR="009F31DE">
        <w:rPr>
          <w:rStyle w:val="FootnoteReference"/>
          <w:rFonts w:ascii="GHEA Grapalat" w:hAnsi="GHEA Grapalat"/>
          <w:bCs/>
          <w:lang w:val="hy-AM"/>
        </w:rPr>
        <w:footnoteReference w:id="7"/>
      </w:r>
    </w:p>
    <w:p w14:paraId="30ACEEF7" w14:textId="6EC0AB96" w:rsidR="00924742" w:rsidRPr="009F31DE" w:rsidRDefault="00924742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lang w:val="hy-AM"/>
        </w:rPr>
      </w:pPr>
      <w:r>
        <w:rPr>
          <w:rFonts w:ascii="GHEA Grapalat" w:hAnsi="GHEA Grapalat"/>
          <w:bCs/>
          <w:lang w:val="hy-AM"/>
        </w:rPr>
        <w:t xml:space="preserve">Ամերիկայի միացյալ նահանգներում </w:t>
      </w:r>
      <w:r w:rsidR="00362CC1">
        <w:rPr>
          <w:rFonts w:ascii="GHEA Grapalat" w:hAnsi="GHEA Grapalat"/>
          <w:bCs/>
          <w:lang w:val="hy-AM"/>
        </w:rPr>
        <w:t xml:space="preserve">թե՛ քրեական, թե՛ քաղաքացիական </w:t>
      </w:r>
      <w:proofErr w:type="spellStart"/>
      <w:r w:rsidR="00362CC1">
        <w:rPr>
          <w:rFonts w:ascii="GHEA Grapalat" w:hAnsi="GHEA Grapalat"/>
          <w:bCs/>
          <w:lang w:val="hy-AM"/>
        </w:rPr>
        <w:t>բռնագանձումներով</w:t>
      </w:r>
      <w:proofErr w:type="spellEnd"/>
      <w:r w:rsidR="00362CC1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 xml:space="preserve">կիրառվող </w:t>
      </w:r>
      <w:proofErr w:type="spellStart"/>
      <w:r>
        <w:rPr>
          <w:rFonts w:ascii="GHEA Grapalat" w:hAnsi="GHEA Grapalat"/>
          <w:bCs/>
          <w:lang w:val="hy-AM"/>
        </w:rPr>
        <w:t>դոկտրինի</w:t>
      </w:r>
      <w:proofErr w:type="spellEnd"/>
      <w:r>
        <w:rPr>
          <w:rFonts w:ascii="GHEA Grapalat" w:hAnsi="GHEA Grapalat"/>
          <w:bCs/>
          <w:lang w:val="hy-AM"/>
        </w:rPr>
        <w:t xml:space="preserve"> ուժով </w:t>
      </w:r>
      <w:r w:rsidRPr="00924742">
        <w:rPr>
          <w:rFonts w:ascii="GHEA Grapalat" w:hAnsi="GHEA Grapalat"/>
          <w:bCs/>
          <w:lang w:val="hy-AM"/>
        </w:rPr>
        <w:t>(</w:t>
      </w:r>
      <w:proofErr w:type="spellStart"/>
      <w:r w:rsidRPr="00924742">
        <w:rPr>
          <w:rFonts w:ascii="GHEA Grapalat" w:hAnsi="GHEA Grapalat"/>
          <w:bCs/>
          <w:lang w:val="hy-AM"/>
        </w:rPr>
        <w:t>relation</w:t>
      </w:r>
      <w:r>
        <w:rPr>
          <w:rFonts w:ascii="GHEA Grapalat" w:hAnsi="GHEA Grapalat"/>
          <w:bCs/>
          <w:lang w:val="hy-AM"/>
        </w:rPr>
        <w:t>-</w:t>
      </w:r>
      <w:r w:rsidRPr="00924742">
        <w:rPr>
          <w:rFonts w:ascii="GHEA Grapalat" w:hAnsi="GHEA Grapalat"/>
          <w:bCs/>
          <w:lang w:val="hy-AM"/>
        </w:rPr>
        <w:t>back</w:t>
      </w:r>
      <w:proofErr w:type="spellEnd"/>
      <w:r w:rsidRPr="00924742">
        <w:rPr>
          <w:rFonts w:ascii="GHEA Grapalat" w:hAnsi="GHEA Grapalat"/>
          <w:bCs/>
          <w:lang w:val="hy-AM"/>
        </w:rPr>
        <w:t xml:space="preserve"> </w:t>
      </w:r>
      <w:proofErr w:type="spellStart"/>
      <w:r w:rsidRPr="00924742">
        <w:rPr>
          <w:rFonts w:ascii="GHEA Grapalat" w:hAnsi="GHEA Grapalat"/>
          <w:bCs/>
          <w:lang w:val="hy-AM"/>
        </w:rPr>
        <w:t>doctrine</w:t>
      </w:r>
      <w:proofErr w:type="spellEnd"/>
      <w:r w:rsidRPr="00924742">
        <w:rPr>
          <w:rFonts w:ascii="GHEA Grapalat" w:hAnsi="GHEA Grapalat"/>
          <w:bCs/>
          <w:lang w:val="hy-AM"/>
        </w:rPr>
        <w:t xml:space="preserve">), </w:t>
      </w:r>
      <w:r>
        <w:rPr>
          <w:rFonts w:ascii="GHEA Grapalat" w:hAnsi="GHEA Grapalat"/>
          <w:bCs/>
          <w:lang w:val="hy-AM"/>
        </w:rPr>
        <w:t>գույքը, որը ստացվել է ապօրինի ճանապարհով, դրա ստացման օրվանից համարվում է պետության սեփականությունը։</w:t>
      </w:r>
      <w:r w:rsidR="00FB0189">
        <w:rPr>
          <w:rStyle w:val="FootnoteReference"/>
          <w:rFonts w:ascii="GHEA Grapalat" w:hAnsi="GHEA Grapalat"/>
          <w:bCs/>
          <w:lang w:val="hy-AM"/>
        </w:rPr>
        <w:footnoteReference w:id="8"/>
      </w:r>
      <w:r>
        <w:rPr>
          <w:rFonts w:ascii="GHEA Grapalat" w:hAnsi="GHEA Grapalat"/>
          <w:bCs/>
          <w:lang w:val="hy-AM"/>
        </w:rPr>
        <w:t xml:space="preserve"> </w:t>
      </w:r>
      <w:r w:rsidR="001D61A7">
        <w:rPr>
          <w:rFonts w:ascii="GHEA Grapalat" w:hAnsi="GHEA Grapalat"/>
          <w:bCs/>
          <w:lang w:val="hy-AM"/>
        </w:rPr>
        <w:t>Նշված</w:t>
      </w:r>
      <w:r>
        <w:rPr>
          <w:rFonts w:ascii="GHEA Grapalat" w:hAnsi="GHEA Grapalat"/>
          <w:bCs/>
          <w:lang w:val="hy-AM"/>
        </w:rPr>
        <w:t xml:space="preserve"> </w:t>
      </w:r>
      <w:proofErr w:type="spellStart"/>
      <w:r>
        <w:rPr>
          <w:rFonts w:ascii="GHEA Grapalat" w:hAnsi="GHEA Grapalat"/>
          <w:bCs/>
          <w:lang w:val="hy-AM"/>
        </w:rPr>
        <w:t>դոկտրինի</w:t>
      </w:r>
      <w:proofErr w:type="spellEnd"/>
      <w:r>
        <w:rPr>
          <w:rFonts w:ascii="GHEA Grapalat" w:hAnsi="GHEA Grapalat"/>
          <w:bCs/>
          <w:lang w:val="hy-AM"/>
        </w:rPr>
        <w:t xml:space="preserve"> հիման վրա, այդպիսի գույքը չի ներառվում պարտապանին պատկանող գույքի կազմում, անկախ նրանից, թե երբ է կայացվում բռնագանձման վճիռը։</w:t>
      </w:r>
      <w:r w:rsidR="00FB0189">
        <w:rPr>
          <w:rStyle w:val="FootnoteReference"/>
          <w:rFonts w:ascii="GHEA Grapalat" w:hAnsi="GHEA Grapalat"/>
          <w:bCs/>
          <w:lang w:val="hy-AM"/>
        </w:rPr>
        <w:footnoteReference w:id="9"/>
      </w:r>
      <w:r>
        <w:rPr>
          <w:rFonts w:ascii="GHEA Grapalat" w:hAnsi="GHEA Grapalat"/>
          <w:bCs/>
          <w:lang w:val="hy-AM"/>
        </w:rPr>
        <w:t xml:space="preserve"> Միևնույն ժամանակ, այս մոտեցումը</w:t>
      </w:r>
      <w:r w:rsidR="001D61A7">
        <w:rPr>
          <w:rFonts w:ascii="GHEA Grapalat" w:hAnsi="GHEA Grapalat"/>
          <w:bCs/>
          <w:lang w:val="hy-AM"/>
        </w:rPr>
        <w:t xml:space="preserve"> գնահատվել է</w:t>
      </w:r>
      <w:r>
        <w:rPr>
          <w:rFonts w:ascii="GHEA Grapalat" w:hAnsi="GHEA Grapalat"/>
          <w:bCs/>
          <w:lang w:val="hy-AM"/>
        </w:rPr>
        <w:t xml:space="preserve"> խնդրահարույց պարտատերերի </w:t>
      </w:r>
      <w:r w:rsidR="001D61A7">
        <w:rPr>
          <w:rFonts w:ascii="GHEA Grapalat" w:hAnsi="GHEA Grapalat"/>
          <w:bCs/>
          <w:lang w:val="hy-AM"/>
        </w:rPr>
        <w:t xml:space="preserve">շահերի պաշտպանության </w:t>
      </w:r>
      <w:r>
        <w:rPr>
          <w:rFonts w:ascii="GHEA Grapalat" w:hAnsi="GHEA Grapalat"/>
          <w:bCs/>
          <w:lang w:val="hy-AM"/>
        </w:rPr>
        <w:t xml:space="preserve">տեսանկյունից, քանի որ սնանկության վարույթի ընթացքում ինչ-որ պահի բռնագանձման գործի հարուցումը կարող է </w:t>
      </w:r>
      <w:proofErr w:type="spellStart"/>
      <w:r>
        <w:rPr>
          <w:rFonts w:ascii="GHEA Grapalat" w:hAnsi="GHEA Grapalat"/>
          <w:bCs/>
          <w:lang w:val="hy-AM"/>
        </w:rPr>
        <w:t>հետադարձությամբ</w:t>
      </w:r>
      <w:proofErr w:type="spellEnd"/>
      <w:r>
        <w:rPr>
          <w:rFonts w:ascii="GHEA Grapalat" w:hAnsi="GHEA Grapalat"/>
          <w:bCs/>
          <w:lang w:val="hy-AM"/>
        </w:rPr>
        <w:t xml:space="preserve"> պարտապանի գույքից «հանել» դրա մեծ մասը։</w:t>
      </w:r>
      <w:r w:rsidR="00FB0189">
        <w:rPr>
          <w:rStyle w:val="FootnoteReference"/>
          <w:rFonts w:ascii="GHEA Grapalat" w:hAnsi="GHEA Grapalat"/>
          <w:bCs/>
          <w:lang w:val="hy-AM"/>
        </w:rPr>
        <w:footnoteReference w:id="10"/>
      </w:r>
      <w:r>
        <w:rPr>
          <w:rFonts w:ascii="GHEA Grapalat" w:hAnsi="GHEA Grapalat"/>
          <w:bCs/>
          <w:lang w:val="hy-AM"/>
        </w:rPr>
        <w:t xml:space="preserve"> Այսպիսի միջամտությունը կարող է էականորեն ազդել պարտատերերի վրա, որոնք սնանկության վարույթի շրջանակներում կայացրել են որոշումներ և կատարել են գործողություններ՝ ելնելով պարտապանի գույքի՝ իրենց հայտնի ծավալներից։</w:t>
      </w:r>
      <w:r w:rsidR="00FB0189">
        <w:rPr>
          <w:rStyle w:val="FootnoteReference"/>
          <w:rFonts w:ascii="GHEA Grapalat" w:hAnsi="GHEA Grapalat"/>
          <w:bCs/>
          <w:lang w:val="hy-AM"/>
        </w:rPr>
        <w:footnoteReference w:id="11"/>
      </w:r>
      <w:r>
        <w:rPr>
          <w:rFonts w:ascii="GHEA Grapalat" w:hAnsi="GHEA Grapalat"/>
          <w:bCs/>
          <w:lang w:val="hy-AM"/>
        </w:rPr>
        <w:t xml:space="preserve">  Հետևաբար, որոշ մասնագիտացված մարմինների կողմից խորհուրդ է տրվում ընտրել ինչ-որ ժամանակային սահմանափակում, որի ընթացքում պետությունը կարող է ներկայացնել իր պահանջը՝ պարտապանի գույքից հանելով դրա մի մասը։</w:t>
      </w:r>
      <w:r w:rsidR="00FB0189">
        <w:rPr>
          <w:rStyle w:val="FootnoteReference"/>
          <w:rFonts w:ascii="GHEA Grapalat" w:hAnsi="GHEA Grapalat"/>
          <w:bCs/>
          <w:lang w:val="hy-AM"/>
        </w:rPr>
        <w:footnoteReference w:id="12"/>
      </w:r>
      <w:r>
        <w:rPr>
          <w:rFonts w:ascii="GHEA Grapalat" w:hAnsi="GHEA Grapalat"/>
          <w:bCs/>
          <w:lang w:val="hy-AM"/>
        </w:rPr>
        <w:t xml:space="preserve">  </w:t>
      </w:r>
    </w:p>
    <w:p w14:paraId="51385D6E" w14:textId="315A2B18" w:rsidR="009F31DE" w:rsidRPr="008441A0" w:rsidRDefault="00C214C6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lang w:val="hy-AM"/>
        </w:rPr>
      </w:pPr>
      <w:r>
        <w:rPr>
          <w:rFonts w:ascii="GHEA Grapalat" w:hAnsi="GHEA Grapalat"/>
          <w:bCs/>
          <w:lang w:val="hy-AM"/>
        </w:rPr>
        <w:t>Մեծ Բրիտանիայում քաղաքացիական բռնագանձման գործի քննության հետ կա</w:t>
      </w:r>
      <w:r w:rsidR="00F57F34">
        <w:rPr>
          <w:rFonts w:ascii="GHEA Grapalat" w:hAnsi="GHEA Grapalat"/>
          <w:bCs/>
          <w:lang w:val="hy-AM"/>
        </w:rPr>
        <w:t>պ</w:t>
      </w:r>
      <w:r>
        <w:rPr>
          <w:rFonts w:ascii="GHEA Grapalat" w:hAnsi="GHEA Grapalat"/>
          <w:bCs/>
          <w:lang w:val="hy-AM"/>
        </w:rPr>
        <w:t>ված սահմանափակումները կիրառվում են միայն այն անձի գույքի նկատմամբ, ով ճանաչվում է սնանկ։</w:t>
      </w:r>
      <w:r>
        <w:rPr>
          <w:rStyle w:val="FootnoteReference"/>
          <w:rFonts w:ascii="GHEA Grapalat" w:hAnsi="GHEA Grapalat"/>
          <w:bCs/>
          <w:lang w:val="hy-AM"/>
        </w:rPr>
        <w:footnoteReference w:id="13"/>
      </w:r>
      <w:r>
        <w:rPr>
          <w:rFonts w:ascii="GHEA Grapalat" w:hAnsi="GHEA Grapalat"/>
          <w:bCs/>
          <w:lang w:val="hy-AM"/>
        </w:rPr>
        <w:t xml:space="preserve"> </w:t>
      </w:r>
      <w:proofErr w:type="spellStart"/>
      <w:r>
        <w:rPr>
          <w:rFonts w:ascii="GHEA Grapalat" w:hAnsi="GHEA Grapalat"/>
          <w:bCs/>
          <w:lang w:val="hy-AM"/>
        </w:rPr>
        <w:t>Նշված</w:t>
      </w:r>
      <w:r w:rsidR="008441A0">
        <w:rPr>
          <w:rFonts w:ascii="GHEA Grapalat" w:hAnsi="GHEA Grapalat"/>
          <w:bCs/>
          <w:lang w:val="hy-AM"/>
        </w:rPr>
        <w:t>ն</w:t>
      </w:r>
      <w:proofErr w:type="spellEnd"/>
      <w:r w:rsidR="008441A0">
        <w:rPr>
          <w:rFonts w:ascii="GHEA Grapalat" w:hAnsi="GHEA Grapalat"/>
          <w:bCs/>
          <w:lang w:val="hy-AM"/>
        </w:rPr>
        <w:t xml:space="preserve"> ուղղված է պարտատերերի իրավունքների արդյունավետ պաշտպանությունն ապահովելուն, սակայն չի բացառում քաղաքացիական բռնագանձման վարույթի արդյունավետությունը, եթե այն </w:t>
      </w:r>
      <w:r w:rsidR="008441A0">
        <w:rPr>
          <w:rFonts w:ascii="GHEA Grapalat" w:hAnsi="GHEA Grapalat"/>
          <w:bCs/>
          <w:lang w:val="hy-AM"/>
        </w:rPr>
        <w:lastRenderedPageBreak/>
        <w:t>ավարտվում է մինչև անձի սնանկության վերաբերյալ վերջնական որոշման կայացումը</w:t>
      </w:r>
      <w:r>
        <w:rPr>
          <w:rFonts w:ascii="GHEA Grapalat" w:hAnsi="GHEA Grapalat"/>
          <w:bCs/>
          <w:lang w:val="hy-AM"/>
        </w:rPr>
        <w:t>։</w:t>
      </w:r>
      <w:r w:rsidR="008441A0">
        <w:rPr>
          <w:rStyle w:val="FootnoteReference"/>
          <w:rFonts w:ascii="GHEA Grapalat" w:hAnsi="GHEA Grapalat"/>
          <w:bCs/>
          <w:lang w:val="hy-AM"/>
        </w:rPr>
        <w:footnoteReference w:id="14"/>
      </w:r>
    </w:p>
    <w:p w14:paraId="4C22393D" w14:textId="4A387ED7" w:rsidR="008441A0" w:rsidRPr="008441A0" w:rsidRDefault="008441A0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lang w:val="hy-AM"/>
        </w:rPr>
      </w:pPr>
      <w:r>
        <w:rPr>
          <w:rFonts w:ascii="GHEA Grapalat" w:hAnsi="GHEA Grapalat"/>
          <w:bCs/>
          <w:lang w:val="hy-AM"/>
        </w:rPr>
        <w:t>Հիմք ընդունելով վերոգրյալը՝ նախագիծն առաջարկում է առաջնահերթություն տալ ապօրինի ծագում ունեցող գույքի բռնագանձման վարույթով կայացված դատական ակտերին, եթե դրանք կայացվել են մինչև անձին սնանկ ճանաչելու մասին դատական ակտի ուժի մեջ մտնելը։</w:t>
      </w:r>
    </w:p>
    <w:p w14:paraId="7466C882" w14:textId="77777777" w:rsidR="008441A0" w:rsidRPr="009F31DE" w:rsidRDefault="008441A0" w:rsidP="008441A0">
      <w:pPr>
        <w:pStyle w:val="ListParagraph"/>
        <w:spacing w:before="120" w:after="120" w:line="276" w:lineRule="auto"/>
        <w:ind w:left="0"/>
        <w:contextualSpacing w:val="0"/>
        <w:jc w:val="both"/>
        <w:rPr>
          <w:rFonts w:ascii="GHEA Grapalat" w:hAnsi="GHEA Grapalat"/>
          <w:b/>
          <w:i/>
          <w:iCs/>
          <w:lang w:val="hy-AM"/>
        </w:rPr>
      </w:pPr>
    </w:p>
    <w:p w14:paraId="07893938" w14:textId="0C5CE2A8" w:rsidR="004B64A0" w:rsidRPr="00266708" w:rsidRDefault="001D61A7" w:rsidP="00266708">
      <w:pPr>
        <w:pStyle w:val="ListParagraph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GHEA Grapalat" w:hAnsi="GHEA Grapalat"/>
          <w:b/>
          <w:i/>
          <w:iCs/>
          <w:lang w:val="hy-AM"/>
        </w:rPr>
      </w:pPr>
      <w:r>
        <w:rPr>
          <w:rFonts w:ascii="GHEA Grapalat" w:hAnsi="GHEA Grapalat"/>
          <w:b/>
          <w:i/>
          <w:iCs/>
          <w:lang w:val="hy-AM"/>
        </w:rPr>
        <w:t>Անձին սնանկ ճանաչելուց հետո բռնագանձման գործով կայացված դատական ակտերի կատարումը</w:t>
      </w:r>
    </w:p>
    <w:p w14:paraId="0B51F9F6" w14:textId="624538C7" w:rsidR="00900E81" w:rsidRPr="00EC37C9" w:rsidRDefault="00A843CC" w:rsidP="00BD1741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proofErr w:type="spellStart"/>
      <w:r w:rsidRPr="00EC37C9">
        <w:rPr>
          <w:rFonts w:ascii="GHEA Grapalat" w:hAnsi="GHEA Grapalat"/>
          <w:bCs/>
          <w:lang w:val="hy-AM"/>
        </w:rPr>
        <w:t>Վերոգրյալն</w:t>
      </w:r>
      <w:proofErr w:type="spellEnd"/>
      <w:r w:rsidRPr="00EC37C9">
        <w:rPr>
          <w:rFonts w:ascii="GHEA Grapalat" w:hAnsi="GHEA Grapalat"/>
          <w:bCs/>
          <w:lang w:val="hy-AM"/>
        </w:rPr>
        <w:t xml:space="preserve"> ամփոփելով՝ նախագիծն առաջարկում է </w:t>
      </w:r>
      <w:proofErr w:type="spellStart"/>
      <w:r w:rsidRPr="00EC37C9">
        <w:rPr>
          <w:rFonts w:ascii="GHEA Grapalat" w:hAnsi="GHEA Grapalat"/>
          <w:bCs/>
          <w:lang w:val="hy-AM"/>
        </w:rPr>
        <w:t>առաջնահերթությամբ</w:t>
      </w:r>
      <w:proofErr w:type="spellEnd"/>
      <w:r w:rsidRPr="00EC37C9">
        <w:rPr>
          <w:rFonts w:ascii="GHEA Grapalat" w:hAnsi="GHEA Grapalat"/>
          <w:bCs/>
          <w:lang w:val="hy-AM"/>
        </w:rPr>
        <w:t xml:space="preserve"> կատարել մինչև անձին սնանկ ճանաչելը կայացված բռնագանձման մասին վճիռները և միաժամանակ առաջարկում է չսահմանափակել սնանկության գործի քննությանը զուգահեռ բռնագանձման գործի քննությունը։ Այդպիս</w:t>
      </w:r>
      <w:r w:rsidR="00CB3815" w:rsidRPr="00EC37C9">
        <w:rPr>
          <w:rFonts w:ascii="GHEA Grapalat" w:hAnsi="GHEA Grapalat"/>
          <w:bCs/>
          <w:lang w:val="hy-AM"/>
        </w:rPr>
        <w:t>ո</w:t>
      </w:r>
      <w:r w:rsidRPr="00EC37C9">
        <w:rPr>
          <w:rFonts w:ascii="GHEA Grapalat" w:hAnsi="GHEA Grapalat"/>
          <w:bCs/>
          <w:lang w:val="hy-AM"/>
        </w:rPr>
        <w:t>վ, առաջանում է անհրաժեշտություն կարգավորելու այն դատական ակտերի կատարումը, որոնք կայացվում են անձին սնանկ ճանաչելուց հետո։</w:t>
      </w:r>
    </w:p>
    <w:p w14:paraId="7CABA2E7" w14:textId="59B8D87F" w:rsidR="00A843CC" w:rsidRDefault="00091A1E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Իռլանդիայի օրենսդրություն</w:t>
      </w:r>
      <w:r w:rsidR="00900E81">
        <w:rPr>
          <w:rFonts w:ascii="GHEA Grapalat" w:hAnsi="GHEA Grapalat"/>
          <w:bCs/>
          <w:lang w:val="hy-AM"/>
        </w:rPr>
        <w:t>ն</w:t>
      </w:r>
      <w:r>
        <w:rPr>
          <w:rFonts w:ascii="GHEA Grapalat" w:hAnsi="GHEA Grapalat"/>
          <w:bCs/>
          <w:lang w:val="hy-AM"/>
        </w:rPr>
        <w:t xml:space="preserve"> արգելում է անձին սնանկ ճանաչելուց հետո պարտապանին պատկանող գույքի վերաբերյալ կայացնել արգելադրման կամ բռնագանձման դատական ակտ։</w:t>
      </w:r>
      <w:r>
        <w:rPr>
          <w:rStyle w:val="FootnoteReference"/>
          <w:rFonts w:ascii="GHEA Grapalat" w:hAnsi="GHEA Grapalat"/>
          <w:bCs/>
          <w:lang w:val="hy-AM"/>
        </w:rPr>
        <w:footnoteReference w:id="15"/>
      </w:r>
    </w:p>
    <w:p w14:paraId="2ACEB5D8" w14:textId="70ACBDBF" w:rsidR="00900E81" w:rsidRDefault="00900E81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Քաղաքացիական բռնագանձման առնչությամբ համարժեք արգելք առկա է նաև Մեծ Բրիտանիայի օրենսդրությամբ,</w:t>
      </w:r>
      <w:r>
        <w:rPr>
          <w:rStyle w:val="FootnoteReference"/>
          <w:rFonts w:ascii="GHEA Grapalat" w:hAnsi="GHEA Grapalat"/>
          <w:bCs/>
          <w:lang w:val="hy-AM"/>
        </w:rPr>
        <w:footnoteReference w:id="16"/>
      </w:r>
      <w:r>
        <w:rPr>
          <w:rFonts w:ascii="GHEA Grapalat" w:hAnsi="GHEA Grapalat"/>
          <w:bCs/>
          <w:lang w:val="hy-AM"/>
        </w:rPr>
        <w:t xml:space="preserve"> իսկ որոշ հեղինակներ նույնիսկ պնդում են, որ պետության կողմից բարեխիղճ պարտատերերից առաջ բավարարում ստանալը կարող է դիտարկվել որպես Մարդու իրավունքների եվրոպական կոնվենցիայի </w:t>
      </w:r>
      <w:r w:rsidRPr="00900E81">
        <w:rPr>
          <w:rFonts w:ascii="GHEA Grapalat" w:hAnsi="GHEA Grapalat"/>
          <w:bCs/>
          <w:lang w:val="hy-AM"/>
        </w:rPr>
        <w:t>1-</w:t>
      </w:r>
      <w:r>
        <w:rPr>
          <w:rFonts w:ascii="GHEA Grapalat" w:hAnsi="GHEA Grapalat"/>
          <w:bCs/>
          <w:lang w:val="hy-AM"/>
        </w:rPr>
        <w:t xml:space="preserve">ին արձանագրության </w:t>
      </w:r>
      <w:r w:rsidRPr="00900E81">
        <w:rPr>
          <w:rFonts w:ascii="GHEA Grapalat" w:hAnsi="GHEA Grapalat"/>
          <w:bCs/>
          <w:lang w:val="hy-AM"/>
        </w:rPr>
        <w:t>1-</w:t>
      </w:r>
      <w:r>
        <w:rPr>
          <w:rFonts w:ascii="GHEA Grapalat" w:hAnsi="GHEA Grapalat"/>
          <w:bCs/>
          <w:lang w:val="hy-AM"/>
        </w:rPr>
        <w:t>ին հոդվածի խախտում։</w:t>
      </w:r>
      <w:r w:rsidR="0065032B">
        <w:rPr>
          <w:rStyle w:val="FootnoteReference"/>
          <w:rFonts w:ascii="GHEA Grapalat" w:hAnsi="GHEA Grapalat"/>
          <w:bCs/>
          <w:lang w:val="hy-AM"/>
        </w:rPr>
        <w:footnoteReference w:id="17"/>
      </w:r>
    </w:p>
    <w:p w14:paraId="537FCC8E" w14:textId="28EB30F9" w:rsidR="004B64A0" w:rsidRPr="00BE4C89" w:rsidRDefault="00900E81" w:rsidP="00BE4C89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Մյուս կողմից</w:t>
      </w:r>
      <w:r>
        <w:rPr>
          <w:rFonts w:ascii="Cambria Math" w:hAnsi="Cambria Math"/>
          <w:bCs/>
          <w:lang w:val="hy-AM"/>
        </w:rPr>
        <w:t xml:space="preserve">, </w:t>
      </w:r>
      <w:r w:rsidR="00091A1E">
        <w:rPr>
          <w:rFonts w:ascii="GHEA Grapalat" w:hAnsi="GHEA Grapalat"/>
          <w:bCs/>
          <w:lang w:val="hy-AM"/>
        </w:rPr>
        <w:t>Ավստրալիայի սնանկության օրենսդրությունը նախատեսում է, որ եթե առկա է անձին սնանկ ճանաչելու օրը կամ դրանից հետո հանցավոր ակտիվների վերականգման օրենսդրության կիրառմամբ կայացված դատական ակտ, ապա այդ մասով արգելվում է գույքի բաշխումը պարտատերերի միջև։</w:t>
      </w:r>
      <w:r w:rsidR="00091A1E">
        <w:rPr>
          <w:rStyle w:val="FootnoteReference"/>
          <w:rFonts w:ascii="GHEA Grapalat" w:hAnsi="GHEA Grapalat"/>
          <w:bCs/>
          <w:lang w:val="hy-AM"/>
        </w:rPr>
        <w:footnoteReference w:id="18"/>
      </w:r>
      <w:r w:rsidR="00091A1E">
        <w:rPr>
          <w:rFonts w:ascii="GHEA Grapalat" w:hAnsi="GHEA Grapalat"/>
          <w:bCs/>
          <w:lang w:val="hy-AM"/>
        </w:rPr>
        <w:t xml:space="preserve"> Ավելին բաշխումն </w:t>
      </w:r>
      <w:r w:rsidR="00091A1E">
        <w:rPr>
          <w:rFonts w:ascii="GHEA Grapalat" w:hAnsi="GHEA Grapalat"/>
          <w:bCs/>
          <w:lang w:val="hy-AM"/>
        </w:rPr>
        <w:lastRenderedPageBreak/>
        <w:t>արգելվում է նաև, եթե գույքի բռնագանձման հարցը դեռ քննվում է այլ դատարանում։</w:t>
      </w:r>
      <w:r w:rsidR="00091A1E">
        <w:rPr>
          <w:rStyle w:val="FootnoteReference"/>
          <w:rFonts w:ascii="GHEA Grapalat" w:hAnsi="GHEA Grapalat"/>
          <w:bCs/>
          <w:lang w:val="hy-AM"/>
        </w:rPr>
        <w:footnoteReference w:id="19"/>
      </w:r>
      <w:r w:rsidR="002C37DB" w:rsidRPr="002C37DB">
        <w:rPr>
          <w:rFonts w:ascii="GHEA Grapalat" w:hAnsi="GHEA Grapalat"/>
          <w:bCs/>
          <w:lang w:val="hy-AM"/>
        </w:rPr>
        <w:t xml:space="preserve"> </w:t>
      </w:r>
      <w:r w:rsidR="002C37DB">
        <w:rPr>
          <w:rFonts w:ascii="GHEA Grapalat" w:hAnsi="GHEA Grapalat"/>
          <w:bCs/>
          <w:lang w:val="hy-AM"/>
        </w:rPr>
        <w:t xml:space="preserve">Դատարանը կարող է նաև արգելել կառավարչին սնանկության գործի քննության ավարտից հետո մնացած գույքը վերադարձնել պարտապանին, եթե համոզվում է, որ  հանցավոր </w:t>
      </w:r>
      <w:r w:rsidR="002C37DB" w:rsidRPr="002C37DB">
        <w:rPr>
          <w:rFonts w:ascii="GHEA Grapalat" w:hAnsi="GHEA Grapalat"/>
          <w:bCs/>
          <w:lang w:val="hy-AM"/>
        </w:rPr>
        <w:t>(</w:t>
      </w:r>
      <w:r w:rsidR="002C37DB">
        <w:rPr>
          <w:rFonts w:ascii="GHEA Grapalat" w:hAnsi="GHEA Grapalat"/>
          <w:bCs/>
          <w:lang w:val="hy-AM"/>
        </w:rPr>
        <w:t>ապօրինի</w:t>
      </w:r>
      <w:r w:rsidR="002C37DB" w:rsidRPr="002C37DB">
        <w:rPr>
          <w:rFonts w:ascii="GHEA Grapalat" w:hAnsi="GHEA Grapalat"/>
          <w:bCs/>
          <w:lang w:val="hy-AM"/>
        </w:rPr>
        <w:t>)</w:t>
      </w:r>
      <w:r w:rsidR="002C37DB">
        <w:rPr>
          <w:rFonts w:ascii="GHEA Grapalat" w:hAnsi="GHEA Grapalat"/>
          <w:bCs/>
          <w:lang w:val="hy-AM"/>
        </w:rPr>
        <w:t xml:space="preserve"> գույքի բռնագանձման հարցը քննվում է զուգահեռ քրեական կամ քաղաքացիական գործով։</w:t>
      </w:r>
      <w:r w:rsidR="002C37DB">
        <w:rPr>
          <w:rStyle w:val="FootnoteReference"/>
          <w:rFonts w:ascii="GHEA Grapalat" w:hAnsi="GHEA Grapalat"/>
          <w:bCs/>
          <w:lang w:val="hy-AM"/>
        </w:rPr>
        <w:footnoteReference w:id="20"/>
      </w:r>
    </w:p>
    <w:p w14:paraId="0CFFC747" w14:textId="63E9F636" w:rsidR="00013A64" w:rsidRPr="00BE4C89" w:rsidRDefault="00BE4C89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r w:rsidRPr="00BE4C89">
        <w:rPr>
          <w:rFonts w:ascii="GHEA Grapalat" w:hAnsi="GHEA Grapalat"/>
          <w:bCs/>
          <w:lang w:val="hy-AM"/>
        </w:rPr>
        <w:t xml:space="preserve">Ամերիկայի միացյալ նահանգներում, ինչպես արդեն նշվել է, գույքը, որի առնչությամբ </w:t>
      </w:r>
      <w:r w:rsidR="000C25D8">
        <w:rPr>
          <w:rFonts w:ascii="GHEA Grapalat" w:hAnsi="GHEA Grapalat"/>
          <w:bCs/>
          <w:lang w:val="hy-AM"/>
        </w:rPr>
        <w:t xml:space="preserve">պետության կողմից </w:t>
      </w:r>
      <w:r w:rsidRPr="00BE4C89">
        <w:rPr>
          <w:rFonts w:ascii="GHEA Grapalat" w:hAnsi="GHEA Grapalat"/>
          <w:bCs/>
          <w:lang w:val="hy-AM"/>
        </w:rPr>
        <w:t xml:space="preserve">ներկայացվում է բռնագանձման պահանջ դուրս է գալիս </w:t>
      </w:r>
      <w:r>
        <w:rPr>
          <w:rFonts w:ascii="GHEA Grapalat" w:hAnsi="GHEA Grapalat"/>
          <w:bCs/>
          <w:lang w:val="hy-AM"/>
        </w:rPr>
        <w:t>պարտապանին պատկանող գույքի ծավալից</w:t>
      </w:r>
      <w:r w:rsidRPr="00BE4C89">
        <w:rPr>
          <w:rFonts w:ascii="GHEA Grapalat" w:hAnsi="GHEA Grapalat"/>
          <w:bCs/>
          <w:lang w:val="hy-AM"/>
        </w:rPr>
        <w:t xml:space="preserve">, </w:t>
      </w:r>
      <w:r>
        <w:rPr>
          <w:rFonts w:ascii="GHEA Grapalat" w:hAnsi="GHEA Grapalat"/>
          <w:bCs/>
          <w:lang w:val="hy-AM"/>
        </w:rPr>
        <w:t>քանի որ համարվում է</w:t>
      </w:r>
      <w:r w:rsidR="000C25D8">
        <w:rPr>
          <w:rFonts w:ascii="GHEA Grapalat" w:hAnsi="GHEA Grapalat"/>
          <w:bCs/>
          <w:lang w:val="hy-AM"/>
        </w:rPr>
        <w:t xml:space="preserve"> պետության սեփականությունը դրա </w:t>
      </w:r>
      <w:r>
        <w:rPr>
          <w:rFonts w:ascii="GHEA Grapalat" w:hAnsi="GHEA Grapalat"/>
          <w:bCs/>
          <w:lang w:val="hy-AM"/>
        </w:rPr>
        <w:t>ձեռքբերման պահի</w:t>
      </w:r>
      <w:r w:rsidR="000C25D8">
        <w:rPr>
          <w:rFonts w:ascii="GHEA Grapalat" w:hAnsi="GHEA Grapalat"/>
          <w:bCs/>
          <w:lang w:val="hy-AM"/>
        </w:rPr>
        <w:t>ց</w:t>
      </w:r>
      <w:r w:rsidR="000C25D8" w:rsidRPr="000C25D8">
        <w:rPr>
          <w:rFonts w:ascii="GHEA Grapalat" w:hAnsi="GHEA Grapalat"/>
          <w:bCs/>
          <w:lang w:val="hy-AM"/>
        </w:rPr>
        <w:t xml:space="preserve">: </w:t>
      </w:r>
      <w:r w:rsidR="000C25D8">
        <w:rPr>
          <w:rFonts w:ascii="GHEA Grapalat" w:hAnsi="GHEA Grapalat"/>
          <w:bCs/>
          <w:lang w:val="hy-AM"/>
        </w:rPr>
        <w:t xml:space="preserve">Նշվածը </w:t>
      </w:r>
      <w:r>
        <w:rPr>
          <w:rFonts w:ascii="GHEA Grapalat" w:hAnsi="GHEA Grapalat"/>
          <w:bCs/>
          <w:lang w:val="hy-AM"/>
        </w:rPr>
        <w:t>որոշ հեղինակներ համարում են խնդրահարույց</w:t>
      </w:r>
      <w:r w:rsidR="000C25D8">
        <w:rPr>
          <w:rFonts w:ascii="GHEA Grapalat" w:hAnsi="GHEA Grapalat"/>
          <w:bCs/>
          <w:lang w:val="hy-AM"/>
        </w:rPr>
        <w:t>՝ հիմք ընդունելով, որ պետության բռնագանձման պահանջն ամեն դեպքում ենթակա է հաստատման դատարանի կողմից և առկա օրենսդրական կանոնն այն է, որ պետության բռնագանձման պահանջը բավարարվի չապահովված պարտատերերից հետո։</w:t>
      </w:r>
      <w:r w:rsidR="000C25D8">
        <w:rPr>
          <w:rStyle w:val="FootnoteReference"/>
          <w:rFonts w:ascii="GHEA Grapalat" w:hAnsi="GHEA Grapalat"/>
          <w:bCs/>
          <w:lang w:val="hy-AM"/>
        </w:rPr>
        <w:footnoteReference w:id="21"/>
      </w:r>
    </w:p>
    <w:p w14:paraId="7B52C1C4" w14:textId="61A6CDE3" w:rsidR="00F55B42" w:rsidRPr="003F40B4" w:rsidRDefault="000C25D8" w:rsidP="002C37DB">
      <w:pPr>
        <w:pStyle w:val="ListParagraph"/>
        <w:numPr>
          <w:ilvl w:val="1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Հաշվի առնելով վերոնշյալը՝ նախագծով առաջարկվում է անձին սնանկ ճանաչելուց հետո կայացված բռնագանձման մասին դատական ակտերը կատարել պարտատերերի պահանջների բավարարումից հետո։ Միաժամանակ, առաջարկվում է հնարավորություն ստեղծել իրավասու մարմնի համար ներկայացնելու առարկություններ և վիճարկելու պարտատերերի այն պահանջները, որոնց բարեխիղճ լինելու վերաբերյալ առկա են կասկածներ։ Վիճարկվող պահանջները «Սնանկության մասին» օրենքով նախատեսված կարգով կկասեցվեն մինչև դրանց վերաբերյալ որոշման կայացումը</w:t>
      </w:r>
      <w:r w:rsidR="00A91C7C">
        <w:rPr>
          <w:rFonts w:ascii="GHEA Grapalat" w:hAnsi="GHEA Grapalat"/>
          <w:bCs/>
          <w:lang w:val="hy-AM"/>
        </w:rPr>
        <w:t>։</w:t>
      </w:r>
    </w:p>
    <w:p w14:paraId="58F26906" w14:textId="3FEFFA90" w:rsidR="005F6D1A" w:rsidRPr="003F40B4" w:rsidRDefault="005F6D1A" w:rsidP="005F6D1A">
      <w:pPr>
        <w:shd w:val="clear" w:color="auto" w:fill="FFFFFF"/>
        <w:spacing w:line="276" w:lineRule="auto"/>
        <w:ind w:firstLine="567"/>
        <w:contextualSpacing/>
        <w:jc w:val="both"/>
        <w:rPr>
          <w:rFonts w:ascii="GHEA Grapalat" w:hAnsi="GHEA Grapalat"/>
          <w:bCs/>
          <w:lang w:val="hy-AM"/>
        </w:rPr>
      </w:pPr>
    </w:p>
    <w:p w14:paraId="66B3F5F4" w14:textId="6900E8BC" w:rsidR="005F6D1A" w:rsidRPr="003F40B4" w:rsidRDefault="00F55B42" w:rsidP="002C37DB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3F40B4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</w:t>
      </w:r>
      <w:r w:rsidR="00211C85">
        <w:rPr>
          <w:rFonts w:ascii="GHEA Grapalat" w:hAnsi="GHEA Grapalat"/>
          <w:b/>
          <w:lang w:val="hy-AM"/>
        </w:rPr>
        <w:t>Ն</w:t>
      </w:r>
      <w:r w:rsidRPr="003F40B4">
        <w:rPr>
          <w:rFonts w:ascii="GHEA Grapalat" w:hAnsi="GHEA Grapalat"/>
          <w:b/>
          <w:lang w:val="hy-AM"/>
        </w:rPr>
        <w:t>Ք</w:t>
      </w:r>
    </w:p>
    <w:p w14:paraId="20EF7C44" w14:textId="77777777" w:rsidR="005F6D1A" w:rsidRPr="003F40B4" w:rsidRDefault="005F6D1A" w:rsidP="005F6D1A">
      <w:pPr>
        <w:shd w:val="clear" w:color="auto" w:fill="FFFFFF"/>
        <w:spacing w:line="276" w:lineRule="auto"/>
        <w:ind w:firstLine="360"/>
        <w:contextualSpacing/>
        <w:jc w:val="center"/>
        <w:rPr>
          <w:rFonts w:ascii="GHEA Grapalat" w:hAnsi="GHEA Grapalat"/>
          <w:b/>
          <w:lang w:val="hy-AM"/>
        </w:rPr>
      </w:pPr>
    </w:p>
    <w:p w14:paraId="1E7F0264" w14:textId="77777777" w:rsidR="005F6D1A" w:rsidRPr="003F40B4" w:rsidRDefault="005F6D1A" w:rsidP="002C37DB">
      <w:pPr>
        <w:pStyle w:val="ListParagraph"/>
        <w:numPr>
          <w:ilvl w:val="1"/>
          <w:numId w:val="3"/>
        </w:numPr>
        <w:shd w:val="clear" w:color="auto" w:fill="FFFFFF"/>
        <w:spacing w:line="276" w:lineRule="auto"/>
        <w:ind w:left="0" w:firstLine="0"/>
        <w:jc w:val="both"/>
        <w:rPr>
          <w:rFonts w:ascii="GHEA Grapalat" w:hAnsi="GHEA Grapalat"/>
          <w:lang w:val="hy-AM"/>
        </w:rPr>
      </w:pPr>
      <w:r w:rsidRPr="003F40B4">
        <w:rPr>
          <w:rFonts w:ascii="GHEA Grapalat" w:hAnsi="GHEA Grapalat"/>
          <w:lang w:val="hy-AM"/>
        </w:rPr>
        <w:t>Նախագիծը մշակվել է ՀՀ արդարադատության նախարարության կողմից:</w:t>
      </w:r>
    </w:p>
    <w:p w14:paraId="43F99A6C" w14:textId="77777777" w:rsidR="005F6D1A" w:rsidRPr="003F40B4" w:rsidRDefault="005F6D1A" w:rsidP="005F6D1A">
      <w:pPr>
        <w:shd w:val="clear" w:color="auto" w:fill="FFFFFF"/>
        <w:spacing w:line="276" w:lineRule="auto"/>
        <w:ind w:firstLine="360"/>
        <w:contextualSpacing/>
        <w:jc w:val="both"/>
        <w:rPr>
          <w:rFonts w:ascii="GHEA Grapalat" w:hAnsi="GHEA Grapalat"/>
          <w:lang w:val="hy-AM"/>
        </w:rPr>
      </w:pPr>
    </w:p>
    <w:p w14:paraId="59A5FDC5" w14:textId="77777777" w:rsidR="005F6D1A" w:rsidRPr="003F40B4" w:rsidRDefault="00F55B42" w:rsidP="002C37DB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3F40B4">
        <w:rPr>
          <w:rFonts w:ascii="GHEA Grapalat" w:hAnsi="GHEA Grapalat"/>
          <w:b/>
          <w:lang w:val="hy-AM"/>
        </w:rPr>
        <w:t>ԱԿՆԿԱԼՎՈՂ ԱՐԴՅՈՒՆՔԸ</w:t>
      </w:r>
    </w:p>
    <w:p w14:paraId="500554EB" w14:textId="77777777" w:rsidR="005F6D1A" w:rsidRPr="003F40B4" w:rsidRDefault="005F6D1A" w:rsidP="005F6D1A">
      <w:pPr>
        <w:shd w:val="clear" w:color="auto" w:fill="FFFFFF"/>
        <w:spacing w:line="276" w:lineRule="auto"/>
        <w:ind w:firstLine="360"/>
        <w:contextualSpacing/>
        <w:jc w:val="center"/>
        <w:rPr>
          <w:rFonts w:ascii="GHEA Grapalat" w:hAnsi="GHEA Grapalat"/>
          <w:b/>
          <w:lang w:val="hy-AM"/>
        </w:rPr>
      </w:pPr>
    </w:p>
    <w:p w14:paraId="5A8AD2D9" w14:textId="460DC970" w:rsidR="00EB224F" w:rsidRPr="0080609F" w:rsidRDefault="00B520C6" w:rsidP="0080609F">
      <w:pPr>
        <w:pStyle w:val="ListParagraph"/>
        <w:numPr>
          <w:ilvl w:val="1"/>
          <w:numId w:val="3"/>
        </w:numPr>
        <w:shd w:val="clear" w:color="auto" w:fill="FFFFFF"/>
        <w:spacing w:line="276" w:lineRule="auto"/>
        <w:ind w:left="0" w:hanging="11"/>
        <w:jc w:val="both"/>
        <w:rPr>
          <w:rFonts w:ascii="GHEA Grapalat" w:hAnsi="GHEA Grapalat"/>
          <w:b/>
          <w:lang w:val="hy-AM"/>
        </w:rPr>
      </w:pPr>
      <w:r w:rsidRPr="00B520C6">
        <w:rPr>
          <w:rFonts w:ascii="GHEA Grapalat" w:hAnsi="GHEA Grapalat"/>
          <w:bCs/>
          <w:lang w:val="hy-AM"/>
        </w:rPr>
        <w:lastRenderedPageBreak/>
        <w:t xml:space="preserve"> </w:t>
      </w:r>
      <w:r w:rsidR="002C37DB">
        <w:rPr>
          <w:rFonts w:ascii="GHEA Grapalat" w:hAnsi="GHEA Grapalat"/>
          <w:bCs/>
          <w:lang w:val="hy-AM"/>
        </w:rPr>
        <w:t>Ն</w:t>
      </w:r>
      <w:r w:rsidR="005F6D1A" w:rsidRPr="00BA10BE">
        <w:rPr>
          <w:rFonts w:ascii="GHEA Grapalat" w:hAnsi="GHEA Grapalat"/>
          <w:bCs/>
          <w:lang w:val="hy-AM"/>
        </w:rPr>
        <w:t>ախագծի</w:t>
      </w:r>
      <w:r w:rsidR="005F6D1A" w:rsidRPr="00B520C6">
        <w:rPr>
          <w:rFonts w:ascii="GHEA Grapalat" w:hAnsi="GHEA Grapalat"/>
          <w:bCs/>
          <w:lang w:val="hy-AM"/>
        </w:rPr>
        <w:t xml:space="preserve"> ընդունման</w:t>
      </w:r>
      <w:r w:rsidR="005F6D1A" w:rsidRPr="003F40B4">
        <w:rPr>
          <w:rFonts w:ascii="GHEA Grapalat" w:hAnsi="GHEA Grapalat"/>
          <w:bCs/>
          <w:lang w:val="hy-AM"/>
        </w:rPr>
        <w:t xml:space="preserve"> արդյունքում </w:t>
      </w:r>
      <w:r w:rsidR="002C37DB">
        <w:rPr>
          <w:rFonts w:ascii="GHEA Grapalat" w:hAnsi="GHEA Grapalat"/>
          <w:bCs/>
          <w:lang w:val="hy-AM"/>
        </w:rPr>
        <w:t>ակնկալվում է կարգավորել ապօրինի ծագում ունեցող գույքի բռնագանձման գործերի և սնանկության գործերի հարաբերակցությունը։ Նշված</w:t>
      </w:r>
      <w:r w:rsidR="00F57F34">
        <w:rPr>
          <w:rFonts w:ascii="GHEA Grapalat" w:hAnsi="GHEA Grapalat"/>
          <w:bCs/>
          <w:lang w:val="hy-AM"/>
        </w:rPr>
        <w:t xml:space="preserve">ը </w:t>
      </w:r>
      <w:r w:rsidR="002C37DB">
        <w:rPr>
          <w:rFonts w:ascii="GHEA Grapalat" w:hAnsi="GHEA Grapalat"/>
          <w:bCs/>
          <w:lang w:val="hy-AM"/>
        </w:rPr>
        <w:t xml:space="preserve">կվերացնի հնարավոր օրենսդրական </w:t>
      </w:r>
      <w:proofErr w:type="spellStart"/>
      <w:r w:rsidR="002C37DB">
        <w:rPr>
          <w:rFonts w:ascii="GHEA Grapalat" w:hAnsi="GHEA Grapalat"/>
          <w:bCs/>
          <w:lang w:val="hy-AM"/>
        </w:rPr>
        <w:t>բացերի</w:t>
      </w:r>
      <w:proofErr w:type="spellEnd"/>
      <w:r w:rsidR="002C37DB">
        <w:rPr>
          <w:rFonts w:ascii="GHEA Grapalat" w:hAnsi="GHEA Grapalat"/>
          <w:bCs/>
          <w:lang w:val="hy-AM"/>
        </w:rPr>
        <w:t xml:space="preserve"> արդյունքում ապօրինի ծագում ունեցող գույքի բռնագանձման ինստիտուտի արդյունավետության նվազման հնարավորությունը՝ միաժամանակ ապահովելով պարտատերերի շահերի պաշտպանությունը</w:t>
      </w:r>
      <w:r w:rsidR="005F6D1A" w:rsidRPr="003F40B4">
        <w:rPr>
          <w:rFonts w:ascii="GHEA Grapalat" w:hAnsi="GHEA Grapalat"/>
          <w:bCs/>
          <w:lang w:val="hy-AM"/>
        </w:rPr>
        <w:t xml:space="preserve">: </w:t>
      </w:r>
    </w:p>
    <w:sectPr w:rsidR="00EB224F" w:rsidRPr="0080609F" w:rsidSect="0080609F">
      <w:headerReference w:type="default" r:id="rId8"/>
      <w:footerReference w:type="default" r:id="rId9"/>
      <w:pgSz w:w="12240" w:h="15840"/>
      <w:pgMar w:top="1361" w:right="1361" w:bottom="1361" w:left="136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E0588" w14:textId="77777777" w:rsidR="00571BE6" w:rsidRDefault="00571BE6" w:rsidP="005F6D1A">
      <w:r>
        <w:separator/>
      </w:r>
    </w:p>
  </w:endnote>
  <w:endnote w:type="continuationSeparator" w:id="0">
    <w:p w14:paraId="34FFA6C8" w14:textId="77777777" w:rsidR="00571BE6" w:rsidRDefault="00571BE6" w:rsidP="005F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60365"/>
      <w:docPartObj>
        <w:docPartGallery w:val="Page Numbers (Bottom of Page)"/>
        <w:docPartUnique/>
      </w:docPartObj>
    </w:sdtPr>
    <w:sdtEndPr/>
    <w:sdtContent>
      <w:p w14:paraId="362CF38C" w14:textId="77777777" w:rsidR="00091A1E" w:rsidRDefault="00091A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881ADF" w14:textId="77777777" w:rsidR="00091A1E" w:rsidRDefault="00091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492C9" w14:textId="77777777" w:rsidR="00571BE6" w:rsidRDefault="00571BE6" w:rsidP="005F6D1A">
      <w:r>
        <w:separator/>
      </w:r>
    </w:p>
  </w:footnote>
  <w:footnote w:type="continuationSeparator" w:id="0">
    <w:p w14:paraId="3AAAB35B" w14:textId="77777777" w:rsidR="00571BE6" w:rsidRDefault="00571BE6" w:rsidP="005F6D1A">
      <w:r>
        <w:continuationSeparator/>
      </w:r>
    </w:p>
  </w:footnote>
  <w:footnote w:id="1">
    <w:p w14:paraId="74FFE4EB" w14:textId="3F8E90BE" w:rsidR="00091A1E" w:rsidRPr="0065032B" w:rsidRDefault="00091A1E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When Two Worlds Collide the Relationship and Conflicts Between Asset Forfeiture and Bankruptcy Law</w:t>
      </w:r>
      <w:r w:rsidRPr="0065032B">
        <w:rPr>
          <w:rFonts w:ascii="GHEA Grapalat" w:hAnsi="GHEA Grapalat"/>
          <w:lang w:val="hy-AM"/>
        </w:rPr>
        <w:t xml:space="preserve">, </w:t>
      </w:r>
      <w:r w:rsidRPr="0065032B">
        <w:rPr>
          <w:rFonts w:ascii="GHEA Grapalat" w:hAnsi="GHEA Grapalat"/>
        </w:rPr>
        <w:t>May 2002, American Bankruptcy Institute Journal, online at: &lt;</w:t>
      </w:r>
      <w:r w:rsidR="0065032B" w:rsidRPr="0065032B">
        <w:rPr>
          <w:rFonts w:ascii="GHEA Grapalat" w:hAnsi="GHEA Grapalat"/>
        </w:rPr>
        <w:t xml:space="preserve"> </w:t>
      </w:r>
      <w:hyperlink r:id="rId1" w:history="1">
        <w:r w:rsidR="0065032B" w:rsidRPr="0065032B">
          <w:rPr>
            <w:rStyle w:val="Hyperlink"/>
            <w:rFonts w:ascii="GHEA Grapalat" w:hAnsi="GHEA Grapalat"/>
          </w:rPr>
          <w:t>https://www.abi.org/abi-journal/when-two-worlds-collide-the-relationship-and-conflicts-between-asset-forfeiture-and</w:t>
        </w:r>
      </w:hyperlink>
      <w:r w:rsidR="0065032B" w:rsidRPr="0065032B">
        <w:rPr>
          <w:rFonts w:ascii="GHEA Grapalat" w:hAnsi="GHEA Grapalat"/>
        </w:rPr>
        <w:t xml:space="preserve"> </w:t>
      </w:r>
      <w:r w:rsidRPr="0065032B">
        <w:rPr>
          <w:rFonts w:ascii="GHEA Grapalat" w:hAnsi="GHEA Grapalat"/>
        </w:rPr>
        <w:t>&gt;.</w:t>
      </w:r>
    </w:p>
  </w:footnote>
  <w:footnote w:id="2">
    <w:p w14:paraId="42B63041" w14:textId="389E9341" w:rsidR="00091A1E" w:rsidRPr="0065032B" w:rsidRDefault="00091A1E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Ibid.</w:t>
      </w:r>
    </w:p>
  </w:footnote>
  <w:footnote w:id="3">
    <w:p w14:paraId="3D49CDB7" w14:textId="490C7504" w:rsidR="00091A1E" w:rsidRPr="0065032B" w:rsidRDefault="00091A1E">
      <w:pPr>
        <w:pStyle w:val="FootnoteText"/>
        <w:rPr>
          <w:rFonts w:ascii="GHEA Grapalat" w:hAnsi="GHEA Grapalat"/>
          <w:lang w:val="hy-AM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Henry C. </w:t>
      </w:r>
      <w:r w:rsidRPr="0065032B">
        <w:rPr>
          <w:rFonts w:ascii="GHEA Grapalat" w:hAnsi="GHEA Grapalat"/>
        </w:rPr>
        <w:t>Kevane, What Just Happened? How Asset Forfeiture Affects Bankruptcy Distributions,</w:t>
      </w:r>
      <w:r w:rsidR="00306F58" w:rsidRPr="0065032B">
        <w:rPr>
          <w:rFonts w:ascii="GHEA Grapalat" w:hAnsi="GHEA Grapalat"/>
        </w:rPr>
        <w:t xml:space="preserve"> “</w:t>
      </w:r>
      <w:r w:rsidRPr="0065032B">
        <w:rPr>
          <w:rFonts w:ascii="GHEA Grapalat" w:hAnsi="GHEA Grapalat"/>
        </w:rPr>
        <w:t xml:space="preserve">Asset Forfeiture”, 30 June 2012, online at &lt; </w:t>
      </w:r>
      <w:hyperlink r:id="rId2" w:history="1">
        <w:r w:rsidRPr="0065032B">
          <w:rPr>
            <w:rStyle w:val="Hyperlink"/>
            <w:rFonts w:ascii="GHEA Grapalat" w:hAnsi="GHEA Grapalat"/>
          </w:rPr>
          <w:t>https://www.americanbar.org/groups/business_law/publications/blt/2012/06/03_kevane/</w:t>
        </w:r>
      </w:hyperlink>
      <w:r w:rsidRPr="0065032B">
        <w:rPr>
          <w:rFonts w:ascii="GHEA Grapalat" w:hAnsi="GHEA Grapalat"/>
        </w:rPr>
        <w:t>&gt;.</w:t>
      </w:r>
    </w:p>
  </w:footnote>
  <w:footnote w:id="4">
    <w:p w14:paraId="256C91AA" w14:textId="49FE0070" w:rsidR="00091A1E" w:rsidRPr="0065032B" w:rsidRDefault="00091A1E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Bankruptcy Act 1966</w:t>
      </w:r>
      <w:r w:rsidRPr="0065032B">
        <w:rPr>
          <w:rFonts w:ascii="GHEA Grapalat" w:hAnsi="GHEA Grapalat"/>
          <w:lang w:val="hy-AM"/>
        </w:rPr>
        <w:t xml:space="preserve">, </w:t>
      </w:r>
      <w:r w:rsidRPr="0065032B">
        <w:rPr>
          <w:rFonts w:ascii="GHEA Grapalat" w:hAnsi="GHEA Grapalat"/>
        </w:rPr>
        <w:t>Section 189AA</w:t>
      </w:r>
      <w:r w:rsidRPr="0065032B">
        <w:rPr>
          <w:rFonts w:ascii="GHEA Grapalat" w:hAnsi="GHEA Grapalat"/>
          <w:lang w:val="hy-AM"/>
        </w:rPr>
        <w:t xml:space="preserve"> </w:t>
      </w:r>
      <w:r w:rsidRPr="0065032B">
        <w:rPr>
          <w:rFonts w:ascii="GHEA Grapalat" w:hAnsi="GHEA Grapalat"/>
        </w:rPr>
        <w:t>(2).</w:t>
      </w:r>
    </w:p>
  </w:footnote>
  <w:footnote w:id="5">
    <w:p w14:paraId="373812F7" w14:textId="4A5CBD6D" w:rsidR="00091A1E" w:rsidRPr="0065032B" w:rsidRDefault="00091A1E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Proceeds of Crime Act 1996, Section 11 (1).</w:t>
      </w:r>
    </w:p>
  </w:footnote>
  <w:footnote w:id="6">
    <w:p w14:paraId="43298561" w14:textId="48A04B0D" w:rsidR="00091A1E" w:rsidRPr="0065032B" w:rsidRDefault="00091A1E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Bankruptcy Act 1966</w:t>
      </w:r>
      <w:r w:rsidRPr="0065032B">
        <w:rPr>
          <w:rFonts w:ascii="GHEA Grapalat" w:hAnsi="GHEA Grapalat"/>
          <w:lang w:val="hy-AM"/>
        </w:rPr>
        <w:t xml:space="preserve">, </w:t>
      </w:r>
      <w:r w:rsidRPr="0065032B">
        <w:rPr>
          <w:rFonts w:ascii="GHEA Grapalat" w:hAnsi="GHEA Grapalat"/>
        </w:rPr>
        <w:t>Section 58A (1).</w:t>
      </w:r>
    </w:p>
  </w:footnote>
  <w:footnote w:id="7">
    <w:p w14:paraId="7269577A" w14:textId="2B2321B5" w:rsidR="00091A1E" w:rsidRPr="0065032B" w:rsidRDefault="00091A1E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Ibid, Section 58A (2).</w:t>
      </w:r>
    </w:p>
  </w:footnote>
  <w:footnote w:id="8">
    <w:p w14:paraId="68E98DC4" w14:textId="77777777" w:rsidR="00091A1E" w:rsidRPr="0065032B" w:rsidRDefault="00091A1E" w:rsidP="00FB0189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</w:t>
      </w:r>
      <w:r w:rsidRPr="0065032B">
        <w:rPr>
          <w:rFonts w:ascii="GHEA Grapalat" w:hAnsi="GHEA Grapalat"/>
          <w:lang w:val="hy-AM"/>
        </w:rPr>
        <w:t xml:space="preserve">Դոկտրինի կիրառման հարցով տե՛ս՝ </w:t>
      </w:r>
      <w:r w:rsidRPr="0065032B">
        <w:rPr>
          <w:rFonts w:ascii="GHEA Grapalat" w:hAnsi="GHEA Grapalat"/>
        </w:rPr>
        <w:t>Michael S. Linscott, Asset Forfeiture (Modern Anti-Drug Weapon): Is Bankruptcy a Defense, 25 Tulsa L.J. 617 (1990), 629-631.</w:t>
      </w:r>
    </w:p>
  </w:footnote>
  <w:footnote w:id="9">
    <w:p w14:paraId="769DFA6C" w14:textId="028C272B" w:rsidR="00091A1E" w:rsidRPr="0065032B" w:rsidRDefault="00091A1E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 </w:t>
      </w:r>
      <w:r w:rsidRPr="0065032B">
        <w:rPr>
          <w:rFonts w:ascii="GHEA Grapalat" w:hAnsi="GHEA Grapalat"/>
          <w:lang w:val="hy-AM"/>
        </w:rPr>
        <w:t xml:space="preserve">Տե՛ս օրինակ՝ </w:t>
      </w:r>
      <w:r w:rsidRPr="0065032B">
        <w:rPr>
          <w:rFonts w:ascii="GHEA Grapalat" w:hAnsi="GHEA Grapalat"/>
        </w:rPr>
        <w:t>United States v. Pelullo, 178 F.3d 196, 203 (3d Cir. 1999); United States v. French, 822 F. Supp. 2d 615, 618-19 (E.D. Va. 2011); United States v. One Silicon Valley Bank Account, 549 F. Supp. 2d 940, 958 (W.D. Mich. 2008); United States v. Klein (In re Chapman), 264 B.R. 565, 572 (B.A.P. 9th Cir. 2001); Jahn v. United States (In re WinPar Hospitality Chattanooga, LLC), 404 B.R. 291, 299-302 (Bankr. E.D. Tenn. 2009).</w:t>
      </w:r>
    </w:p>
  </w:footnote>
  <w:footnote w:id="10">
    <w:p w14:paraId="5B0518FF" w14:textId="7745EA00" w:rsidR="00091A1E" w:rsidRPr="0065032B" w:rsidRDefault="00091A1E">
      <w:pPr>
        <w:pStyle w:val="FootnoteText"/>
        <w:rPr>
          <w:rFonts w:ascii="GHEA Grapalat" w:hAnsi="GHEA Grapalat"/>
          <w:lang w:val="hy-AM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Report of The Committee on Court System and Bankruptcy Administration, National Bankruptcy Conference, Bankruptcy and Forfeiture Proceedings, Annual Meeting, November 10-11, 2016, 5.</w:t>
      </w:r>
    </w:p>
  </w:footnote>
  <w:footnote w:id="11">
    <w:p w14:paraId="0CC8108D" w14:textId="4F4A4187" w:rsidR="00091A1E" w:rsidRPr="0065032B" w:rsidRDefault="00091A1E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Ibid.</w:t>
      </w:r>
    </w:p>
  </w:footnote>
  <w:footnote w:id="12">
    <w:p w14:paraId="708387A2" w14:textId="6D1EA5FE" w:rsidR="00091A1E" w:rsidRPr="0065032B" w:rsidRDefault="00091A1E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Ibid.</w:t>
      </w:r>
    </w:p>
  </w:footnote>
  <w:footnote w:id="13">
    <w:p w14:paraId="32F44FDD" w14:textId="60413C24" w:rsidR="00091A1E" w:rsidRPr="0065032B" w:rsidRDefault="00091A1E">
      <w:pPr>
        <w:pStyle w:val="FootnoteText"/>
        <w:rPr>
          <w:rFonts w:ascii="GHEA Grapalat" w:hAnsi="GHEA Grapalat"/>
          <w:lang w:val="hy-AM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Proceeds of Crime Act 2002, Section 311.</w:t>
      </w:r>
    </w:p>
  </w:footnote>
  <w:footnote w:id="14">
    <w:p w14:paraId="53F25994" w14:textId="03FF4D70" w:rsidR="00091A1E" w:rsidRPr="0065032B" w:rsidRDefault="00091A1E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Criminal confiscation, civil </w:t>
      </w:r>
      <w:r w:rsidRPr="0065032B">
        <w:rPr>
          <w:rFonts w:ascii="GHEA Grapalat" w:hAnsi="GHEA Grapalat"/>
        </w:rPr>
        <w:t xml:space="preserve">recovery and insolvency under the Proceeds of Crime Act 2002 John Briggs, </w:t>
      </w:r>
      <w:r w:rsidRPr="0065032B">
        <w:rPr>
          <w:rFonts w:ascii="GHEA Grapalat" w:hAnsi="GHEA Grapalat"/>
        </w:rPr>
        <w:t>Insolv. Int. 2006, 19(10), 145-150, 148.</w:t>
      </w:r>
    </w:p>
  </w:footnote>
  <w:footnote w:id="15">
    <w:p w14:paraId="6159F8B9" w14:textId="7030F7BE" w:rsidR="00091A1E" w:rsidRPr="0065032B" w:rsidRDefault="00091A1E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Proceeds of Crime Act 1996, Section 11 (2).</w:t>
      </w:r>
    </w:p>
  </w:footnote>
  <w:footnote w:id="16">
    <w:p w14:paraId="0E4EE48B" w14:textId="72F4E227" w:rsidR="00900E81" w:rsidRPr="0065032B" w:rsidRDefault="00900E81">
      <w:pPr>
        <w:pStyle w:val="FootnoteText"/>
        <w:rPr>
          <w:rFonts w:ascii="GHEA Grapalat" w:hAnsi="GHEA Grapalat"/>
          <w:lang w:val="hy-AM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Proceeds of Crime Act 2002, Section 311.</w:t>
      </w:r>
    </w:p>
  </w:footnote>
  <w:footnote w:id="17">
    <w:p w14:paraId="2DF82BE5" w14:textId="5C287170" w:rsidR="0065032B" w:rsidRPr="0065032B" w:rsidRDefault="0065032B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Ian Dawson, </w:t>
      </w:r>
      <w:r w:rsidRPr="0065032B">
        <w:rPr>
          <w:rFonts w:ascii="GHEA Grapalat" w:hAnsi="GHEA Grapalat"/>
        </w:rPr>
        <w:t xml:space="preserve">The trustee in bankruptcy of a criminal facing a confiscation order, </w:t>
      </w:r>
      <w:r w:rsidRPr="0065032B">
        <w:rPr>
          <w:rFonts w:ascii="GHEA Grapalat" w:hAnsi="GHEA Grapalat"/>
        </w:rPr>
        <w:t>Insolv. Int. 2005, 18(8), 121-126, 123.</w:t>
      </w:r>
    </w:p>
  </w:footnote>
  <w:footnote w:id="18">
    <w:p w14:paraId="4F43CBA0" w14:textId="14CEA20D" w:rsidR="00091A1E" w:rsidRPr="0065032B" w:rsidRDefault="00091A1E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Bankruptcy Act 1966</w:t>
      </w:r>
      <w:r w:rsidRPr="0065032B">
        <w:rPr>
          <w:rFonts w:ascii="GHEA Grapalat" w:hAnsi="GHEA Grapalat"/>
          <w:lang w:val="hy-AM"/>
        </w:rPr>
        <w:t xml:space="preserve">, </w:t>
      </w:r>
      <w:r w:rsidRPr="0065032B">
        <w:rPr>
          <w:rFonts w:ascii="GHEA Grapalat" w:hAnsi="GHEA Grapalat"/>
        </w:rPr>
        <w:t>Section 114A.</w:t>
      </w:r>
    </w:p>
  </w:footnote>
  <w:footnote w:id="19">
    <w:p w14:paraId="346E41B8" w14:textId="0A274F3B" w:rsidR="00091A1E" w:rsidRPr="0065032B" w:rsidRDefault="00091A1E">
      <w:pPr>
        <w:pStyle w:val="FootnoteText"/>
        <w:rPr>
          <w:rFonts w:ascii="GHEA Grapalat" w:hAnsi="GHEA Grapalat"/>
          <w:lang w:val="hy-AM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Ibid, Section 114B.</w:t>
      </w:r>
    </w:p>
  </w:footnote>
  <w:footnote w:id="20">
    <w:p w14:paraId="7066DA06" w14:textId="779FE002" w:rsidR="002C37DB" w:rsidRPr="0065032B" w:rsidRDefault="002C37DB">
      <w:pPr>
        <w:pStyle w:val="FootnoteText"/>
        <w:rPr>
          <w:rFonts w:ascii="GHEA Grapalat" w:hAnsi="GHEA Grapalat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Ibid, Section 231A. </w:t>
      </w:r>
    </w:p>
  </w:footnote>
  <w:footnote w:id="21">
    <w:p w14:paraId="69E7C0CE" w14:textId="15A3F405" w:rsidR="000C25D8" w:rsidRPr="0065032B" w:rsidRDefault="000C25D8">
      <w:pPr>
        <w:pStyle w:val="FootnoteText"/>
        <w:rPr>
          <w:rFonts w:ascii="GHEA Grapalat" w:hAnsi="GHEA Grapalat"/>
          <w:lang w:val="hy-AM"/>
        </w:rPr>
      </w:pPr>
      <w:r w:rsidRPr="0065032B">
        <w:rPr>
          <w:rStyle w:val="FootnoteReference"/>
          <w:rFonts w:ascii="GHEA Grapalat" w:hAnsi="GHEA Grapalat"/>
        </w:rPr>
        <w:footnoteRef/>
      </w:r>
      <w:r w:rsidRPr="0065032B">
        <w:rPr>
          <w:rFonts w:ascii="GHEA Grapalat" w:hAnsi="GHEA Grapalat"/>
        </w:rPr>
        <w:t xml:space="preserve"> </w:t>
      </w:r>
      <w:r w:rsidRPr="0065032B">
        <w:rPr>
          <w:rFonts w:ascii="GHEA Grapalat" w:hAnsi="GHEA Grapalat"/>
          <w:lang w:val="hy-AM"/>
        </w:rPr>
        <w:t xml:space="preserve">Տե՛ս </w:t>
      </w:r>
      <w:r w:rsidRPr="0065032B">
        <w:rPr>
          <w:rFonts w:ascii="GHEA Grapalat" w:hAnsi="GHEA Grapalat"/>
        </w:rPr>
        <w:t xml:space="preserve">Myron M. Sheinfeld, Teresa L. Maines &amp; Mark W. Wege, Civil Forfeiture and Bankruptcy: The Conflicting Interests of the Debtor, Its </w:t>
      </w:r>
      <w:r w:rsidRPr="0065032B">
        <w:rPr>
          <w:rFonts w:ascii="GHEA Grapalat" w:hAnsi="GHEA Grapalat"/>
        </w:rPr>
        <w:t>Creditors and the Government, 69 Am. Bankr. L.J. 87 (1995).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6A9CD" w14:textId="4490F3DD" w:rsidR="00091A1E" w:rsidRPr="005F6D1A" w:rsidRDefault="00091A1E" w:rsidP="005F6D1A">
    <w:pPr>
      <w:pStyle w:val="Header"/>
      <w:jc w:val="right"/>
      <w:rPr>
        <w:rFonts w:ascii="Sylfaen" w:hAnsi="Sylfa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76322"/>
    <w:multiLevelType w:val="hybridMultilevel"/>
    <w:tmpl w:val="15BADE48"/>
    <w:lvl w:ilvl="0" w:tplc="36EEB8D4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458D"/>
    <w:multiLevelType w:val="hybridMultilevel"/>
    <w:tmpl w:val="7D082F1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7DA3B26"/>
    <w:multiLevelType w:val="multilevel"/>
    <w:tmpl w:val="19B0E3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GHEA Grapalat" w:hAnsi="GHEA Grapalat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689B5BEB"/>
    <w:multiLevelType w:val="hybridMultilevel"/>
    <w:tmpl w:val="1A162A96"/>
    <w:lvl w:ilvl="0" w:tplc="042B001B">
      <w:start w:val="1"/>
      <w:numFmt w:val="lowerRoman"/>
      <w:lvlText w:val="%1."/>
      <w:lvlJc w:val="righ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DA3E87"/>
    <w:multiLevelType w:val="multilevel"/>
    <w:tmpl w:val="19B0E3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GHEA Grapalat" w:hAnsi="GHEA Grapalat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710B0FDF"/>
    <w:multiLevelType w:val="hybridMultilevel"/>
    <w:tmpl w:val="AB6A9FB0"/>
    <w:lvl w:ilvl="0" w:tplc="75DCE5F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7F5241"/>
    <w:multiLevelType w:val="hybridMultilevel"/>
    <w:tmpl w:val="A3209972"/>
    <w:lvl w:ilvl="0" w:tplc="2F3EA2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38"/>
    <w:rsid w:val="00002831"/>
    <w:rsid w:val="00011B1D"/>
    <w:rsid w:val="000135A6"/>
    <w:rsid w:val="00013A64"/>
    <w:rsid w:val="00014F21"/>
    <w:rsid w:val="00022A2F"/>
    <w:rsid w:val="00033AEA"/>
    <w:rsid w:val="0003557C"/>
    <w:rsid w:val="0004027C"/>
    <w:rsid w:val="00040D66"/>
    <w:rsid w:val="00042C6C"/>
    <w:rsid w:val="00046F3E"/>
    <w:rsid w:val="00064C4F"/>
    <w:rsid w:val="00091A1E"/>
    <w:rsid w:val="00092991"/>
    <w:rsid w:val="00093ADB"/>
    <w:rsid w:val="00097273"/>
    <w:rsid w:val="000A6769"/>
    <w:rsid w:val="000C2207"/>
    <w:rsid w:val="000C25D8"/>
    <w:rsid w:val="000D48F2"/>
    <w:rsid w:val="000E2AEF"/>
    <w:rsid w:val="000F34AB"/>
    <w:rsid w:val="00104392"/>
    <w:rsid w:val="001136AB"/>
    <w:rsid w:val="00122BE1"/>
    <w:rsid w:val="0012724B"/>
    <w:rsid w:val="00187EF8"/>
    <w:rsid w:val="001B29A2"/>
    <w:rsid w:val="001C351B"/>
    <w:rsid w:val="001D468F"/>
    <w:rsid w:val="001D61A7"/>
    <w:rsid w:val="001D7469"/>
    <w:rsid w:val="001E0DCC"/>
    <w:rsid w:val="00210711"/>
    <w:rsid w:val="00211C85"/>
    <w:rsid w:val="002370DE"/>
    <w:rsid w:val="00243646"/>
    <w:rsid w:val="0025262F"/>
    <w:rsid w:val="00253973"/>
    <w:rsid w:val="00266708"/>
    <w:rsid w:val="002A2564"/>
    <w:rsid w:val="002A6B56"/>
    <w:rsid w:val="002B0781"/>
    <w:rsid w:val="002B6B31"/>
    <w:rsid w:val="002C37DB"/>
    <w:rsid w:val="002D57B4"/>
    <w:rsid w:val="002F01C3"/>
    <w:rsid w:val="00306F58"/>
    <w:rsid w:val="003354DE"/>
    <w:rsid w:val="003478E6"/>
    <w:rsid w:val="0035554D"/>
    <w:rsid w:val="003568DE"/>
    <w:rsid w:val="00362CC1"/>
    <w:rsid w:val="0037420A"/>
    <w:rsid w:val="0039363E"/>
    <w:rsid w:val="003B2379"/>
    <w:rsid w:val="003C1F29"/>
    <w:rsid w:val="003C308E"/>
    <w:rsid w:val="003E1DE5"/>
    <w:rsid w:val="003E51BE"/>
    <w:rsid w:val="003F40B4"/>
    <w:rsid w:val="00411115"/>
    <w:rsid w:val="00417CC2"/>
    <w:rsid w:val="00420802"/>
    <w:rsid w:val="004348A6"/>
    <w:rsid w:val="004407BD"/>
    <w:rsid w:val="00441352"/>
    <w:rsid w:val="0044490A"/>
    <w:rsid w:val="00454DB6"/>
    <w:rsid w:val="00472DBA"/>
    <w:rsid w:val="004A08C0"/>
    <w:rsid w:val="004A5593"/>
    <w:rsid w:val="004B64A0"/>
    <w:rsid w:val="004C711B"/>
    <w:rsid w:val="004D25DE"/>
    <w:rsid w:val="00515771"/>
    <w:rsid w:val="005247CB"/>
    <w:rsid w:val="00565AF1"/>
    <w:rsid w:val="00571BE6"/>
    <w:rsid w:val="00586305"/>
    <w:rsid w:val="0059692C"/>
    <w:rsid w:val="005A1706"/>
    <w:rsid w:val="005B55C9"/>
    <w:rsid w:val="005C210E"/>
    <w:rsid w:val="005C29EB"/>
    <w:rsid w:val="005C42F4"/>
    <w:rsid w:val="005D4DF5"/>
    <w:rsid w:val="005F6D1A"/>
    <w:rsid w:val="00600983"/>
    <w:rsid w:val="00600EB2"/>
    <w:rsid w:val="00607A92"/>
    <w:rsid w:val="00614CD9"/>
    <w:rsid w:val="00622C18"/>
    <w:rsid w:val="0063796E"/>
    <w:rsid w:val="00640061"/>
    <w:rsid w:val="00640CCA"/>
    <w:rsid w:val="0065032B"/>
    <w:rsid w:val="0065521D"/>
    <w:rsid w:val="00655245"/>
    <w:rsid w:val="006815E0"/>
    <w:rsid w:val="006A2091"/>
    <w:rsid w:val="006B5137"/>
    <w:rsid w:val="006C0D1F"/>
    <w:rsid w:val="006E0077"/>
    <w:rsid w:val="006E64B4"/>
    <w:rsid w:val="00706C99"/>
    <w:rsid w:val="0071267C"/>
    <w:rsid w:val="00721CF3"/>
    <w:rsid w:val="00745E69"/>
    <w:rsid w:val="007476AD"/>
    <w:rsid w:val="00754248"/>
    <w:rsid w:val="007A2476"/>
    <w:rsid w:val="007B2692"/>
    <w:rsid w:val="007B669D"/>
    <w:rsid w:val="007C119C"/>
    <w:rsid w:val="007C2E38"/>
    <w:rsid w:val="007C3544"/>
    <w:rsid w:val="007F69A5"/>
    <w:rsid w:val="0080609F"/>
    <w:rsid w:val="00812494"/>
    <w:rsid w:val="008133EC"/>
    <w:rsid w:val="00817E04"/>
    <w:rsid w:val="00824638"/>
    <w:rsid w:val="008441A0"/>
    <w:rsid w:val="0085608D"/>
    <w:rsid w:val="00881327"/>
    <w:rsid w:val="0088251D"/>
    <w:rsid w:val="00883202"/>
    <w:rsid w:val="00883647"/>
    <w:rsid w:val="00886198"/>
    <w:rsid w:val="008B354E"/>
    <w:rsid w:val="008B7286"/>
    <w:rsid w:val="008D7201"/>
    <w:rsid w:val="008E15D7"/>
    <w:rsid w:val="00900E81"/>
    <w:rsid w:val="0091302A"/>
    <w:rsid w:val="00924742"/>
    <w:rsid w:val="00935E1E"/>
    <w:rsid w:val="0099138F"/>
    <w:rsid w:val="009A2920"/>
    <w:rsid w:val="009A3B45"/>
    <w:rsid w:val="009B33BF"/>
    <w:rsid w:val="009C15F4"/>
    <w:rsid w:val="009D67AF"/>
    <w:rsid w:val="009F31DE"/>
    <w:rsid w:val="00A15A9C"/>
    <w:rsid w:val="00A317A3"/>
    <w:rsid w:val="00A60177"/>
    <w:rsid w:val="00A71EC8"/>
    <w:rsid w:val="00A773C9"/>
    <w:rsid w:val="00A822ED"/>
    <w:rsid w:val="00A843CC"/>
    <w:rsid w:val="00A91C7C"/>
    <w:rsid w:val="00AB157B"/>
    <w:rsid w:val="00AB5F76"/>
    <w:rsid w:val="00AC53C5"/>
    <w:rsid w:val="00AE6AA2"/>
    <w:rsid w:val="00B02959"/>
    <w:rsid w:val="00B10E39"/>
    <w:rsid w:val="00B24C18"/>
    <w:rsid w:val="00B371F3"/>
    <w:rsid w:val="00B520C6"/>
    <w:rsid w:val="00B617B6"/>
    <w:rsid w:val="00B63695"/>
    <w:rsid w:val="00B70AFF"/>
    <w:rsid w:val="00B725C7"/>
    <w:rsid w:val="00B76A13"/>
    <w:rsid w:val="00B76B83"/>
    <w:rsid w:val="00B7793C"/>
    <w:rsid w:val="00B937D4"/>
    <w:rsid w:val="00BA10BE"/>
    <w:rsid w:val="00BB77EB"/>
    <w:rsid w:val="00BD0927"/>
    <w:rsid w:val="00BE4C89"/>
    <w:rsid w:val="00BE7F6B"/>
    <w:rsid w:val="00BF1FBE"/>
    <w:rsid w:val="00C214C6"/>
    <w:rsid w:val="00C2599D"/>
    <w:rsid w:val="00C34F1A"/>
    <w:rsid w:val="00C3658E"/>
    <w:rsid w:val="00C3706F"/>
    <w:rsid w:val="00C452A1"/>
    <w:rsid w:val="00C6718B"/>
    <w:rsid w:val="00C77DAF"/>
    <w:rsid w:val="00C8378A"/>
    <w:rsid w:val="00C85DF5"/>
    <w:rsid w:val="00C866FA"/>
    <w:rsid w:val="00C90184"/>
    <w:rsid w:val="00C91BDE"/>
    <w:rsid w:val="00CB0441"/>
    <w:rsid w:val="00CB3815"/>
    <w:rsid w:val="00D05518"/>
    <w:rsid w:val="00D31481"/>
    <w:rsid w:val="00D52B18"/>
    <w:rsid w:val="00D60437"/>
    <w:rsid w:val="00D75B95"/>
    <w:rsid w:val="00D93747"/>
    <w:rsid w:val="00DC1689"/>
    <w:rsid w:val="00DC7E3B"/>
    <w:rsid w:val="00E46F19"/>
    <w:rsid w:val="00E62281"/>
    <w:rsid w:val="00E64007"/>
    <w:rsid w:val="00E83819"/>
    <w:rsid w:val="00E92713"/>
    <w:rsid w:val="00E9412B"/>
    <w:rsid w:val="00E97341"/>
    <w:rsid w:val="00EA1519"/>
    <w:rsid w:val="00EB1CAF"/>
    <w:rsid w:val="00EB224F"/>
    <w:rsid w:val="00EC37C9"/>
    <w:rsid w:val="00ED3777"/>
    <w:rsid w:val="00ED66BD"/>
    <w:rsid w:val="00EF4B45"/>
    <w:rsid w:val="00F11F20"/>
    <w:rsid w:val="00F246E0"/>
    <w:rsid w:val="00F37886"/>
    <w:rsid w:val="00F43CD3"/>
    <w:rsid w:val="00F52B3A"/>
    <w:rsid w:val="00F55B42"/>
    <w:rsid w:val="00F57F34"/>
    <w:rsid w:val="00F70A5E"/>
    <w:rsid w:val="00F74C58"/>
    <w:rsid w:val="00F9536C"/>
    <w:rsid w:val="00F96BD2"/>
    <w:rsid w:val="00FA1B3F"/>
    <w:rsid w:val="00FB0189"/>
    <w:rsid w:val="00FC38B4"/>
    <w:rsid w:val="00FE54EE"/>
    <w:rsid w:val="00FF0C9F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CF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08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272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B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B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B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D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D1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5F6D1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6D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D1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F6D1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67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720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B0781"/>
    <w:pPr>
      <w:spacing w:after="0" w:line="240" w:lineRule="auto"/>
    </w:pPr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B72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ListParagraph"/>
    <w:next w:val="Normal"/>
    <w:link w:val="QuoteChar"/>
    <w:uiPriority w:val="29"/>
    <w:qFormat/>
    <w:rsid w:val="00013A64"/>
    <w:pPr>
      <w:spacing w:before="120" w:after="120" w:line="276" w:lineRule="auto"/>
      <w:contextualSpacing w:val="0"/>
      <w:jc w:val="both"/>
    </w:pPr>
    <w:rPr>
      <w:rFonts w:ascii="GHEA Grapalat" w:hAnsi="GHEA Grapalat"/>
      <w:i/>
      <w:iCs/>
      <w:lang w:val="hy-AM"/>
    </w:rPr>
  </w:style>
  <w:style w:type="character" w:customStyle="1" w:styleId="QuoteChar">
    <w:name w:val="Quote Char"/>
    <w:basedOn w:val="DefaultParagraphFont"/>
    <w:link w:val="Quote"/>
    <w:uiPriority w:val="29"/>
    <w:rsid w:val="00013A64"/>
    <w:rPr>
      <w:rFonts w:ascii="GHEA Grapalat" w:eastAsia="Times New Roman" w:hAnsi="GHEA Grapalat" w:cs="Times New Roman"/>
      <w:i/>
      <w:iCs/>
      <w:sz w:val="24"/>
      <w:szCs w:val="24"/>
      <w:lang w:val="hy-AM"/>
    </w:rPr>
  </w:style>
  <w:style w:type="paragraph" w:customStyle="1" w:styleId="Default">
    <w:name w:val="Default"/>
    <w:rsid w:val="00D52B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8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mericanbar.org/groups/business_law/publications/blt/2012/06/03_kevane/" TargetMode="External"/><Relationship Id="rId1" Type="http://schemas.openxmlformats.org/officeDocument/2006/relationships/hyperlink" Target="https://www.abi.org/abi-journal/when-two-worlds-collide-the-relationship-and-conflicts-between-asset-forfeiture-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6CC87-0F2B-4280-AD4D-6A170977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1400</Words>
  <Characters>7983</Characters>
  <Application>Microsoft Office Word</Application>
  <DocSecurity>0</DocSecurity>
  <Lines>66</Lines>
  <Paragraphs>18</Paragraphs>
  <ScaleCrop>false</ScaleCrop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2020-07-02T09:02:00Z</dcterms:created>
  <dcterms:modified xsi:type="dcterms:W3CDTF">2020-07-02T09:02:00Z</dcterms:modified>
</cp:coreProperties>
</file>