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42" w:rsidRPr="004F2FD1" w:rsidRDefault="000E5342" w:rsidP="000E5342">
      <w:pPr>
        <w:pStyle w:val="mechtex"/>
        <w:ind w:left="4320" w:firstLine="720"/>
        <w:outlineLvl w:val="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</w:t>
      </w:r>
    </w:p>
    <w:p w:rsidR="000E5342" w:rsidRPr="002D3DDF" w:rsidRDefault="000E5342" w:rsidP="000E5342">
      <w:pPr>
        <w:pStyle w:val="mechtex"/>
        <w:ind w:left="4320"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կառավարության 20</w:t>
      </w:r>
      <w:r w:rsidRPr="00FE26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</w:t>
      </w:r>
      <w:r w:rsidRPr="004F2F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թ.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F2FD1">
        <w:rPr>
          <w:rFonts w:ascii="GHEA Grapalat" w:hAnsi="GHEA Grapalat" w:cs="Sylfaen"/>
          <w:color w:val="000000" w:themeColor="text1"/>
          <w:spacing w:val="-4"/>
          <w:sz w:val="24"/>
          <w:szCs w:val="24"/>
          <w:lang w:val="hy-AM"/>
        </w:rPr>
        <w:t>N ___</w:t>
      </w:r>
    </w:p>
    <w:p w:rsidR="000E5342" w:rsidRPr="004F2FD1" w:rsidRDefault="000E5342" w:rsidP="000E5342">
      <w:pPr>
        <w:spacing w:after="200" w:line="276" w:lineRule="auto"/>
        <w:jc w:val="center"/>
        <w:rPr>
          <w:rFonts w:cs="Sylfaen"/>
          <w:color w:val="000000" w:themeColor="text1"/>
          <w:lang w:val="hy-AM"/>
        </w:rPr>
      </w:pPr>
      <w:r w:rsidRPr="004F2FD1">
        <w:rPr>
          <w:rFonts w:cs="Sylfaen"/>
          <w:color w:val="000000" w:themeColor="text1"/>
          <w:lang w:val="hy-AM"/>
        </w:rPr>
        <w:t xml:space="preserve">                                  </w:t>
      </w:r>
      <w:r>
        <w:rPr>
          <w:rFonts w:cs="Sylfaen"/>
          <w:color w:val="000000" w:themeColor="text1"/>
          <w:lang w:val="hy-AM"/>
        </w:rPr>
        <w:t xml:space="preserve">                         </w:t>
      </w:r>
      <w:r w:rsidRPr="004F2FD1">
        <w:rPr>
          <w:rFonts w:cs="Sylfaen"/>
          <w:color w:val="000000" w:themeColor="text1"/>
          <w:lang w:val="hy-AM"/>
        </w:rPr>
        <w:t>որոշման</w:t>
      </w:r>
    </w:p>
    <w:p w:rsidR="000E5342" w:rsidRPr="004F2FD1" w:rsidRDefault="000E5342" w:rsidP="000E5342">
      <w:pPr>
        <w:jc w:val="center"/>
        <w:rPr>
          <w:rFonts w:cs="Sylfaen"/>
          <w:b/>
          <w:color w:val="000000" w:themeColor="text1"/>
          <w:lang w:val="hy-AM"/>
        </w:rPr>
      </w:pPr>
    </w:p>
    <w:p w:rsidR="000E5342" w:rsidRDefault="000E5342" w:rsidP="000E5342">
      <w:pPr>
        <w:ind w:firstLine="0"/>
        <w:jc w:val="center"/>
        <w:rPr>
          <w:rFonts w:ascii="Times New Roman" w:eastAsia="Times New Roman" w:hAnsi="Times New Roman" w:cs="Sylfaen"/>
          <w:color w:val="000000"/>
          <w:lang w:val="hy-AM"/>
        </w:rPr>
      </w:pPr>
      <w:r w:rsidRPr="009939D0">
        <w:rPr>
          <w:b/>
          <w:lang w:val="hy-AM"/>
        </w:rPr>
        <w:t>Գ</w:t>
      </w:r>
      <w:r w:rsidRPr="009939D0">
        <w:rPr>
          <w:rFonts w:cs="Arial"/>
          <w:b/>
          <w:lang w:val="hy-AM"/>
        </w:rPr>
        <w:t>ՅՈՒՂԱՏՆՏԵՍԱԿԱՆ</w:t>
      </w:r>
      <w:r w:rsidRPr="009939D0">
        <w:rPr>
          <w:b/>
          <w:lang w:val="hy-AM"/>
        </w:rPr>
        <w:t xml:space="preserve"> </w:t>
      </w:r>
      <w:r w:rsidRPr="009939D0">
        <w:rPr>
          <w:rFonts w:cs="Arial"/>
          <w:b/>
          <w:lang w:val="hy-AM"/>
        </w:rPr>
        <w:t>ՆՇԱՆԱԿՈՒԹՅԱՆ</w:t>
      </w:r>
      <w:r w:rsidRPr="009939D0">
        <w:rPr>
          <w:b/>
          <w:lang w:val="hy-AM"/>
        </w:rPr>
        <w:t xml:space="preserve"> </w:t>
      </w:r>
      <w:r>
        <w:rPr>
          <w:b/>
          <w:lang w:val="hy-AM"/>
        </w:rPr>
        <w:t xml:space="preserve">ՀՈՂԵՐՆ </w:t>
      </w:r>
      <w:r w:rsidRPr="009939D0">
        <w:rPr>
          <w:b/>
          <w:lang w:val="hy-AM"/>
        </w:rPr>
        <w:t xml:space="preserve">ԱՅԼ </w:t>
      </w:r>
      <w:r>
        <w:rPr>
          <w:b/>
          <w:lang w:val="hy-AM"/>
        </w:rPr>
        <w:t>ՆՊԱՏԱԿԱՅԻՆ ՆՇԱՆԱԿՈՒԹՅԱՆ</w:t>
      </w:r>
      <w:r w:rsidRPr="009939D0">
        <w:rPr>
          <w:rFonts w:cs="Arial"/>
          <w:b/>
          <w:lang w:val="hy-AM"/>
        </w:rPr>
        <w:t xml:space="preserve"> ՓՈԽԱԴՐՄԱՆ</w:t>
      </w:r>
      <w:r w:rsidRPr="009939D0">
        <w:rPr>
          <w:b/>
          <w:lang w:val="hy-AM"/>
        </w:rPr>
        <w:t xml:space="preserve"> </w:t>
      </w:r>
      <w:r w:rsidRPr="009939D0">
        <w:rPr>
          <w:rFonts w:cs="Arial"/>
          <w:b/>
          <w:lang w:val="hy-AM"/>
        </w:rPr>
        <w:t>ԲԱՑԱՌԻԿ</w:t>
      </w:r>
      <w:r w:rsidRPr="009939D0">
        <w:rPr>
          <w:b/>
          <w:lang w:val="hy-AM"/>
        </w:rPr>
        <w:t xml:space="preserve"> </w:t>
      </w:r>
      <w:r w:rsidRPr="009939D0">
        <w:rPr>
          <w:rFonts w:cs="Arial"/>
          <w:b/>
          <w:lang w:val="hy-AM"/>
        </w:rPr>
        <w:t>ԴԵՊՔԵՐԸ</w:t>
      </w:r>
      <w:r>
        <w:rPr>
          <w:rFonts w:cs="Sylfaen"/>
          <w:color w:val="000000"/>
          <w:lang w:val="hy-AM"/>
        </w:rPr>
        <w:t xml:space="preserve"> </w:t>
      </w:r>
    </w:p>
    <w:p w:rsidR="000E5342" w:rsidRPr="009B7827" w:rsidRDefault="000E5342" w:rsidP="000E5342">
      <w:pPr>
        <w:pStyle w:val="a5"/>
        <w:tabs>
          <w:tab w:val="left" w:pos="-4111"/>
        </w:tabs>
        <w:spacing w:before="0" w:beforeAutospacing="0" w:after="0" w:afterAutospacing="0" w:line="276" w:lineRule="auto"/>
        <w:jc w:val="both"/>
        <w:rPr>
          <w:rFonts w:cs="Sylfaen"/>
          <w:color w:val="000000"/>
          <w:lang w:val="hy-AM"/>
        </w:rPr>
      </w:pPr>
    </w:p>
    <w:p w:rsidR="000E5342" w:rsidRPr="0043614F" w:rsidRDefault="000E5342" w:rsidP="000E5342">
      <w:pPr>
        <w:pStyle w:val="a5"/>
        <w:tabs>
          <w:tab w:val="left" w:pos="-411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43614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Գյուղատնտեսական նշանակության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հողեր</w:t>
      </w:r>
      <w:r w:rsidRPr="0043614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ի փոխադրումը այլ </w:t>
      </w:r>
      <w:r w:rsidRPr="004D21CE">
        <w:rPr>
          <w:rFonts w:ascii="GHEA Grapalat" w:hAnsi="GHEA Grapalat" w:cs="Sylfaen"/>
          <w:color w:val="000000"/>
          <w:shd w:val="clear" w:color="auto" w:fill="FFFFFF"/>
          <w:lang w:val="hy-AM"/>
        </w:rPr>
        <w:t>նպատակային նշանակության</w:t>
      </w:r>
      <w:r w:rsidRPr="0043614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թույլատրվում է բացառիկ դեպքերում, որոնք պայմանավորված են.</w:t>
      </w:r>
    </w:p>
    <w:p w:rsidR="000E5342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բնապահպանական, առողջարանական, պատմական և մշակութային նպատակներով՝ հատուկ պահպանվող տարածքների ստեղծմամբ,</w:t>
      </w:r>
    </w:p>
    <w:p w:rsidR="000E5342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անտառային, ջրային կամ պահուստային հողերի կազմի մեջ գյուղա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softHyphen/>
        <w:t>տնտեսական արտադրության համար ոչ պիտանի</w:t>
      </w:r>
      <w:r w:rsidRPr="009B7827">
        <w:rPr>
          <w:rFonts w:eastAsia="Times New Roman" w:cs="Sylfaen"/>
          <w:color w:val="000000"/>
          <w:shd w:val="clear" w:color="auto" w:fill="FFFFFF"/>
          <w:lang w:val="hy-AM"/>
        </w:rPr>
        <w:t>`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 xml:space="preserve"> </w:t>
      </w:r>
      <w:r w:rsidRPr="009B7827">
        <w:rPr>
          <w:rFonts w:eastAsia="Times New Roman" w:cs="Sylfaen"/>
          <w:color w:val="000000"/>
          <w:shd w:val="clear" w:color="auto" w:fill="FFFFFF"/>
          <w:lang w:val="hy-AM"/>
        </w:rPr>
        <w:t>ճահճացած, գերխոնավացած, աղակալված, էրոզացված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 xml:space="preserve"> հողամասերի ընդգրկմամբ,</w:t>
      </w:r>
    </w:p>
    <w:p w:rsidR="000E5342" w:rsidRPr="00C4177A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4177A">
        <w:rPr>
          <w:rFonts w:eastAsia="Times New Roman" w:cs="Sylfaen"/>
          <w:color w:val="000000"/>
          <w:shd w:val="clear" w:color="auto" w:fill="FFFFFF"/>
          <w:lang w:val="hy-AM"/>
        </w:rPr>
        <w:t>ճանապարհների, էլեկտրահաղորդման գծերի, կապի գծերի, գազատարների և այլ խողովակաշարերի, երկաթուղային գծերի և այլ նմանատիպ օբյեկտների (այսուհետ` գծային օբյեկտներ) կառուցմամբ, կառուցված գծային օբյեկտներին հարակից, շինարարության իրականացման համար</w:t>
      </w:r>
      <w:r w:rsidRPr="009B7827">
        <w:rPr>
          <w:rFonts w:eastAsia="Times New Roman" w:cs="Sylfaen"/>
          <w:color w:val="000000"/>
          <w:shd w:val="clear" w:color="auto" w:fill="FFFFFF"/>
          <w:lang w:val="hy-AM"/>
        </w:rPr>
        <w:t xml:space="preserve"> </w:t>
      </w:r>
      <w:r w:rsidRPr="00C4177A">
        <w:rPr>
          <w:rFonts w:eastAsia="Times New Roman" w:cs="Sylfaen"/>
          <w:color w:val="000000"/>
          <w:shd w:val="clear" w:color="auto" w:fill="FFFFFF"/>
          <w:lang w:val="hy-AM"/>
        </w:rPr>
        <w:t>օգտագործված գյուղատնտեսական նշանակության հողատարածքների շրջակա միջավայրի վրա ազդեցության փորձաքննություն անցած վերականգնման (ռեկուլտիվացիայի) ծրագրի առկայության դեպքում,</w:t>
      </w:r>
    </w:p>
    <w:p w:rsidR="000E5342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Հայաստանի Հանրապետության միջազգային պարտավորությունների կատարմամբ, երկրի պաշտպանության և պետության անվ</w:t>
      </w:r>
      <w:r>
        <w:rPr>
          <w:rFonts w:eastAsia="Times New Roman" w:cs="Sylfaen"/>
          <w:color w:val="000000"/>
          <w:shd w:val="clear" w:color="auto" w:fill="FFFFFF"/>
          <w:lang w:val="hy-AM"/>
        </w:rPr>
        <w:t>տանգության ապահովմամբ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,</w:t>
      </w:r>
    </w:p>
    <w:p w:rsidR="000E5342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D2991">
        <w:rPr>
          <w:rFonts w:cs="Arial"/>
          <w:lang w:val="hy-AM"/>
        </w:rPr>
        <w:t>շ</w:t>
      </w:r>
      <w:r w:rsidRPr="00FB75B4">
        <w:rPr>
          <w:rFonts w:cs="Arial"/>
          <w:lang w:val="hy-AM"/>
        </w:rPr>
        <w:t xml:space="preserve">ահագրգիռ գերատեսչությունների դրական եզրակացությունների հիման վրա՝ </w:t>
      </w:r>
      <w:r w:rsidRPr="00C14429">
        <w:rPr>
          <w:rFonts w:cs="Arial"/>
          <w:lang w:val="hy-AM"/>
        </w:rPr>
        <w:t>Հայաստանի Հանրապետության</w:t>
      </w:r>
      <w:r w:rsidRPr="00C14429">
        <w:rPr>
          <w:lang w:val="hy-AM"/>
        </w:rPr>
        <w:t xml:space="preserve"> </w:t>
      </w:r>
      <w:r w:rsidRPr="00C14429">
        <w:rPr>
          <w:rFonts w:cs="Arial"/>
          <w:lang w:val="hy-AM"/>
        </w:rPr>
        <w:t xml:space="preserve">կառավարության կողմից հաստատված կամ հավանության արժանացած 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 xml:space="preserve">ներդրումային ծրագրերի իրականացմամբ, </w:t>
      </w:r>
      <w:r>
        <w:rPr>
          <w:rFonts w:eastAsia="Times New Roman" w:cs="Sylfaen"/>
          <w:color w:val="000000"/>
          <w:shd w:val="clear" w:color="auto" w:fill="FFFFFF"/>
          <w:lang w:val="hy-AM"/>
        </w:rPr>
        <w:t>պայմանով, որ ներդրումային ծրագրի փաթեթում հաստատված լինի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 xml:space="preserve"> նաև </w:t>
      </w:r>
      <w:r>
        <w:rPr>
          <w:rFonts w:eastAsia="Times New Roman" w:cs="Sylfaen"/>
          <w:color w:val="000000"/>
          <w:shd w:val="clear" w:color="auto" w:fill="FFFFFF"/>
          <w:lang w:val="hy-AM"/>
        </w:rPr>
        <w:t xml:space="preserve">հողամասի 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տեղակայումը</w:t>
      </w:r>
      <w:r w:rsidRPr="009B7827">
        <w:rPr>
          <w:rFonts w:eastAsia="Times New Roman" w:cs="Sylfaen"/>
          <w:color w:val="000000"/>
          <w:shd w:val="clear" w:color="auto" w:fill="FFFFFF"/>
          <w:lang w:val="hy-AM"/>
        </w:rPr>
        <w:t xml:space="preserve">՝ </w:t>
      </w:r>
      <w:r w:rsidRPr="004D21CE">
        <w:rPr>
          <w:rFonts w:eastAsia="Times New Roman" w:cs="Sylfaen"/>
          <w:color w:val="000000"/>
          <w:shd w:val="clear" w:color="auto" w:fill="FFFFFF"/>
          <w:lang w:val="hy-AM"/>
        </w:rPr>
        <w:t xml:space="preserve">WGS-84 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(</w:t>
      </w:r>
      <w:r>
        <w:rPr>
          <w:rFonts w:eastAsia="Times New Roman" w:cs="Sylfaen"/>
          <w:color w:val="000000"/>
          <w:shd w:val="clear" w:color="auto" w:fill="FFFFFF"/>
          <w:lang w:val="hy-AM"/>
        </w:rPr>
        <w:t>ՎԻ ՋԻ ԷՍ-84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)</w:t>
      </w:r>
      <w:r w:rsidRPr="00E80C66">
        <w:rPr>
          <w:rFonts w:eastAsia="Times New Roman" w:cs="Sylfaen"/>
          <w:color w:val="000000"/>
          <w:shd w:val="clear" w:color="auto" w:fill="FFFFFF"/>
          <w:lang w:val="hy-AM"/>
        </w:rPr>
        <w:t xml:space="preserve"> 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(</w:t>
      </w:r>
      <w:r>
        <w:rPr>
          <w:rFonts w:eastAsia="Times New Roman" w:cs="Sylfaen"/>
          <w:color w:val="000000"/>
          <w:shd w:val="clear" w:color="auto" w:fill="FFFFFF"/>
          <w:lang w:val="hy-AM"/>
        </w:rPr>
        <w:t>ARMREF 02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)</w:t>
      </w:r>
      <w:r>
        <w:rPr>
          <w:rFonts w:eastAsia="Times New Roman" w:cs="Sylfaen"/>
          <w:color w:val="000000"/>
          <w:shd w:val="clear" w:color="auto" w:fill="FFFFFF"/>
          <w:lang w:val="hy-AM"/>
        </w:rPr>
        <w:t xml:space="preserve"> </w:t>
      </w:r>
      <w:r w:rsidRPr="004D21CE">
        <w:rPr>
          <w:rFonts w:eastAsia="Times New Roman" w:cs="Sylfaen"/>
          <w:color w:val="000000"/>
          <w:shd w:val="clear" w:color="auto" w:fill="FFFFFF"/>
          <w:lang w:val="hy-AM"/>
        </w:rPr>
        <w:t>ազգային գեոդեզիական կոորդինատային համակարգով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,</w:t>
      </w:r>
    </w:p>
    <w:p w:rsidR="000E5342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ընդերքօգտագործման աշխատանքներով՝ օրենքով սահմանված կարգով շրջակա միջավայրի վրա ազդեցության փորձաքննություն անցած ծրագրի և/կամ նախագծի (այդ թվում՝ հողերի վերականգնման</w:t>
      </w:r>
      <w:r w:rsidRPr="009B7827">
        <w:rPr>
          <w:rFonts w:eastAsia="Times New Roman" w:cs="Sylfaen"/>
          <w:color w:val="000000"/>
          <w:shd w:val="clear" w:color="auto" w:fill="FFFFFF"/>
          <w:lang w:val="hy-AM"/>
        </w:rPr>
        <w:t xml:space="preserve"> 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(ռեկուլտիվացիայի)</w:t>
      </w:r>
      <w:r>
        <w:rPr>
          <w:rFonts w:eastAsia="Times New Roman" w:cs="Sylfaen"/>
          <w:color w:val="000000"/>
          <w:shd w:val="clear" w:color="auto" w:fill="FFFFFF"/>
          <w:lang w:val="hy-AM"/>
        </w:rPr>
        <w:t xml:space="preserve">) 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առկայության դեպքում,</w:t>
      </w:r>
    </w:p>
    <w:p w:rsidR="000E5342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բնակելի տների կառուցմամբ` այլընտրանքների բացակայության դեպքում,</w:t>
      </w:r>
    </w:p>
    <w:p w:rsidR="000E5342" w:rsidRPr="000B20CC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>առողջապահական, կրթական, սոցիալական օբյեկտների կառուցմամբ` այդ օբյեկտների տեղադրման այլըն</w:t>
      </w:r>
      <w:r>
        <w:rPr>
          <w:rFonts w:eastAsia="Times New Roman" w:cs="Sylfaen"/>
          <w:color w:val="000000"/>
          <w:shd w:val="clear" w:color="auto" w:fill="FFFFFF"/>
          <w:lang w:val="hy-AM"/>
        </w:rPr>
        <w:t>տրանքների բացակայության դեպքում,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 xml:space="preserve"> համայնքի զարգացման և տարածական պլանավորման փաստաթղթի (գլխավոր հատակագիծ)</w:t>
      </w:r>
      <w:r>
        <w:rPr>
          <w:rFonts w:eastAsia="Times New Roman" w:cs="Sylfaen"/>
          <w:color w:val="000000"/>
          <w:shd w:val="clear" w:color="auto" w:fill="FFFFFF"/>
          <w:lang w:val="hy-AM"/>
        </w:rPr>
        <w:t xml:space="preserve"> կամ հողերի օգտագործման ժամանակավոր սխեմաների</w:t>
      </w:r>
      <w:r w:rsidRPr="00C14429">
        <w:rPr>
          <w:rFonts w:eastAsia="Times New Roman" w:cs="Sylfaen"/>
          <w:color w:val="000000"/>
          <w:shd w:val="clear" w:color="auto" w:fill="FFFFFF"/>
          <w:lang w:val="hy-AM"/>
        </w:rPr>
        <w:t xml:space="preserve"> հիման վրա,</w:t>
      </w:r>
    </w:p>
    <w:p w:rsidR="000E5342" w:rsidRPr="00C46F3B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39"/>
        <w:jc w:val="both"/>
        <w:rPr>
          <w:lang w:val="hy-AM"/>
        </w:rPr>
      </w:pPr>
      <w:r>
        <w:rPr>
          <w:rFonts w:eastAsia="Times New Roman" w:cs="Sylfaen"/>
          <w:color w:val="000000"/>
          <w:shd w:val="clear" w:color="auto" w:fill="FFFFFF"/>
          <w:lang w:val="hy-AM"/>
        </w:rPr>
        <w:t>արդյունաբերական</w:t>
      </w:r>
      <w:r w:rsidRPr="00AE0C0E">
        <w:rPr>
          <w:rFonts w:eastAsia="Times New Roman" w:cs="Sylfaen"/>
          <w:color w:val="000000" w:themeColor="text1"/>
          <w:shd w:val="clear" w:color="auto" w:fill="FFFFFF"/>
          <w:lang w:val="hy-AM"/>
        </w:rPr>
        <w:t>,</w:t>
      </w:r>
      <w:r w:rsidRPr="00245DC6">
        <w:rPr>
          <w:rFonts w:eastAsia="Times New Roman" w:cs="Sylfaen"/>
          <w:color w:val="000000"/>
          <w:shd w:val="clear" w:color="auto" w:fill="FFFFFF"/>
          <w:lang w:val="hy-AM"/>
        </w:rPr>
        <w:t xml:space="preserve"> էներգետիկ օբյեկտներ</w:t>
      </w:r>
      <w:r>
        <w:rPr>
          <w:rFonts w:eastAsia="Times New Roman" w:cs="Sylfaen"/>
          <w:color w:val="000000"/>
          <w:shd w:val="clear" w:color="auto" w:fill="FFFFFF"/>
          <w:lang w:val="hy-AM"/>
        </w:rPr>
        <w:t>ի</w:t>
      </w:r>
      <w:r w:rsidRPr="00AE0C0E">
        <w:rPr>
          <w:rFonts w:eastAsia="Times New Roman" w:cs="Sylfaen"/>
          <w:color w:val="000000"/>
          <w:shd w:val="clear" w:color="auto" w:fill="FFFFFF"/>
          <w:lang w:val="hy-AM"/>
        </w:rPr>
        <w:t xml:space="preserve"> կամ հասարակական նշանակության </w:t>
      </w:r>
      <w:r>
        <w:rPr>
          <w:rFonts w:eastAsia="Times New Roman" w:cs="Sylfaen"/>
          <w:color w:val="000000"/>
          <w:shd w:val="clear" w:color="auto" w:fill="FFFFFF"/>
          <w:lang w:val="hy-AM"/>
        </w:rPr>
        <w:t xml:space="preserve"> </w:t>
      </w:r>
      <w:r w:rsidRPr="00AE0C0E">
        <w:rPr>
          <w:rFonts w:eastAsia="Times New Roman" w:cs="Sylfaen"/>
          <w:color w:val="000000"/>
          <w:shd w:val="clear" w:color="auto" w:fill="FFFFFF"/>
          <w:lang w:val="hy-AM"/>
        </w:rPr>
        <w:t xml:space="preserve">շինությունների </w:t>
      </w:r>
      <w:r>
        <w:rPr>
          <w:rFonts w:eastAsia="Times New Roman" w:cs="Sylfaen"/>
          <w:color w:val="000000"/>
          <w:shd w:val="clear" w:color="auto" w:fill="FFFFFF"/>
          <w:lang w:val="hy-AM"/>
        </w:rPr>
        <w:t>կառուցման նպատակով՝ այլ հողատեսքերի</w:t>
      </w:r>
      <w:r w:rsidRPr="00245DC6">
        <w:rPr>
          <w:rFonts w:eastAsia="Times New Roman" w:cs="Sylfaen"/>
          <w:color w:val="000000"/>
          <w:shd w:val="clear" w:color="auto" w:fill="FFFFFF"/>
          <w:lang w:val="hy-AM"/>
        </w:rPr>
        <w:t>, արոտավայրերի և խոտհարքների 4-րդ և 5-րդ կարգի հողամասերի տրամադրմամբ՝ այդ օբյեկտների տեղադրման այլըն</w:t>
      </w:r>
      <w:r>
        <w:rPr>
          <w:rFonts w:eastAsia="Times New Roman" w:cs="Sylfaen"/>
          <w:color w:val="000000"/>
          <w:shd w:val="clear" w:color="auto" w:fill="FFFFFF"/>
          <w:lang w:val="hy-AM"/>
        </w:rPr>
        <w:t>տրանքների բացակայության դեպքում,</w:t>
      </w:r>
    </w:p>
    <w:p w:rsidR="000E5342" w:rsidRPr="00C46F3B" w:rsidRDefault="000E5342" w:rsidP="000E534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39"/>
        <w:jc w:val="both"/>
        <w:rPr>
          <w:rFonts w:eastAsia="Times New Roman" w:cs="Sylfaen"/>
          <w:color w:val="000000"/>
          <w:shd w:val="clear" w:color="auto" w:fill="FFFFFF"/>
          <w:lang w:val="hy-AM"/>
        </w:rPr>
      </w:pPr>
      <w:r w:rsidRPr="00C46F3B">
        <w:rPr>
          <w:rFonts w:eastAsia="Times New Roman" w:cs="Sylfaen"/>
          <w:color w:val="000000"/>
          <w:shd w:val="clear" w:color="auto" w:fill="FFFFFF"/>
          <w:lang w:val="hy-AM"/>
        </w:rPr>
        <w:t xml:space="preserve">համայնքներին հողերի փոխանցման ժամանակ առաջացած հողամասերի նպատակային նշանակություններին առնչվող անճշտությունների ուղղման </w:t>
      </w:r>
      <w:r>
        <w:rPr>
          <w:rFonts w:eastAsia="Times New Roman" w:cs="Sylfaen"/>
          <w:color w:val="000000"/>
          <w:shd w:val="clear" w:color="auto" w:fill="FFFFFF"/>
          <w:lang w:val="hy-AM"/>
        </w:rPr>
        <w:t>դեպքերով:</w:t>
      </w:r>
    </w:p>
    <w:p w:rsidR="007E44EF" w:rsidRPr="000E5342" w:rsidRDefault="007E44EF">
      <w:pPr>
        <w:rPr>
          <w:lang w:val="hy-AM"/>
        </w:rPr>
      </w:pPr>
      <w:bookmarkStart w:id="0" w:name="_GoBack"/>
      <w:bookmarkEnd w:id="0"/>
    </w:p>
    <w:sectPr w:rsidR="007E44EF" w:rsidRPr="000E5342" w:rsidSect="00A8013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Proxima Nova L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4E1F"/>
    <w:multiLevelType w:val="hybridMultilevel"/>
    <w:tmpl w:val="959609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6"/>
    <w:rsid w:val="000E5342"/>
    <w:rsid w:val="007E44EF"/>
    <w:rsid w:val="008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42"/>
    <w:pPr>
      <w:spacing w:after="0" w:line="360" w:lineRule="auto"/>
      <w:ind w:firstLine="567"/>
    </w:pPr>
    <w:rPr>
      <w:rFonts w:ascii="GHEA Grapalat" w:hAnsi="GHEA Grapala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4"/>
    <w:uiPriority w:val="34"/>
    <w:qFormat/>
    <w:rsid w:val="000E5342"/>
    <w:pPr>
      <w:ind w:left="720"/>
      <w:contextualSpacing/>
    </w:pPr>
  </w:style>
  <w:style w:type="paragraph" w:styleId="a5">
    <w:name w:val="Normal (Web)"/>
    <w:aliases w:val="webb, webb"/>
    <w:basedOn w:val="a"/>
    <w:link w:val="a6"/>
    <w:uiPriority w:val="99"/>
    <w:unhideWhenUsed/>
    <w:qFormat/>
    <w:rsid w:val="000E534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бычный (веб) Знак"/>
    <w:aliases w:val="webb Знак, webb Знак"/>
    <w:link w:val="a5"/>
    <w:uiPriority w:val="99"/>
    <w:locked/>
    <w:rsid w:val="000E5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chtex">
    <w:name w:val="mechtex"/>
    <w:basedOn w:val="a"/>
    <w:link w:val="mechtexChar"/>
    <w:rsid w:val="000E5342"/>
    <w:pPr>
      <w:spacing w:line="240" w:lineRule="auto"/>
      <w:ind w:firstLine="0"/>
      <w:jc w:val="center"/>
    </w:pPr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character" w:customStyle="1" w:styleId="mechtexChar">
    <w:name w:val="mechtex Char"/>
    <w:link w:val="mechtex"/>
    <w:rsid w:val="000E5342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4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3"/>
    <w:uiPriority w:val="34"/>
    <w:locked/>
    <w:rsid w:val="000E5342"/>
    <w:rPr>
      <w:rFonts w:ascii="GHEA Grapalat" w:hAnsi="GHEA Grapala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42"/>
    <w:pPr>
      <w:spacing w:after="0" w:line="360" w:lineRule="auto"/>
      <w:ind w:firstLine="567"/>
    </w:pPr>
    <w:rPr>
      <w:rFonts w:ascii="GHEA Grapalat" w:hAnsi="GHEA Grapala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4"/>
    <w:uiPriority w:val="34"/>
    <w:qFormat/>
    <w:rsid w:val="000E5342"/>
    <w:pPr>
      <w:ind w:left="720"/>
      <w:contextualSpacing/>
    </w:pPr>
  </w:style>
  <w:style w:type="paragraph" w:styleId="a5">
    <w:name w:val="Normal (Web)"/>
    <w:aliases w:val="webb, webb"/>
    <w:basedOn w:val="a"/>
    <w:link w:val="a6"/>
    <w:uiPriority w:val="99"/>
    <w:unhideWhenUsed/>
    <w:qFormat/>
    <w:rsid w:val="000E534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бычный (веб) Знак"/>
    <w:aliases w:val="webb Знак, webb Знак"/>
    <w:link w:val="a5"/>
    <w:uiPriority w:val="99"/>
    <w:locked/>
    <w:rsid w:val="000E53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chtex">
    <w:name w:val="mechtex"/>
    <w:basedOn w:val="a"/>
    <w:link w:val="mechtexChar"/>
    <w:rsid w:val="000E5342"/>
    <w:pPr>
      <w:spacing w:line="240" w:lineRule="auto"/>
      <w:ind w:firstLine="0"/>
      <w:jc w:val="center"/>
    </w:pPr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character" w:customStyle="1" w:styleId="mechtexChar">
    <w:name w:val="mechtex Char"/>
    <w:link w:val="mechtex"/>
    <w:rsid w:val="000E5342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4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3"/>
    <w:uiPriority w:val="34"/>
    <w:locked/>
    <w:rsid w:val="000E5342"/>
    <w:rPr>
      <w:rFonts w:ascii="GHEA Grapalat" w:hAnsi="GHEA Grapal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2020-04-28T07:16:00Z</dcterms:created>
  <dcterms:modified xsi:type="dcterms:W3CDTF">2020-04-28T07:16:00Z</dcterms:modified>
</cp:coreProperties>
</file>