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3EF6" w:rsidRPr="00B34CCA" w:rsidRDefault="00DD3EF6" w:rsidP="00B34CCA">
      <w:pPr>
        <w:spacing w:after="0" w:line="360" w:lineRule="auto"/>
        <w:jc w:val="center"/>
        <w:rPr>
          <w:rFonts w:ascii="Arial" w:hAnsi="Arial" w:cs="Arial"/>
          <w:b/>
          <w:bCs/>
          <w:spacing w:val="40"/>
          <w:sz w:val="24"/>
          <w:szCs w:val="24"/>
        </w:rPr>
      </w:pPr>
      <w:r w:rsidRPr="00B34CCA">
        <w:rPr>
          <w:rFonts w:ascii="Arial" w:hAnsi="Arial" w:cs="Arial"/>
          <w:b/>
          <w:bCs/>
          <w:spacing w:val="40"/>
          <w:sz w:val="24"/>
          <w:szCs w:val="24"/>
        </w:rPr>
        <w:t>ՀԻՄՆԱՎՈՐՈՒՄ</w:t>
      </w:r>
    </w:p>
    <w:p w:rsidR="00992D3A" w:rsidRPr="00B34CCA" w:rsidRDefault="003421AF" w:rsidP="00B34CCA">
      <w:pPr>
        <w:pStyle w:val="a3"/>
        <w:tabs>
          <w:tab w:val="left" w:pos="720"/>
        </w:tabs>
        <w:spacing w:after="0" w:line="360" w:lineRule="auto"/>
        <w:jc w:val="center"/>
        <w:rPr>
          <w:rFonts w:ascii="Arial" w:hAnsi="Arial" w:cs="Arial"/>
          <w:b/>
          <w:sz w:val="24"/>
          <w:szCs w:val="24"/>
        </w:rPr>
      </w:pPr>
      <w:r w:rsidRPr="00B34CCA">
        <w:rPr>
          <w:rFonts w:ascii="Arial" w:hAnsi="Arial" w:cs="Arial"/>
          <w:b/>
          <w:i/>
          <w:sz w:val="24"/>
          <w:szCs w:val="24"/>
        </w:rPr>
        <w:t>ՙ</w:t>
      </w:r>
      <w:proofErr w:type="spellStart"/>
      <w:r w:rsidRPr="00B34CCA">
        <w:rPr>
          <w:rFonts w:ascii="Arial" w:hAnsi="Arial" w:cs="Arial"/>
          <w:b/>
          <w:i/>
          <w:sz w:val="24"/>
          <w:szCs w:val="24"/>
          <w:lang w:val="ru-RU"/>
        </w:rPr>
        <w:t>Հայաստանի</w:t>
      </w:r>
      <w:proofErr w:type="spellEnd"/>
      <w:r w:rsidRPr="00B34CCA">
        <w:rPr>
          <w:rFonts w:ascii="Arial" w:hAnsi="Arial" w:cs="Arial"/>
          <w:b/>
          <w:i/>
          <w:sz w:val="24"/>
          <w:szCs w:val="24"/>
        </w:rPr>
        <w:t xml:space="preserve"> </w:t>
      </w:r>
      <w:proofErr w:type="spellStart"/>
      <w:r w:rsidRPr="00B34CCA">
        <w:rPr>
          <w:rFonts w:ascii="Arial" w:hAnsi="Arial" w:cs="Arial"/>
          <w:b/>
          <w:i/>
          <w:sz w:val="24"/>
          <w:szCs w:val="24"/>
          <w:lang w:val="ru-RU"/>
        </w:rPr>
        <w:t>Հանրապետությունում</w:t>
      </w:r>
      <w:proofErr w:type="spellEnd"/>
      <w:r w:rsidRPr="00B34CCA">
        <w:rPr>
          <w:rFonts w:ascii="Arial" w:hAnsi="Arial" w:cs="Arial"/>
          <w:b/>
          <w:i/>
          <w:sz w:val="24"/>
          <w:szCs w:val="24"/>
        </w:rPr>
        <w:t xml:space="preserve"> </w:t>
      </w:r>
      <w:proofErr w:type="spellStart"/>
      <w:r w:rsidRPr="00B34CCA">
        <w:rPr>
          <w:rFonts w:ascii="Arial" w:hAnsi="Arial" w:cs="Arial"/>
          <w:b/>
          <w:i/>
          <w:sz w:val="24"/>
          <w:szCs w:val="24"/>
          <w:lang w:val="ru-RU"/>
        </w:rPr>
        <w:t>առողջության</w:t>
      </w:r>
      <w:proofErr w:type="spellEnd"/>
      <w:r w:rsidRPr="00B34CCA">
        <w:rPr>
          <w:rFonts w:ascii="Arial" w:hAnsi="Arial" w:cs="Arial"/>
          <w:b/>
          <w:i/>
          <w:sz w:val="24"/>
          <w:szCs w:val="24"/>
        </w:rPr>
        <w:t xml:space="preserve"> </w:t>
      </w:r>
      <w:proofErr w:type="spellStart"/>
      <w:r w:rsidRPr="00B34CCA">
        <w:rPr>
          <w:rFonts w:ascii="Arial" w:hAnsi="Arial" w:cs="Arial"/>
          <w:b/>
          <w:i/>
          <w:sz w:val="24"/>
          <w:szCs w:val="24"/>
          <w:lang w:val="ru-RU"/>
        </w:rPr>
        <w:t>համապարփակ</w:t>
      </w:r>
      <w:proofErr w:type="spellEnd"/>
      <w:r w:rsidRPr="00B34CCA">
        <w:rPr>
          <w:rFonts w:ascii="Arial" w:hAnsi="Arial" w:cs="Arial"/>
          <w:b/>
          <w:i/>
          <w:sz w:val="24"/>
          <w:szCs w:val="24"/>
        </w:rPr>
        <w:t xml:space="preserve"> </w:t>
      </w:r>
      <w:proofErr w:type="spellStart"/>
      <w:r w:rsidRPr="00B34CCA">
        <w:rPr>
          <w:rFonts w:ascii="Arial" w:hAnsi="Arial" w:cs="Arial"/>
          <w:b/>
          <w:i/>
          <w:sz w:val="24"/>
          <w:szCs w:val="24"/>
          <w:lang w:val="ru-RU"/>
        </w:rPr>
        <w:t>ապահովագրության</w:t>
      </w:r>
      <w:proofErr w:type="spellEnd"/>
      <w:r w:rsidRPr="00B34CCA">
        <w:rPr>
          <w:rFonts w:ascii="Arial" w:hAnsi="Arial" w:cs="Arial"/>
          <w:b/>
          <w:i/>
          <w:sz w:val="24"/>
          <w:szCs w:val="24"/>
        </w:rPr>
        <w:t xml:space="preserve"> </w:t>
      </w:r>
      <w:proofErr w:type="spellStart"/>
      <w:r w:rsidRPr="00B34CCA">
        <w:rPr>
          <w:rFonts w:ascii="Arial" w:hAnsi="Arial" w:cs="Arial"/>
          <w:b/>
          <w:i/>
          <w:sz w:val="24"/>
          <w:szCs w:val="24"/>
          <w:lang w:val="ru-RU"/>
        </w:rPr>
        <w:t>ներդրման</w:t>
      </w:r>
      <w:proofErr w:type="spellEnd"/>
      <w:r w:rsidRPr="00B34CCA">
        <w:rPr>
          <w:rFonts w:ascii="Arial" w:hAnsi="Arial" w:cs="Arial"/>
          <w:b/>
          <w:i/>
          <w:sz w:val="24"/>
          <w:szCs w:val="24"/>
        </w:rPr>
        <w:t xml:space="preserve"> </w:t>
      </w:r>
      <w:proofErr w:type="spellStart"/>
      <w:r w:rsidRPr="00B34CCA">
        <w:rPr>
          <w:rFonts w:ascii="Arial" w:hAnsi="Arial" w:cs="Arial"/>
          <w:b/>
          <w:i/>
          <w:sz w:val="24"/>
          <w:szCs w:val="24"/>
          <w:lang w:val="ru-RU"/>
        </w:rPr>
        <w:t>հայեցակարգին</w:t>
      </w:r>
      <w:proofErr w:type="spellEnd"/>
      <w:r w:rsidRPr="00B34CCA">
        <w:rPr>
          <w:rFonts w:ascii="Arial" w:hAnsi="Arial" w:cs="Arial"/>
          <w:b/>
          <w:i/>
          <w:sz w:val="24"/>
          <w:szCs w:val="24"/>
        </w:rPr>
        <w:t xml:space="preserve"> </w:t>
      </w:r>
      <w:proofErr w:type="spellStart"/>
      <w:r w:rsidRPr="00B34CCA">
        <w:rPr>
          <w:rFonts w:ascii="Arial" w:hAnsi="Arial" w:cs="Arial"/>
          <w:b/>
          <w:i/>
          <w:sz w:val="24"/>
          <w:szCs w:val="24"/>
          <w:lang w:val="ru-RU"/>
        </w:rPr>
        <w:t>հավանություն</w:t>
      </w:r>
      <w:proofErr w:type="spellEnd"/>
      <w:r w:rsidRPr="00B34CCA">
        <w:rPr>
          <w:rFonts w:ascii="Arial" w:hAnsi="Arial" w:cs="Arial"/>
          <w:b/>
          <w:i/>
          <w:sz w:val="24"/>
          <w:szCs w:val="24"/>
        </w:rPr>
        <w:t xml:space="preserve"> </w:t>
      </w:r>
      <w:proofErr w:type="spellStart"/>
      <w:r w:rsidRPr="00B34CCA">
        <w:rPr>
          <w:rFonts w:ascii="Arial" w:hAnsi="Arial" w:cs="Arial"/>
          <w:b/>
          <w:i/>
          <w:sz w:val="24"/>
          <w:szCs w:val="24"/>
          <w:lang w:val="ru-RU"/>
        </w:rPr>
        <w:t>տալու</w:t>
      </w:r>
      <w:proofErr w:type="spellEnd"/>
      <w:r w:rsidRPr="00B34CCA">
        <w:rPr>
          <w:rFonts w:ascii="Arial" w:hAnsi="Arial" w:cs="Arial"/>
          <w:b/>
          <w:i/>
          <w:sz w:val="24"/>
          <w:szCs w:val="24"/>
        </w:rPr>
        <w:t xml:space="preserve"> </w:t>
      </w:r>
      <w:proofErr w:type="spellStart"/>
      <w:r w:rsidRPr="00B34CCA">
        <w:rPr>
          <w:rFonts w:ascii="Arial" w:hAnsi="Arial" w:cs="Arial"/>
          <w:b/>
          <w:i/>
          <w:sz w:val="24"/>
          <w:szCs w:val="24"/>
          <w:lang w:val="ru-RU"/>
        </w:rPr>
        <w:t>մասին</w:t>
      </w:r>
      <w:proofErr w:type="spellEnd"/>
      <w:r w:rsidRPr="00B34CCA">
        <w:rPr>
          <w:rFonts w:ascii="Arial" w:hAnsi="Arial" w:cs="Arial"/>
          <w:b/>
          <w:i/>
          <w:sz w:val="24"/>
          <w:szCs w:val="24"/>
          <w:lang w:val="ru-RU"/>
        </w:rPr>
        <w:t>՚</w:t>
      </w:r>
      <w:r w:rsidRPr="00B34CCA">
        <w:rPr>
          <w:rFonts w:ascii="Arial" w:hAnsi="Arial" w:cs="Arial"/>
          <w:b/>
          <w:i/>
          <w:sz w:val="24"/>
          <w:szCs w:val="24"/>
        </w:rPr>
        <w:t xml:space="preserve"> </w:t>
      </w:r>
      <w:proofErr w:type="spellStart"/>
      <w:r w:rsidR="00DD3EF6" w:rsidRPr="00B34CCA">
        <w:rPr>
          <w:rFonts w:ascii="Arial" w:hAnsi="Arial" w:cs="Arial"/>
          <w:b/>
          <w:i/>
          <w:sz w:val="24"/>
          <w:szCs w:val="24"/>
        </w:rPr>
        <w:t>Հայաստանի</w:t>
      </w:r>
      <w:proofErr w:type="spellEnd"/>
      <w:r w:rsidR="00DD3EF6" w:rsidRPr="00B34CCA">
        <w:rPr>
          <w:rFonts w:ascii="Arial" w:hAnsi="Arial" w:cs="Arial"/>
          <w:b/>
          <w:i/>
          <w:sz w:val="24"/>
          <w:szCs w:val="24"/>
          <w:lang w:val="af-ZA"/>
        </w:rPr>
        <w:t xml:space="preserve"> </w:t>
      </w:r>
      <w:proofErr w:type="spellStart"/>
      <w:r w:rsidR="00DD3EF6" w:rsidRPr="00B34CCA">
        <w:rPr>
          <w:rFonts w:ascii="Arial" w:hAnsi="Arial" w:cs="Arial"/>
          <w:b/>
          <w:i/>
          <w:sz w:val="24"/>
          <w:szCs w:val="24"/>
        </w:rPr>
        <w:t>Հանրապետության</w:t>
      </w:r>
      <w:proofErr w:type="spellEnd"/>
      <w:r w:rsidR="00DD3EF6" w:rsidRPr="00B34CCA">
        <w:rPr>
          <w:rFonts w:ascii="Arial" w:hAnsi="Arial" w:cs="Arial"/>
          <w:b/>
          <w:i/>
          <w:sz w:val="24"/>
          <w:szCs w:val="24"/>
          <w:lang w:val="af-ZA"/>
        </w:rPr>
        <w:t xml:space="preserve"> </w:t>
      </w:r>
      <w:proofErr w:type="spellStart"/>
      <w:r w:rsidR="00DD3EF6" w:rsidRPr="00B34CCA">
        <w:rPr>
          <w:rFonts w:ascii="Arial" w:hAnsi="Arial" w:cs="Arial"/>
          <w:b/>
          <w:i/>
          <w:sz w:val="24"/>
          <w:szCs w:val="24"/>
        </w:rPr>
        <w:t>կառավարության</w:t>
      </w:r>
      <w:proofErr w:type="spellEnd"/>
      <w:r w:rsidR="00DD3EF6" w:rsidRPr="00B34CCA">
        <w:rPr>
          <w:rFonts w:ascii="Arial" w:hAnsi="Arial" w:cs="Arial"/>
          <w:b/>
          <w:i/>
          <w:sz w:val="24"/>
          <w:szCs w:val="24"/>
          <w:lang w:val="af-ZA"/>
        </w:rPr>
        <w:t xml:space="preserve"> </w:t>
      </w:r>
      <w:proofErr w:type="spellStart"/>
      <w:r w:rsidR="00DD3EF6" w:rsidRPr="00B34CCA">
        <w:rPr>
          <w:rFonts w:ascii="Arial" w:hAnsi="Arial" w:cs="Arial"/>
          <w:b/>
          <w:i/>
          <w:sz w:val="24"/>
          <w:szCs w:val="24"/>
        </w:rPr>
        <w:t>որոշման</w:t>
      </w:r>
      <w:proofErr w:type="spellEnd"/>
      <w:r w:rsidR="00DD3EF6" w:rsidRPr="00B34CCA">
        <w:rPr>
          <w:rFonts w:ascii="Arial" w:hAnsi="Arial" w:cs="Arial"/>
          <w:b/>
          <w:i/>
          <w:sz w:val="24"/>
          <w:szCs w:val="24"/>
          <w:lang w:val="af-ZA"/>
        </w:rPr>
        <w:t xml:space="preserve"> </w:t>
      </w:r>
      <w:proofErr w:type="spellStart"/>
      <w:r w:rsidR="00DD3EF6" w:rsidRPr="00B34CCA">
        <w:rPr>
          <w:rFonts w:ascii="Arial" w:hAnsi="Arial" w:cs="Arial"/>
          <w:b/>
          <w:i/>
          <w:sz w:val="24"/>
          <w:szCs w:val="24"/>
        </w:rPr>
        <w:t>նախագծի</w:t>
      </w:r>
      <w:proofErr w:type="spellEnd"/>
      <w:r w:rsidR="00DD3EF6" w:rsidRPr="00B34CCA">
        <w:rPr>
          <w:rFonts w:ascii="Arial" w:hAnsi="Arial" w:cs="Arial"/>
          <w:b/>
          <w:i/>
          <w:sz w:val="24"/>
          <w:szCs w:val="24"/>
          <w:lang w:val="af-ZA"/>
        </w:rPr>
        <w:t xml:space="preserve"> </w:t>
      </w:r>
      <w:proofErr w:type="spellStart"/>
      <w:r w:rsidR="00DD3EF6" w:rsidRPr="00B34CCA">
        <w:rPr>
          <w:rFonts w:ascii="Arial" w:hAnsi="Arial" w:cs="Arial"/>
          <w:b/>
          <w:i/>
          <w:sz w:val="24"/>
          <w:szCs w:val="24"/>
        </w:rPr>
        <w:t>ընդունման</w:t>
      </w:r>
      <w:proofErr w:type="spellEnd"/>
      <w:r w:rsidR="00DD3EF6" w:rsidRPr="00B34CCA">
        <w:rPr>
          <w:rFonts w:ascii="Arial" w:hAnsi="Arial" w:cs="Arial"/>
          <w:b/>
          <w:i/>
          <w:sz w:val="24"/>
          <w:szCs w:val="24"/>
          <w:lang w:val="af-ZA"/>
        </w:rPr>
        <w:t xml:space="preserve"> </w:t>
      </w:r>
      <w:proofErr w:type="spellStart"/>
      <w:r w:rsidR="00DD3EF6" w:rsidRPr="00B34CCA">
        <w:rPr>
          <w:rFonts w:ascii="Arial" w:hAnsi="Arial" w:cs="Arial"/>
          <w:b/>
          <w:i/>
          <w:sz w:val="24"/>
          <w:szCs w:val="24"/>
        </w:rPr>
        <w:t>անհրաժեշտության</w:t>
      </w:r>
      <w:proofErr w:type="spellEnd"/>
    </w:p>
    <w:p w:rsidR="00BA5BC9" w:rsidRPr="00B34CCA" w:rsidRDefault="00BA5BC9" w:rsidP="00B34CCA">
      <w:pPr>
        <w:pStyle w:val="a3"/>
        <w:tabs>
          <w:tab w:val="left" w:pos="720"/>
        </w:tabs>
        <w:spacing w:after="0" w:line="360" w:lineRule="auto"/>
        <w:rPr>
          <w:rFonts w:ascii="Arial" w:hAnsi="Arial" w:cs="Arial"/>
          <w:sz w:val="24"/>
          <w:szCs w:val="24"/>
        </w:rPr>
      </w:pPr>
    </w:p>
    <w:p w:rsidR="00B34CCA" w:rsidRPr="00B34CCA" w:rsidRDefault="00CB751D" w:rsidP="00B34CCA">
      <w:pPr>
        <w:pStyle w:val="aa"/>
        <w:numPr>
          <w:ilvl w:val="0"/>
          <w:numId w:val="12"/>
        </w:numPr>
        <w:shd w:val="clear" w:color="auto" w:fill="FFFFFF"/>
        <w:tabs>
          <w:tab w:val="left" w:pos="0"/>
          <w:tab w:val="left" w:pos="993"/>
        </w:tabs>
        <w:spacing w:after="0" w:line="360" w:lineRule="auto"/>
        <w:ind w:left="0" w:firstLine="709"/>
        <w:jc w:val="both"/>
        <w:rPr>
          <w:rFonts w:ascii="Arial" w:hAnsi="Arial" w:cs="Arial"/>
          <w:sz w:val="24"/>
          <w:szCs w:val="24"/>
        </w:rPr>
      </w:pPr>
      <w:proofErr w:type="spellStart"/>
      <w:r w:rsidRPr="00B34CCA">
        <w:rPr>
          <w:rFonts w:ascii="Arial" w:hAnsi="Arial" w:cs="Arial"/>
          <w:b/>
          <w:i/>
          <w:sz w:val="24"/>
          <w:szCs w:val="24"/>
          <w:lang w:val="ru-RU"/>
        </w:rPr>
        <w:t>Անհրաժեշտություն</w:t>
      </w:r>
      <w:proofErr w:type="spellEnd"/>
      <w:r w:rsidR="00E67932" w:rsidRPr="00B34CCA">
        <w:rPr>
          <w:rFonts w:ascii="Arial" w:hAnsi="Arial" w:cs="Arial"/>
          <w:b/>
          <w:i/>
          <w:sz w:val="24"/>
          <w:szCs w:val="24"/>
        </w:rPr>
        <w:t>ը</w:t>
      </w:r>
      <w:r w:rsidR="00E67932" w:rsidRPr="00B34CCA">
        <w:rPr>
          <w:rFonts w:ascii="Arial" w:hAnsi="Arial" w:cs="Arial"/>
          <w:sz w:val="24"/>
          <w:szCs w:val="24"/>
          <w:lang w:val="hy-AM"/>
        </w:rPr>
        <w:t>`</w:t>
      </w:r>
      <w:r w:rsidRPr="00B34CCA">
        <w:rPr>
          <w:rFonts w:ascii="Arial" w:hAnsi="Arial" w:cs="Arial"/>
          <w:sz w:val="24"/>
          <w:szCs w:val="24"/>
        </w:rPr>
        <w:t xml:space="preserve"> </w:t>
      </w:r>
      <w:proofErr w:type="spellStart"/>
      <w:r w:rsidR="006E0A4C" w:rsidRPr="00B34CCA">
        <w:rPr>
          <w:rFonts w:ascii="Arial" w:hAnsi="Arial" w:cs="Arial"/>
          <w:sz w:val="24"/>
          <w:szCs w:val="24"/>
        </w:rPr>
        <w:t>Հայեցակարգը</w:t>
      </w:r>
      <w:proofErr w:type="spellEnd"/>
      <w:r w:rsidR="006E0A4C" w:rsidRPr="00B34CCA">
        <w:rPr>
          <w:rFonts w:ascii="Arial" w:hAnsi="Arial" w:cs="Arial"/>
          <w:sz w:val="24"/>
          <w:szCs w:val="24"/>
        </w:rPr>
        <w:t xml:space="preserve"> </w:t>
      </w:r>
      <w:r w:rsidR="003421AF" w:rsidRPr="00B34CCA">
        <w:rPr>
          <w:rFonts w:ascii="Arial" w:hAnsi="Arial" w:cs="Arial"/>
          <w:color w:val="000000"/>
          <w:sz w:val="24"/>
          <w:szCs w:val="24"/>
          <w:lang w:val="hy-AM"/>
        </w:rPr>
        <w:t xml:space="preserve">մշակվել է </w:t>
      </w:r>
      <w:r w:rsidR="003421AF" w:rsidRPr="00B34CCA">
        <w:rPr>
          <w:rFonts w:ascii="Arial" w:hAnsi="Arial" w:cs="Arial"/>
          <w:color w:val="000000"/>
          <w:sz w:val="24"/>
          <w:szCs w:val="24"/>
          <w:lang w:val="ru-RU"/>
        </w:rPr>
        <w:t>ի</w:t>
      </w:r>
      <w:r w:rsidR="003421AF" w:rsidRPr="00B34CCA">
        <w:rPr>
          <w:rFonts w:ascii="Arial" w:hAnsi="Arial" w:cs="Arial"/>
          <w:color w:val="000000"/>
          <w:sz w:val="24"/>
          <w:szCs w:val="24"/>
        </w:rPr>
        <w:t xml:space="preserve"> </w:t>
      </w:r>
      <w:proofErr w:type="spellStart"/>
      <w:r w:rsidR="003421AF" w:rsidRPr="00B34CCA">
        <w:rPr>
          <w:rFonts w:ascii="Arial" w:hAnsi="Arial" w:cs="Arial"/>
          <w:color w:val="000000"/>
          <w:sz w:val="24"/>
          <w:szCs w:val="24"/>
          <w:lang w:val="ru-RU"/>
        </w:rPr>
        <w:t>կատարումն</w:t>
      </w:r>
      <w:proofErr w:type="spellEnd"/>
      <w:r w:rsidR="003421AF" w:rsidRPr="00B34CCA">
        <w:rPr>
          <w:rFonts w:ascii="Arial" w:hAnsi="Arial" w:cs="Arial"/>
          <w:color w:val="000000"/>
          <w:sz w:val="24"/>
          <w:szCs w:val="24"/>
        </w:rPr>
        <w:t xml:space="preserve"> </w:t>
      </w:r>
      <w:r w:rsidR="003421AF" w:rsidRPr="00B34CCA">
        <w:rPr>
          <w:rFonts w:ascii="Arial" w:hAnsi="Arial" w:cs="Arial"/>
          <w:color w:val="000000"/>
          <w:sz w:val="24"/>
          <w:szCs w:val="24"/>
          <w:lang w:val="hy-AM"/>
        </w:rPr>
        <w:t>Հայաստանի Հանրապետության կառավարության 2019 թվականի փետրվարի 8-ի N 65-Ա որոշման N 1 հավելվածի 4.3-րդ կետով նախատեսված միջոցառման</w:t>
      </w:r>
      <w:r w:rsidR="006E0A4C" w:rsidRPr="00B34CCA">
        <w:rPr>
          <w:rFonts w:ascii="Arial" w:hAnsi="Arial" w:cs="Arial"/>
          <w:sz w:val="24"/>
          <w:szCs w:val="24"/>
        </w:rPr>
        <w:t>:</w:t>
      </w:r>
      <w:r w:rsidR="003421AF" w:rsidRPr="00B34CCA">
        <w:rPr>
          <w:rFonts w:ascii="Arial" w:hAnsi="Arial" w:cs="Arial"/>
          <w:sz w:val="24"/>
          <w:szCs w:val="24"/>
        </w:rPr>
        <w:t xml:space="preserve"> </w:t>
      </w:r>
      <w:proofErr w:type="spellStart"/>
      <w:r w:rsidR="006E0A4C" w:rsidRPr="00B34CCA">
        <w:rPr>
          <w:rFonts w:ascii="Arial" w:hAnsi="Arial" w:cs="Arial"/>
          <w:sz w:val="24"/>
          <w:szCs w:val="24"/>
        </w:rPr>
        <w:t>Հայեցակարգի</w:t>
      </w:r>
      <w:proofErr w:type="spellEnd"/>
      <w:r w:rsidR="006E0A4C" w:rsidRPr="00B34CCA">
        <w:rPr>
          <w:rFonts w:ascii="Arial" w:hAnsi="Arial" w:cs="Arial"/>
          <w:sz w:val="24"/>
          <w:szCs w:val="24"/>
        </w:rPr>
        <w:t xml:space="preserve"> </w:t>
      </w:r>
      <w:proofErr w:type="spellStart"/>
      <w:r w:rsidR="006E0A4C" w:rsidRPr="00B34CCA">
        <w:rPr>
          <w:rFonts w:ascii="Arial" w:hAnsi="Arial" w:cs="Arial"/>
          <w:sz w:val="24"/>
          <w:szCs w:val="24"/>
        </w:rPr>
        <w:t>մշակումը</w:t>
      </w:r>
      <w:proofErr w:type="spellEnd"/>
      <w:r w:rsidR="006E0A4C" w:rsidRPr="00B34CCA">
        <w:rPr>
          <w:rFonts w:ascii="Arial" w:hAnsi="Arial" w:cs="Arial"/>
          <w:sz w:val="24"/>
          <w:szCs w:val="24"/>
        </w:rPr>
        <w:t xml:space="preserve"> </w:t>
      </w:r>
      <w:proofErr w:type="spellStart"/>
      <w:r w:rsidR="006E0A4C" w:rsidRPr="00B34CCA">
        <w:rPr>
          <w:rFonts w:ascii="Arial" w:hAnsi="Arial" w:cs="Arial"/>
          <w:sz w:val="24"/>
          <w:szCs w:val="24"/>
        </w:rPr>
        <w:t>պայմանավորված</w:t>
      </w:r>
      <w:proofErr w:type="spellEnd"/>
      <w:r w:rsidR="006E0A4C" w:rsidRPr="00B34CCA">
        <w:rPr>
          <w:rFonts w:ascii="Arial" w:hAnsi="Arial" w:cs="Arial"/>
          <w:sz w:val="24"/>
          <w:szCs w:val="24"/>
        </w:rPr>
        <w:t xml:space="preserve"> է </w:t>
      </w:r>
      <w:proofErr w:type="spellStart"/>
      <w:r w:rsidR="00D361CC">
        <w:rPr>
          <w:rFonts w:ascii="Arial" w:hAnsi="Arial" w:cs="Arial"/>
          <w:sz w:val="24"/>
          <w:szCs w:val="24"/>
        </w:rPr>
        <w:t>ք</w:t>
      </w:r>
      <w:r w:rsidR="00D361CC" w:rsidRPr="001A74FB">
        <w:rPr>
          <w:rFonts w:ascii="Arial" w:hAnsi="Arial" w:cs="Arial"/>
          <w:sz w:val="24"/>
          <w:szCs w:val="24"/>
        </w:rPr>
        <w:t>աղաքացիների</w:t>
      </w:r>
      <w:proofErr w:type="spellEnd"/>
      <w:r w:rsidR="00D361CC" w:rsidRPr="001A74FB">
        <w:rPr>
          <w:rFonts w:ascii="Arial" w:hAnsi="Arial" w:cs="Arial"/>
          <w:sz w:val="24"/>
          <w:szCs w:val="24"/>
        </w:rPr>
        <w:t xml:space="preserve"> </w:t>
      </w:r>
      <w:proofErr w:type="spellStart"/>
      <w:r w:rsidR="00D361CC" w:rsidRPr="001A74FB">
        <w:rPr>
          <w:rFonts w:ascii="Arial" w:hAnsi="Arial" w:cs="Arial"/>
          <w:sz w:val="24"/>
          <w:szCs w:val="24"/>
        </w:rPr>
        <w:t>առողջապահական</w:t>
      </w:r>
      <w:proofErr w:type="spellEnd"/>
      <w:r w:rsidR="00D361CC" w:rsidRPr="001A74FB">
        <w:rPr>
          <w:rFonts w:ascii="Arial" w:hAnsi="Arial" w:cs="Arial"/>
          <w:sz w:val="24"/>
          <w:szCs w:val="24"/>
        </w:rPr>
        <w:t xml:space="preserve"> </w:t>
      </w:r>
      <w:proofErr w:type="spellStart"/>
      <w:r w:rsidR="00D361CC" w:rsidRPr="001A74FB">
        <w:rPr>
          <w:rFonts w:ascii="Arial" w:hAnsi="Arial" w:cs="Arial"/>
          <w:sz w:val="24"/>
          <w:szCs w:val="24"/>
        </w:rPr>
        <w:t>ծառայությունների</w:t>
      </w:r>
      <w:proofErr w:type="spellEnd"/>
      <w:r w:rsidR="00D361CC" w:rsidRPr="001A74FB">
        <w:rPr>
          <w:rFonts w:ascii="Arial" w:hAnsi="Arial" w:cs="Arial"/>
          <w:sz w:val="24"/>
          <w:szCs w:val="24"/>
        </w:rPr>
        <w:t xml:space="preserve"> </w:t>
      </w:r>
      <w:proofErr w:type="spellStart"/>
      <w:r w:rsidR="00D361CC" w:rsidRPr="001A74FB">
        <w:rPr>
          <w:rFonts w:ascii="Arial" w:hAnsi="Arial" w:cs="Arial"/>
          <w:sz w:val="24"/>
          <w:szCs w:val="24"/>
        </w:rPr>
        <w:t>հասանելիության</w:t>
      </w:r>
      <w:proofErr w:type="spellEnd"/>
      <w:r w:rsidR="00D361CC" w:rsidRPr="001A74FB">
        <w:rPr>
          <w:rFonts w:ascii="Arial" w:hAnsi="Arial" w:cs="Arial"/>
          <w:sz w:val="24"/>
          <w:szCs w:val="24"/>
        </w:rPr>
        <w:t xml:space="preserve"> և </w:t>
      </w:r>
      <w:proofErr w:type="spellStart"/>
      <w:r w:rsidR="00D361CC" w:rsidRPr="001A74FB">
        <w:rPr>
          <w:rFonts w:ascii="Arial" w:hAnsi="Arial" w:cs="Arial"/>
          <w:sz w:val="24"/>
          <w:szCs w:val="24"/>
        </w:rPr>
        <w:t>մատչելիության</w:t>
      </w:r>
      <w:proofErr w:type="spellEnd"/>
      <w:r w:rsidR="00D361CC" w:rsidRPr="001A74FB">
        <w:rPr>
          <w:rFonts w:ascii="Arial" w:hAnsi="Arial" w:cs="Arial"/>
          <w:sz w:val="24"/>
          <w:szCs w:val="24"/>
        </w:rPr>
        <w:t xml:space="preserve"> </w:t>
      </w:r>
      <w:proofErr w:type="spellStart"/>
      <w:r w:rsidR="00D361CC" w:rsidRPr="001A74FB">
        <w:rPr>
          <w:rFonts w:ascii="Arial" w:hAnsi="Arial" w:cs="Arial"/>
          <w:sz w:val="24"/>
          <w:szCs w:val="24"/>
        </w:rPr>
        <w:t>ապահովման</w:t>
      </w:r>
      <w:proofErr w:type="spellEnd"/>
      <w:r w:rsidR="00D361CC" w:rsidRPr="001A74FB">
        <w:rPr>
          <w:rFonts w:ascii="Arial" w:hAnsi="Arial" w:cs="Arial"/>
          <w:sz w:val="24"/>
          <w:szCs w:val="24"/>
        </w:rPr>
        <w:t xml:space="preserve"> </w:t>
      </w:r>
      <w:proofErr w:type="spellStart"/>
      <w:r w:rsidR="00D361CC" w:rsidRPr="001A74FB">
        <w:rPr>
          <w:rFonts w:ascii="Arial" w:hAnsi="Arial" w:cs="Arial"/>
          <w:sz w:val="24"/>
          <w:szCs w:val="24"/>
        </w:rPr>
        <w:t>համար</w:t>
      </w:r>
      <w:proofErr w:type="spellEnd"/>
      <w:r w:rsidR="00D361CC" w:rsidRPr="001A74FB">
        <w:rPr>
          <w:rFonts w:ascii="Arial" w:hAnsi="Arial" w:cs="Arial"/>
          <w:sz w:val="24"/>
          <w:szCs w:val="24"/>
        </w:rPr>
        <w:t xml:space="preserve"> </w:t>
      </w:r>
      <w:proofErr w:type="spellStart"/>
      <w:r w:rsidR="00D361CC" w:rsidRPr="001A74FB">
        <w:rPr>
          <w:rFonts w:ascii="Arial" w:hAnsi="Arial" w:cs="Arial"/>
          <w:sz w:val="24"/>
          <w:szCs w:val="24"/>
        </w:rPr>
        <w:t>բժշկական</w:t>
      </w:r>
      <w:proofErr w:type="spellEnd"/>
      <w:r w:rsidR="00D361CC" w:rsidRPr="001A74FB">
        <w:rPr>
          <w:rFonts w:ascii="Arial" w:hAnsi="Arial" w:cs="Arial"/>
          <w:sz w:val="24"/>
          <w:szCs w:val="24"/>
        </w:rPr>
        <w:t xml:space="preserve"> </w:t>
      </w:r>
      <w:proofErr w:type="spellStart"/>
      <w:r w:rsidR="00D361CC" w:rsidRPr="001A74FB">
        <w:rPr>
          <w:rFonts w:ascii="Arial" w:hAnsi="Arial" w:cs="Arial"/>
          <w:sz w:val="24"/>
          <w:szCs w:val="24"/>
        </w:rPr>
        <w:t>ապահովագրության</w:t>
      </w:r>
      <w:proofErr w:type="spellEnd"/>
      <w:r w:rsidR="00D361CC" w:rsidRPr="001A74FB">
        <w:rPr>
          <w:rFonts w:ascii="Arial" w:hAnsi="Arial" w:cs="Arial"/>
          <w:sz w:val="24"/>
          <w:szCs w:val="24"/>
        </w:rPr>
        <w:t xml:space="preserve"> </w:t>
      </w:r>
      <w:proofErr w:type="spellStart"/>
      <w:r w:rsidR="00D361CC" w:rsidRPr="001A74FB">
        <w:rPr>
          <w:rFonts w:ascii="Arial" w:hAnsi="Arial" w:cs="Arial"/>
          <w:sz w:val="24"/>
          <w:szCs w:val="24"/>
        </w:rPr>
        <w:t>այնպիսի</w:t>
      </w:r>
      <w:proofErr w:type="spellEnd"/>
      <w:r w:rsidR="00D361CC" w:rsidRPr="001A74FB">
        <w:rPr>
          <w:rFonts w:ascii="Arial" w:hAnsi="Arial" w:cs="Arial"/>
          <w:sz w:val="24"/>
          <w:szCs w:val="24"/>
        </w:rPr>
        <w:t xml:space="preserve"> </w:t>
      </w:r>
      <w:proofErr w:type="spellStart"/>
      <w:r w:rsidR="00D361CC">
        <w:rPr>
          <w:rFonts w:ascii="Arial" w:hAnsi="Arial" w:cs="Arial"/>
          <w:sz w:val="24"/>
          <w:szCs w:val="24"/>
        </w:rPr>
        <w:t>համակարգ</w:t>
      </w:r>
      <w:proofErr w:type="spellEnd"/>
      <w:r w:rsidR="00D361CC">
        <w:rPr>
          <w:rFonts w:ascii="Arial" w:hAnsi="Arial" w:cs="Arial"/>
          <w:sz w:val="24"/>
          <w:szCs w:val="24"/>
          <w:lang w:val="hy-AM"/>
        </w:rPr>
        <w:t xml:space="preserve">ի </w:t>
      </w:r>
      <w:proofErr w:type="spellStart"/>
      <w:r w:rsidR="00D361CC" w:rsidRPr="001A74FB">
        <w:rPr>
          <w:rFonts w:ascii="Arial" w:hAnsi="Arial" w:cs="Arial"/>
          <w:sz w:val="24"/>
          <w:szCs w:val="24"/>
        </w:rPr>
        <w:t>հետևողականորեն</w:t>
      </w:r>
      <w:proofErr w:type="spellEnd"/>
      <w:r w:rsidR="00D361CC" w:rsidRPr="001A74FB">
        <w:rPr>
          <w:rFonts w:ascii="Arial" w:hAnsi="Arial" w:cs="Arial"/>
          <w:sz w:val="24"/>
          <w:szCs w:val="24"/>
        </w:rPr>
        <w:t xml:space="preserve"> </w:t>
      </w:r>
      <w:r w:rsidR="00D361CC">
        <w:rPr>
          <w:rFonts w:ascii="Arial" w:hAnsi="Arial" w:cs="Arial"/>
          <w:sz w:val="24"/>
          <w:szCs w:val="24"/>
          <w:lang w:val="hy-AM"/>
        </w:rPr>
        <w:t>ներդրման անհրաժեշտությամբ</w:t>
      </w:r>
      <w:r w:rsidR="00D361CC">
        <w:rPr>
          <w:rFonts w:ascii="Arial" w:hAnsi="Arial" w:cs="Arial"/>
          <w:sz w:val="24"/>
          <w:szCs w:val="24"/>
        </w:rPr>
        <w:t>,</w:t>
      </w:r>
      <w:r w:rsidR="00D361CC" w:rsidRPr="001A74FB">
        <w:rPr>
          <w:rFonts w:ascii="Arial" w:hAnsi="Arial" w:cs="Arial"/>
          <w:sz w:val="24"/>
          <w:szCs w:val="24"/>
        </w:rPr>
        <w:t xml:space="preserve"> </w:t>
      </w:r>
      <w:proofErr w:type="spellStart"/>
      <w:r w:rsidR="00D361CC" w:rsidRPr="001A74FB">
        <w:rPr>
          <w:rFonts w:ascii="Arial" w:hAnsi="Arial" w:cs="Arial"/>
          <w:sz w:val="24"/>
          <w:szCs w:val="24"/>
        </w:rPr>
        <w:t>որ</w:t>
      </w:r>
      <w:r w:rsidR="00D361CC">
        <w:rPr>
          <w:rFonts w:ascii="Arial" w:hAnsi="Arial" w:cs="Arial"/>
          <w:sz w:val="24"/>
          <w:szCs w:val="24"/>
        </w:rPr>
        <w:t>ը</w:t>
      </w:r>
      <w:proofErr w:type="spellEnd"/>
      <w:r w:rsidR="00D361CC" w:rsidRPr="001A74FB">
        <w:rPr>
          <w:rFonts w:ascii="Arial" w:hAnsi="Arial" w:cs="Arial"/>
          <w:sz w:val="24"/>
          <w:szCs w:val="24"/>
        </w:rPr>
        <w:t xml:space="preserve"> </w:t>
      </w:r>
      <w:proofErr w:type="spellStart"/>
      <w:r w:rsidR="00357426">
        <w:rPr>
          <w:rFonts w:ascii="Arial" w:hAnsi="Arial" w:cs="Arial"/>
          <w:sz w:val="24"/>
          <w:szCs w:val="24"/>
        </w:rPr>
        <w:t>կապահովի</w:t>
      </w:r>
      <w:proofErr w:type="spellEnd"/>
      <w:r w:rsidR="00357426">
        <w:rPr>
          <w:rFonts w:ascii="Arial" w:hAnsi="Arial" w:cs="Arial"/>
          <w:sz w:val="24"/>
          <w:szCs w:val="24"/>
        </w:rPr>
        <w:t xml:space="preserve"> </w:t>
      </w:r>
      <w:proofErr w:type="spellStart"/>
      <w:r w:rsidR="00D361CC" w:rsidRPr="001A74FB">
        <w:rPr>
          <w:rFonts w:ascii="Arial" w:hAnsi="Arial" w:cs="Arial"/>
          <w:sz w:val="24"/>
          <w:szCs w:val="24"/>
        </w:rPr>
        <w:t>բժշկական</w:t>
      </w:r>
      <w:proofErr w:type="spellEnd"/>
      <w:r w:rsidR="00D361CC" w:rsidRPr="001A74FB">
        <w:rPr>
          <w:rFonts w:ascii="Arial" w:hAnsi="Arial" w:cs="Arial"/>
          <w:sz w:val="24"/>
          <w:szCs w:val="24"/>
        </w:rPr>
        <w:t xml:space="preserve"> </w:t>
      </w:r>
      <w:proofErr w:type="spellStart"/>
      <w:r w:rsidR="00D361CC" w:rsidRPr="001A74FB">
        <w:rPr>
          <w:rFonts w:ascii="Arial" w:hAnsi="Arial" w:cs="Arial"/>
          <w:sz w:val="24"/>
          <w:szCs w:val="24"/>
        </w:rPr>
        <w:t>օգնության</w:t>
      </w:r>
      <w:proofErr w:type="spellEnd"/>
      <w:r w:rsidR="00D361CC" w:rsidRPr="001A74FB">
        <w:rPr>
          <w:rFonts w:ascii="Arial" w:hAnsi="Arial" w:cs="Arial"/>
          <w:sz w:val="24"/>
          <w:szCs w:val="24"/>
        </w:rPr>
        <w:t xml:space="preserve"> և </w:t>
      </w:r>
      <w:proofErr w:type="spellStart"/>
      <w:r w:rsidR="00D361CC" w:rsidRPr="001A74FB">
        <w:rPr>
          <w:rFonts w:ascii="Arial" w:hAnsi="Arial" w:cs="Arial"/>
          <w:sz w:val="24"/>
          <w:szCs w:val="24"/>
        </w:rPr>
        <w:t>սպասարկման</w:t>
      </w:r>
      <w:proofErr w:type="spellEnd"/>
      <w:r w:rsidR="00D361CC" w:rsidRPr="001A74FB">
        <w:rPr>
          <w:rFonts w:ascii="Arial" w:hAnsi="Arial" w:cs="Arial"/>
          <w:sz w:val="24"/>
          <w:szCs w:val="24"/>
        </w:rPr>
        <w:t xml:space="preserve"> </w:t>
      </w:r>
      <w:proofErr w:type="spellStart"/>
      <w:r w:rsidR="00D361CC" w:rsidRPr="001A74FB">
        <w:rPr>
          <w:rFonts w:ascii="Arial" w:hAnsi="Arial" w:cs="Arial"/>
          <w:sz w:val="24"/>
          <w:szCs w:val="24"/>
        </w:rPr>
        <w:t>անհրաժեշտություն</w:t>
      </w:r>
      <w:proofErr w:type="spellEnd"/>
      <w:r w:rsidR="00D361CC" w:rsidRPr="001A74FB">
        <w:rPr>
          <w:rFonts w:ascii="Arial" w:hAnsi="Arial" w:cs="Arial"/>
          <w:sz w:val="24"/>
          <w:szCs w:val="24"/>
        </w:rPr>
        <w:t xml:space="preserve"> </w:t>
      </w:r>
      <w:proofErr w:type="spellStart"/>
      <w:r w:rsidR="00D361CC" w:rsidRPr="001A74FB">
        <w:rPr>
          <w:rFonts w:ascii="Arial" w:hAnsi="Arial" w:cs="Arial"/>
          <w:sz w:val="24"/>
          <w:szCs w:val="24"/>
        </w:rPr>
        <w:t>ունեցող</w:t>
      </w:r>
      <w:proofErr w:type="spellEnd"/>
      <w:r w:rsidR="00D361CC" w:rsidRPr="001A74FB">
        <w:rPr>
          <w:rFonts w:ascii="Arial" w:hAnsi="Arial" w:cs="Arial"/>
          <w:sz w:val="24"/>
          <w:szCs w:val="24"/>
        </w:rPr>
        <w:t xml:space="preserve"> </w:t>
      </w:r>
      <w:proofErr w:type="spellStart"/>
      <w:r w:rsidR="00D361CC" w:rsidRPr="001A74FB">
        <w:rPr>
          <w:rFonts w:ascii="Arial" w:hAnsi="Arial" w:cs="Arial"/>
          <w:sz w:val="24"/>
          <w:szCs w:val="24"/>
        </w:rPr>
        <w:t>յուրաքանչյուր</w:t>
      </w:r>
      <w:proofErr w:type="spellEnd"/>
      <w:r w:rsidR="00D361CC" w:rsidRPr="001A74FB">
        <w:rPr>
          <w:rFonts w:ascii="Arial" w:hAnsi="Arial" w:cs="Arial"/>
          <w:sz w:val="24"/>
          <w:szCs w:val="24"/>
        </w:rPr>
        <w:t xml:space="preserve"> </w:t>
      </w:r>
      <w:proofErr w:type="spellStart"/>
      <w:r w:rsidR="00D361CC" w:rsidRPr="001A74FB">
        <w:rPr>
          <w:rFonts w:ascii="Arial" w:hAnsi="Arial" w:cs="Arial"/>
          <w:sz w:val="24"/>
          <w:szCs w:val="24"/>
        </w:rPr>
        <w:t>քաղաքացու</w:t>
      </w:r>
      <w:proofErr w:type="spellEnd"/>
      <w:r w:rsidR="00D361CC" w:rsidRPr="001A74FB">
        <w:rPr>
          <w:rFonts w:ascii="Arial" w:hAnsi="Arial" w:cs="Arial"/>
          <w:sz w:val="24"/>
          <w:szCs w:val="24"/>
        </w:rPr>
        <w:t xml:space="preserve"> </w:t>
      </w:r>
      <w:proofErr w:type="spellStart"/>
      <w:r w:rsidR="00D361CC" w:rsidRPr="001A74FB">
        <w:rPr>
          <w:rFonts w:ascii="Arial" w:hAnsi="Arial" w:cs="Arial"/>
          <w:sz w:val="24"/>
          <w:szCs w:val="24"/>
        </w:rPr>
        <w:t>պատշաճ</w:t>
      </w:r>
      <w:proofErr w:type="spellEnd"/>
      <w:r w:rsidR="00D361CC" w:rsidRPr="001A74FB">
        <w:rPr>
          <w:rFonts w:ascii="Arial" w:hAnsi="Arial" w:cs="Arial"/>
          <w:sz w:val="24"/>
          <w:szCs w:val="24"/>
        </w:rPr>
        <w:t xml:space="preserve"> և </w:t>
      </w:r>
      <w:proofErr w:type="spellStart"/>
      <w:r w:rsidR="00D361CC" w:rsidRPr="001A74FB">
        <w:rPr>
          <w:rFonts w:ascii="Arial" w:hAnsi="Arial" w:cs="Arial"/>
          <w:sz w:val="24"/>
          <w:szCs w:val="24"/>
        </w:rPr>
        <w:t>ժամանակին</w:t>
      </w:r>
      <w:proofErr w:type="spellEnd"/>
      <w:r w:rsidR="00D361CC" w:rsidRPr="001A74FB">
        <w:rPr>
          <w:rFonts w:ascii="Arial" w:hAnsi="Arial" w:cs="Arial"/>
          <w:sz w:val="24"/>
          <w:szCs w:val="24"/>
        </w:rPr>
        <w:t xml:space="preserve"> </w:t>
      </w:r>
      <w:proofErr w:type="spellStart"/>
      <w:r w:rsidR="00357426">
        <w:rPr>
          <w:rFonts w:ascii="Arial" w:hAnsi="Arial" w:cs="Arial"/>
          <w:sz w:val="24"/>
          <w:szCs w:val="24"/>
        </w:rPr>
        <w:t>ծառայությունների</w:t>
      </w:r>
      <w:proofErr w:type="spellEnd"/>
      <w:r w:rsidR="00357426">
        <w:rPr>
          <w:rFonts w:ascii="Arial" w:hAnsi="Arial" w:cs="Arial"/>
          <w:sz w:val="24"/>
          <w:szCs w:val="24"/>
        </w:rPr>
        <w:t xml:space="preserve"> </w:t>
      </w:r>
      <w:proofErr w:type="spellStart"/>
      <w:r w:rsidR="00357426">
        <w:rPr>
          <w:rFonts w:ascii="Arial" w:hAnsi="Arial" w:cs="Arial"/>
          <w:sz w:val="24"/>
          <w:szCs w:val="24"/>
        </w:rPr>
        <w:t>տրամադրումը</w:t>
      </w:r>
      <w:proofErr w:type="spellEnd"/>
      <w:r w:rsidR="00D361CC" w:rsidRPr="001A74FB">
        <w:rPr>
          <w:rFonts w:ascii="Arial" w:hAnsi="Arial" w:cs="Arial"/>
          <w:sz w:val="24"/>
          <w:szCs w:val="24"/>
        </w:rPr>
        <w:t xml:space="preserve">՝ </w:t>
      </w:r>
      <w:proofErr w:type="spellStart"/>
      <w:r w:rsidR="00D361CC" w:rsidRPr="001A74FB">
        <w:rPr>
          <w:rFonts w:ascii="Arial" w:hAnsi="Arial" w:cs="Arial"/>
          <w:sz w:val="24"/>
          <w:szCs w:val="24"/>
        </w:rPr>
        <w:t>անկախ</w:t>
      </w:r>
      <w:proofErr w:type="spellEnd"/>
      <w:r w:rsidR="00D361CC" w:rsidRPr="001A74FB">
        <w:rPr>
          <w:rFonts w:ascii="Arial" w:hAnsi="Arial" w:cs="Arial"/>
          <w:sz w:val="24"/>
          <w:szCs w:val="24"/>
        </w:rPr>
        <w:t xml:space="preserve"> </w:t>
      </w:r>
      <w:proofErr w:type="spellStart"/>
      <w:r w:rsidR="00D361CC" w:rsidRPr="001A74FB">
        <w:rPr>
          <w:rFonts w:ascii="Arial" w:hAnsi="Arial" w:cs="Arial"/>
          <w:sz w:val="24"/>
          <w:szCs w:val="24"/>
        </w:rPr>
        <w:t>սեռից</w:t>
      </w:r>
      <w:proofErr w:type="spellEnd"/>
      <w:r w:rsidR="00D361CC" w:rsidRPr="001A74FB">
        <w:rPr>
          <w:rFonts w:ascii="Arial" w:hAnsi="Arial" w:cs="Arial"/>
          <w:sz w:val="24"/>
          <w:szCs w:val="24"/>
        </w:rPr>
        <w:t xml:space="preserve">, </w:t>
      </w:r>
      <w:proofErr w:type="spellStart"/>
      <w:r w:rsidR="00D361CC" w:rsidRPr="001A74FB">
        <w:rPr>
          <w:rFonts w:ascii="Arial" w:hAnsi="Arial" w:cs="Arial"/>
          <w:sz w:val="24"/>
          <w:szCs w:val="24"/>
        </w:rPr>
        <w:t>տարիքից</w:t>
      </w:r>
      <w:proofErr w:type="spellEnd"/>
      <w:r w:rsidR="00D361CC" w:rsidRPr="001A74FB">
        <w:rPr>
          <w:rFonts w:ascii="Arial" w:hAnsi="Arial" w:cs="Arial"/>
          <w:sz w:val="24"/>
          <w:szCs w:val="24"/>
        </w:rPr>
        <w:t xml:space="preserve">, </w:t>
      </w:r>
      <w:proofErr w:type="spellStart"/>
      <w:r w:rsidR="00D361CC" w:rsidRPr="001A74FB">
        <w:rPr>
          <w:rFonts w:ascii="Arial" w:hAnsi="Arial" w:cs="Arial"/>
          <w:sz w:val="24"/>
          <w:szCs w:val="24"/>
        </w:rPr>
        <w:t>բնակության</w:t>
      </w:r>
      <w:proofErr w:type="spellEnd"/>
      <w:r w:rsidR="00D361CC" w:rsidRPr="001A74FB">
        <w:rPr>
          <w:rFonts w:ascii="Arial" w:hAnsi="Arial" w:cs="Arial"/>
          <w:sz w:val="24"/>
          <w:szCs w:val="24"/>
        </w:rPr>
        <w:t xml:space="preserve"> </w:t>
      </w:r>
      <w:proofErr w:type="spellStart"/>
      <w:r w:rsidR="00D361CC" w:rsidRPr="001A74FB">
        <w:rPr>
          <w:rFonts w:ascii="Arial" w:hAnsi="Arial" w:cs="Arial"/>
          <w:sz w:val="24"/>
          <w:szCs w:val="24"/>
        </w:rPr>
        <w:t>վայրից</w:t>
      </w:r>
      <w:proofErr w:type="spellEnd"/>
      <w:r w:rsidR="00D361CC" w:rsidRPr="001A74FB">
        <w:rPr>
          <w:rFonts w:ascii="Arial" w:hAnsi="Arial" w:cs="Arial"/>
          <w:sz w:val="24"/>
          <w:szCs w:val="24"/>
        </w:rPr>
        <w:t xml:space="preserve"> և </w:t>
      </w:r>
      <w:proofErr w:type="spellStart"/>
      <w:r w:rsidR="00D361CC" w:rsidRPr="001A74FB">
        <w:rPr>
          <w:rFonts w:ascii="Arial" w:hAnsi="Arial" w:cs="Arial"/>
          <w:sz w:val="24"/>
          <w:szCs w:val="24"/>
        </w:rPr>
        <w:t>սոցիալական</w:t>
      </w:r>
      <w:proofErr w:type="spellEnd"/>
      <w:r w:rsidR="00D361CC" w:rsidRPr="001A74FB">
        <w:rPr>
          <w:rFonts w:ascii="Arial" w:hAnsi="Arial" w:cs="Arial"/>
          <w:sz w:val="24"/>
          <w:szCs w:val="24"/>
        </w:rPr>
        <w:t xml:space="preserve"> </w:t>
      </w:r>
      <w:proofErr w:type="spellStart"/>
      <w:r w:rsidR="00D361CC" w:rsidRPr="001A74FB">
        <w:rPr>
          <w:rFonts w:ascii="Arial" w:hAnsi="Arial" w:cs="Arial"/>
          <w:sz w:val="24"/>
          <w:szCs w:val="24"/>
        </w:rPr>
        <w:t>կարգավիճակից</w:t>
      </w:r>
      <w:proofErr w:type="spellEnd"/>
      <w:r w:rsidR="007956B0" w:rsidRPr="00B34CCA">
        <w:rPr>
          <w:rFonts w:ascii="Arial" w:hAnsi="Arial" w:cs="Arial"/>
          <w:color w:val="000000"/>
          <w:sz w:val="24"/>
          <w:szCs w:val="24"/>
          <w:lang w:val="hy-AM"/>
        </w:rPr>
        <w:t>:</w:t>
      </w:r>
    </w:p>
    <w:p w:rsidR="00B34CCA" w:rsidRPr="003E4F80" w:rsidRDefault="00CB751D" w:rsidP="003E4F80">
      <w:pPr>
        <w:pStyle w:val="aa"/>
        <w:numPr>
          <w:ilvl w:val="0"/>
          <w:numId w:val="12"/>
        </w:numPr>
        <w:shd w:val="clear" w:color="auto" w:fill="FFFFFF"/>
        <w:tabs>
          <w:tab w:val="left" w:pos="0"/>
          <w:tab w:val="left" w:pos="993"/>
        </w:tabs>
        <w:spacing w:after="0" w:line="360" w:lineRule="auto"/>
        <w:ind w:left="0" w:firstLine="709"/>
        <w:jc w:val="both"/>
        <w:rPr>
          <w:rFonts w:ascii="Arial" w:hAnsi="Arial" w:cs="Arial"/>
          <w:sz w:val="24"/>
          <w:szCs w:val="24"/>
          <w:lang w:val="hy-AM"/>
        </w:rPr>
      </w:pPr>
      <w:proofErr w:type="spellStart"/>
      <w:r w:rsidRPr="003E4F80">
        <w:rPr>
          <w:rFonts w:ascii="Arial" w:hAnsi="Arial" w:cs="Arial"/>
          <w:b/>
          <w:i/>
          <w:sz w:val="24"/>
          <w:szCs w:val="24"/>
          <w:lang w:val="ru-RU"/>
        </w:rPr>
        <w:t>Ընթացիկ</w:t>
      </w:r>
      <w:proofErr w:type="spellEnd"/>
      <w:r w:rsidRPr="003E4F80">
        <w:rPr>
          <w:rFonts w:ascii="Arial" w:hAnsi="Arial" w:cs="Arial"/>
          <w:b/>
          <w:i/>
          <w:sz w:val="24"/>
          <w:szCs w:val="24"/>
        </w:rPr>
        <w:t xml:space="preserve"> </w:t>
      </w:r>
      <w:proofErr w:type="spellStart"/>
      <w:r w:rsidRPr="003E4F80">
        <w:rPr>
          <w:rFonts w:ascii="Arial" w:hAnsi="Arial" w:cs="Arial"/>
          <w:b/>
          <w:i/>
          <w:sz w:val="24"/>
          <w:szCs w:val="24"/>
          <w:lang w:val="ru-RU"/>
        </w:rPr>
        <w:t>իրավիճակը</w:t>
      </w:r>
      <w:proofErr w:type="spellEnd"/>
      <w:r w:rsidRPr="003E4F80">
        <w:rPr>
          <w:rFonts w:ascii="Arial" w:hAnsi="Arial" w:cs="Arial"/>
          <w:b/>
          <w:i/>
          <w:sz w:val="24"/>
          <w:szCs w:val="24"/>
        </w:rPr>
        <w:t xml:space="preserve"> </w:t>
      </w:r>
      <w:r w:rsidRPr="003E4F80">
        <w:rPr>
          <w:rFonts w:ascii="Arial" w:hAnsi="Arial" w:cs="Arial"/>
          <w:b/>
          <w:i/>
          <w:sz w:val="24"/>
          <w:szCs w:val="24"/>
          <w:lang w:val="ru-RU"/>
        </w:rPr>
        <w:t>և</w:t>
      </w:r>
      <w:r w:rsidRPr="003E4F80">
        <w:rPr>
          <w:rFonts w:ascii="Arial" w:hAnsi="Arial" w:cs="Arial"/>
          <w:b/>
          <w:i/>
          <w:sz w:val="24"/>
          <w:szCs w:val="24"/>
        </w:rPr>
        <w:t xml:space="preserve"> </w:t>
      </w:r>
      <w:proofErr w:type="spellStart"/>
      <w:r w:rsidRPr="003E4F80">
        <w:rPr>
          <w:rFonts w:ascii="Arial" w:hAnsi="Arial" w:cs="Arial"/>
          <w:b/>
          <w:i/>
          <w:sz w:val="24"/>
          <w:szCs w:val="24"/>
          <w:lang w:val="ru-RU"/>
        </w:rPr>
        <w:t>խնդիրները</w:t>
      </w:r>
      <w:proofErr w:type="spellEnd"/>
      <w:r w:rsidR="00E67932" w:rsidRPr="003E4F80">
        <w:rPr>
          <w:rFonts w:ascii="Arial" w:hAnsi="Arial" w:cs="Arial"/>
          <w:b/>
          <w:i/>
          <w:sz w:val="24"/>
          <w:szCs w:val="24"/>
        </w:rPr>
        <w:t>`</w:t>
      </w:r>
      <w:r w:rsidRPr="003E4F80">
        <w:rPr>
          <w:rFonts w:ascii="Arial" w:hAnsi="Arial" w:cs="Arial"/>
          <w:b/>
          <w:i/>
          <w:sz w:val="24"/>
          <w:szCs w:val="24"/>
        </w:rPr>
        <w:t xml:space="preserve"> </w:t>
      </w:r>
      <w:r w:rsidR="003E4F80" w:rsidRPr="003E4F80">
        <w:rPr>
          <w:rFonts w:ascii="Arial" w:hAnsi="Arial" w:cs="Arial"/>
          <w:sz w:val="24"/>
          <w:szCs w:val="24"/>
          <w:lang w:val="hy-AM"/>
        </w:rPr>
        <w:t>Հ</w:t>
      </w:r>
      <w:r w:rsidR="003E4F80" w:rsidRPr="003E4F80">
        <w:rPr>
          <w:rFonts w:ascii="Arial" w:eastAsia="GHEA Grapalat" w:hAnsi="Arial" w:cs="Arial"/>
          <w:sz w:val="24"/>
          <w:szCs w:val="24"/>
          <w:lang w:val="hy-AM"/>
        </w:rPr>
        <w:t>այաստանի առողջապահության ֆինանսավորման համակարգի գնահատման միջազգային համեմատականները և ծախսարդյունավետ ծրագրերի մասով դիտարկումները ցույց են տալիս, որ սահմանափակ ֆինանսական միջոցների առկայության դեպքում առողջապահության համակարգը գործում է արդյունավետ և հնարավորություն է տալիս գրանցել բարելավվող ոչ ֆինանսական ցուցանիշներ՝ կյանքի միջին տևողության աճի, մայրական և երեխաների մահացության ցուցանիշների նվազման տեսքով</w:t>
      </w:r>
      <w:r w:rsidR="003E4F80" w:rsidRPr="003E4F80">
        <w:rPr>
          <w:rStyle w:val="af1"/>
          <w:rFonts w:ascii="Arial" w:eastAsia="GHEA Grapalat" w:hAnsi="Arial" w:cs="Arial"/>
          <w:sz w:val="24"/>
          <w:szCs w:val="24"/>
          <w:lang w:val="hy-AM"/>
        </w:rPr>
        <w:footnoteReference w:id="1"/>
      </w:r>
      <w:r w:rsidR="003E4F80" w:rsidRPr="003E4F80">
        <w:rPr>
          <w:rFonts w:ascii="Arial" w:eastAsia="GHEA Grapalat" w:hAnsi="Arial" w:cs="Arial"/>
          <w:sz w:val="24"/>
          <w:szCs w:val="24"/>
          <w:lang w:val="hy-AM"/>
        </w:rPr>
        <w:t>:</w:t>
      </w:r>
    </w:p>
    <w:p w:rsidR="003E4F80" w:rsidRPr="003E4F80" w:rsidRDefault="003E4F80" w:rsidP="003E4F80">
      <w:pPr>
        <w:spacing w:line="360" w:lineRule="auto"/>
        <w:jc w:val="both"/>
        <w:rPr>
          <w:rFonts w:ascii="Arial" w:eastAsia="GHEA Grapalat" w:hAnsi="Arial" w:cs="Arial"/>
          <w:sz w:val="24"/>
          <w:szCs w:val="24"/>
          <w:lang w:val="hy-AM"/>
        </w:rPr>
      </w:pPr>
      <w:r w:rsidRPr="003E4F80">
        <w:rPr>
          <w:rFonts w:ascii="Arial" w:eastAsia="GHEA Grapalat" w:hAnsi="Arial" w:cs="Arial"/>
          <w:sz w:val="24"/>
          <w:szCs w:val="24"/>
          <w:lang w:val="hy-AM"/>
        </w:rPr>
        <w:t>Արձանագրված ցուցանիշները Հայաստանը կարողացել է ապահովել Եվրոպայի և Կենտրոնական Ասիայի շատ երկրների համեմատ ցածր պետական ֆինանսավորմամբ՝  201</w:t>
      </w:r>
      <w:r w:rsidRPr="003E4F80">
        <w:rPr>
          <w:rFonts w:ascii="Arial" w:eastAsia="GHEA Grapalat" w:hAnsi="Arial" w:cs="Arial"/>
          <w:sz w:val="24"/>
          <w:szCs w:val="24"/>
          <w:lang w:val="hy-AM"/>
        </w:rPr>
        <w:t>8</w:t>
      </w:r>
      <w:r w:rsidRPr="003E4F80">
        <w:rPr>
          <w:rFonts w:ascii="Arial" w:eastAsia="GHEA Grapalat" w:hAnsi="Arial" w:cs="Arial"/>
          <w:sz w:val="24"/>
          <w:szCs w:val="24"/>
          <w:lang w:val="hy-AM"/>
        </w:rPr>
        <w:t>թ.-ին ապահովելով առողջապահության բնագավառի մասով համախմբված բյուջեի ծախսերի 5.4%-ը կամ ՀՆԱ-ում շուրջ</w:t>
      </w:r>
      <w:r>
        <w:rPr>
          <w:rFonts w:ascii="Arial" w:eastAsia="GHEA Grapalat" w:hAnsi="Arial" w:cs="Arial"/>
          <w:sz w:val="24"/>
          <w:szCs w:val="24"/>
          <w:lang w:val="hy-AM"/>
        </w:rPr>
        <w:t xml:space="preserve"> 1,4</w:t>
      </w:r>
      <w:r w:rsidRPr="003E4F80">
        <w:rPr>
          <w:rFonts w:ascii="Arial" w:eastAsia="GHEA Grapalat" w:hAnsi="Arial" w:cs="Arial"/>
          <w:sz w:val="24"/>
          <w:szCs w:val="24"/>
          <w:lang w:val="hy-AM"/>
        </w:rPr>
        <w:t>%, որը առնվազն 4 անգամ պակաս է զարգացող և զարգացած երկրների միջին ցուցանիշներից</w:t>
      </w:r>
      <w:r w:rsidRPr="003E4F80">
        <w:rPr>
          <w:rStyle w:val="af1"/>
          <w:rFonts w:ascii="Arial" w:eastAsia="GHEA Grapalat" w:hAnsi="Arial" w:cs="Arial"/>
          <w:sz w:val="24"/>
          <w:szCs w:val="24"/>
          <w:lang w:val="hy-AM"/>
        </w:rPr>
        <w:footnoteReference w:id="2"/>
      </w:r>
      <w:r w:rsidRPr="003E4F80">
        <w:rPr>
          <w:rFonts w:ascii="Arial" w:eastAsia="GHEA Grapalat" w:hAnsi="Arial" w:cs="Arial"/>
          <w:sz w:val="24"/>
          <w:szCs w:val="24"/>
          <w:lang w:val="hy-AM"/>
        </w:rPr>
        <w:t>։</w:t>
      </w:r>
    </w:p>
    <w:p w:rsidR="003E4F80" w:rsidRPr="003E4F80" w:rsidRDefault="003E4F80" w:rsidP="003E4F80">
      <w:pPr>
        <w:spacing w:after="0" w:line="360" w:lineRule="auto"/>
        <w:jc w:val="both"/>
        <w:rPr>
          <w:rFonts w:ascii="Arial" w:eastAsia="GHEA Grapalat" w:hAnsi="Arial" w:cs="Arial"/>
          <w:sz w:val="24"/>
          <w:szCs w:val="24"/>
          <w:lang w:val="hy-AM"/>
        </w:rPr>
      </w:pPr>
      <w:r w:rsidRPr="003E4F80">
        <w:rPr>
          <w:rFonts w:ascii="Arial" w:eastAsia="GHEA Grapalat" w:hAnsi="Arial" w:cs="Arial"/>
          <w:sz w:val="24"/>
          <w:szCs w:val="24"/>
          <w:lang w:val="hy-AM"/>
        </w:rPr>
        <w:lastRenderedPageBreak/>
        <w:t>Ոչ բավարար չափով ֆինանսավորումը բերել է հասարակության սոցիալապես անապահով հատվածի թույլ թիրախավորման, իրական ծախսերից ցածր փոխհատուցվող գների, բժշկական մասնագիտացված անձնակազմի բացակայությանը մարզերում:</w:t>
      </w:r>
    </w:p>
    <w:p w:rsidR="003E4F80" w:rsidRPr="003E4F80" w:rsidRDefault="003E4F80" w:rsidP="003E4F80">
      <w:pPr>
        <w:spacing w:after="0" w:line="360" w:lineRule="auto"/>
        <w:jc w:val="both"/>
        <w:rPr>
          <w:rFonts w:ascii="Arial" w:eastAsia="GHEA Grapalat" w:hAnsi="Arial" w:cs="Arial"/>
          <w:sz w:val="24"/>
          <w:szCs w:val="24"/>
          <w:lang w:val="hy-AM"/>
        </w:rPr>
      </w:pPr>
      <w:r w:rsidRPr="003E4F80">
        <w:rPr>
          <w:rFonts w:ascii="Arial" w:eastAsia="GHEA Grapalat" w:hAnsi="Arial" w:cs="Arial"/>
          <w:sz w:val="24"/>
          <w:szCs w:val="24"/>
          <w:lang w:val="hy-AM"/>
        </w:rPr>
        <w:t xml:space="preserve">Ֆինանսական մատչելիության ցածր մակարդակը բերել է բժշկական կազմակերպությունների թերի ծանրաբեռնվածությանը և ֆինանսական պատճառներով բնակչության շուրջ 20.1%-ը չի հաճախում </w:t>
      </w:r>
      <w:r w:rsidRPr="003E4F80">
        <w:rPr>
          <w:rFonts w:ascii="Arial" w:eastAsia="GHEA Grapalat" w:hAnsi="Arial" w:cs="Arial"/>
          <w:sz w:val="24"/>
          <w:szCs w:val="24"/>
          <w:lang w:val="hy-AM"/>
        </w:rPr>
        <w:t>առողջության առաջնային պահպանման</w:t>
      </w:r>
      <w:r w:rsidRPr="003E4F80">
        <w:rPr>
          <w:rFonts w:ascii="Arial" w:eastAsia="GHEA Grapalat" w:hAnsi="Arial" w:cs="Arial"/>
          <w:sz w:val="24"/>
          <w:szCs w:val="24"/>
          <w:lang w:val="hy-AM"/>
        </w:rPr>
        <w:t xml:space="preserve"> բժշկի: Ֆինանսական միջոցների պակասը խոչընդոտում է համակարգի զարգացմանը և բուժօգնության որակի բարելավմանը, նպաստում է բազմաթիվ ընտանիքների աղքատացման առողջապահական աղետալի ծախսերի պատճառով, խոչընդոտում է բժշկական օգնության և սպասարկման ծառայությունների հասանելիության և ֆինանսական մատչելիության բարելավմանը: Բնակչության շուրջ 9%-ի մոտ սպառողական ծախսերի ավելի քան 25%-ը կազմում են առողջապահական ծախսերը, որի հետևանքով վերջիններիս շուրջ 6%-ը աղքատանում է՝ ինչն ամենաբարձր ցուցանիշն է տարածաշրջանում</w:t>
      </w:r>
      <w:r w:rsidRPr="003E4F80">
        <w:rPr>
          <w:rStyle w:val="af1"/>
          <w:rFonts w:ascii="Arial" w:eastAsia="GHEA Grapalat" w:hAnsi="Arial" w:cs="Arial"/>
          <w:sz w:val="24"/>
          <w:szCs w:val="24"/>
          <w:lang w:val="hy-AM"/>
        </w:rPr>
        <w:footnoteReference w:id="3"/>
      </w:r>
      <w:r w:rsidRPr="003E4F80">
        <w:rPr>
          <w:rFonts w:ascii="Arial" w:eastAsia="GHEA Grapalat" w:hAnsi="Arial" w:cs="Arial"/>
          <w:sz w:val="24"/>
          <w:szCs w:val="24"/>
          <w:lang w:val="hy-AM"/>
        </w:rPr>
        <w:t>:</w:t>
      </w:r>
    </w:p>
    <w:p w:rsidR="003E4F80" w:rsidRPr="003E4F80" w:rsidRDefault="003E4F80" w:rsidP="003E4F80">
      <w:pPr>
        <w:spacing w:after="0" w:line="360" w:lineRule="auto"/>
        <w:jc w:val="both"/>
        <w:rPr>
          <w:rFonts w:ascii="Arial" w:eastAsia="GHEA Grapalat" w:hAnsi="Arial" w:cs="Arial"/>
          <w:sz w:val="24"/>
          <w:szCs w:val="24"/>
          <w:lang w:val="hy-AM"/>
        </w:rPr>
      </w:pPr>
      <w:r w:rsidRPr="003E4F80">
        <w:rPr>
          <w:rFonts w:ascii="Arial" w:eastAsia="GHEA Grapalat" w:hAnsi="Arial" w:cs="Arial"/>
          <w:sz w:val="24"/>
          <w:szCs w:val="24"/>
          <w:lang w:val="hy-AM"/>
        </w:rPr>
        <w:t xml:space="preserve">Համակարգի արդյունավետության բարձրացման քայլերը չեն համապատասխանում պետության կողմից հատկացվող ֆինանսավորմանը, իսկ բնակչության կողմից կատարվող ծախսերը մեծամասամբ անկառավարելի և անկանխատեսելի են, քանզի կատարվում են միայն առողջական խնդիրների առաջացման դեպքում: Նույնիսկ տնտեսական ճգնաժամերի պայմաններում առողջապահական ծախսերը ոչ միայն չեն նվազել, այլ ընդհակառակը, շարունակել են կայուն տեմպերով աճել, մինչդեռ պետական ծախսերը դրան համաչափ չեն աճել, այլ նվազել են, հասարակության </w:t>
      </w:r>
      <w:bookmarkStart w:id="0" w:name="_GoBack"/>
      <w:r w:rsidRPr="003E4F80">
        <w:rPr>
          <w:rFonts w:ascii="Arial" w:eastAsia="GHEA Grapalat" w:hAnsi="Arial" w:cs="Arial"/>
          <w:sz w:val="24"/>
          <w:szCs w:val="24"/>
          <w:lang w:val="hy-AM"/>
        </w:rPr>
        <w:t>զգալի հատվածի թողնելով դեմ առ դեմ առողջապահական աղետալի ծախսերի հետ:</w:t>
      </w:r>
    </w:p>
    <w:p w:rsidR="003E4F80" w:rsidRPr="003E4F80" w:rsidRDefault="003E4F80" w:rsidP="003E4F80">
      <w:pPr>
        <w:spacing w:after="0" w:line="360" w:lineRule="auto"/>
        <w:jc w:val="both"/>
        <w:rPr>
          <w:rFonts w:ascii="Arial" w:eastAsia="GHEA Grapalat" w:hAnsi="Arial" w:cs="Arial"/>
          <w:sz w:val="24"/>
          <w:szCs w:val="24"/>
          <w:lang w:val="hy-AM"/>
        </w:rPr>
      </w:pPr>
      <w:r w:rsidRPr="003E4F80">
        <w:rPr>
          <w:rFonts w:ascii="Arial" w:eastAsia="GHEA Grapalat" w:hAnsi="Arial" w:cs="Arial"/>
          <w:sz w:val="24"/>
          <w:szCs w:val="24"/>
          <w:lang w:val="hy-AM"/>
        </w:rPr>
        <w:t xml:space="preserve">Պետության </w:t>
      </w:r>
      <w:bookmarkEnd w:id="0"/>
      <w:r w:rsidRPr="003E4F80">
        <w:rPr>
          <w:rFonts w:ascii="Arial" w:eastAsia="GHEA Grapalat" w:hAnsi="Arial" w:cs="Arial"/>
          <w:sz w:val="24"/>
          <w:szCs w:val="24"/>
          <w:lang w:val="hy-AM"/>
        </w:rPr>
        <w:t>մակրոտնտեսական ցուցանիշների վերլուծությունը թույլ է տալիս եզրակացնել, որ առողջապահությունը դեռևս երկար ժամանակ չի կարող հանդես գալ առաջնահերթ և գերակա ոլորտների շարքում։</w:t>
      </w:r>
    </w:p>
    <w:p w:rsidR="003E4F80" w:rsidRPr="003E4F80" w:rsidRDefault="003E4F80" w:rsidP="003E4F80">
      <w:pPr>
        <w:shd w:val="clear" w:color="auto" w:fill="FFFFFF"/>
        <w:tabs>
          <w:tab w:val="left" w:pos="0"/>
          <w:tab w:val="left" w:pos="993"/>
        </w:tabs>
        <w:spacing w:after="0" w:line="360" w:lineRule="auto"/>
        <w:jc w:val="both"/>
        <w:rPr>
          <w:rFonts w:ascii="Arial" w:hAnsi="Arial" w:cs="Arial"/>
          <w:sz w:val="24"/>
          <w:szCs w:val="24"/>
          <w:lang w:val="hy-AM"/>
        </w:rPr>
      </w:pPr>
      <w:r w:rsidRPr="003E4F80">
        <w:rPr>
          <w:rFonts w:ascii="Arial" w:eastAsia="GHEA Grapalat" w:hAnsi="Arial" w:cs="Arial"/>
          <w:sz w:val="24"/>
          <w:szCs w:val="24"/>
          <w:lang w:val="hy-AM"/>
        </w:rPr>
        <w:t>Ֆ</w:t>
      </w:r>
      <w:r w:rsidRPr="003E4F80">
        <w:rPr>
          <w:rFonts w:ascii="Arial" w:hAnsi="Arial" w:cs="Arial"/>
          <w:sz w:val="24"/>
          <w:szCs w:val="24"/>
          <w:lang w:val="hy-AM"/>
        </w:rPr>
        <w:t xml:space="preserve">ինանսական կառավարման սահմանափակումները, գնումների ընթացակարգերի գործող մեխանզիմները, հնարավորություն չեն տալիս իրականացնել հանրային ֆինանսական միջոցների ընթացիկ, ճկուն կառավարում, իսկ բժշկական կազմակերպություններում շատ դեպքերում խնդիրներ են առաջանում ֆինանսների ներքին կառավարման հետ կապված՝ դեղերի և ԲՆԱ գնումների ընթացակարգերին </w:t>
      </w:r>
      <w:r w:rsidRPr="003E4F80">
        <w:rPr>
          <w:rFonts w:ascii="Arial" w:hAnsi="Arial" w:cs="Arial"/>
          <w:sz w:val="24"/>
          <w:szCs w:val="24"/>
          <w:lang w:val="hy-AM"/>
        </w:rPr>
        <w:lastRenderedPageBreak/>
        <w:t>հետևելու, դրանց սահմանափակումները և ռիսկերը հաղթահարելու առումով։ Առկա է նաև ֆինանսների կառավարման մասնագետների բացակայության խնդիրը՝ կառավարման բոլոր մակարդակներում։</w:t>
      </w:r>
    </w:p>
    <w:p w:rsidR="00A77B95" w:rsidRPr="00B34CCA" w:rsidRDefault="00007420" w:rsidP="00B34CCA">
      <w:pPr>
        <w:pStyle w:val="aa"/>
        <w:numPr>
          <w:ilvl w:val="0"/>
          <w:numId w:val="12"/>
        </w:numPr>
        <w:spacing w:after="0" w:line="360" w:lineRule="auto"/>
        <w:ind w:left="0" w:firstLine="720"/>
        <w:jc w:val="both"/>
        <w:rPr>
          <w:rFonts w:ascii="Arial" w:hAnsi="Arial" w:cs="Arial"/>
          <w:sz w:val="24"/>
          <w:szCs w:val="24"/>
          <w:lang w:val="hy-AM"/>
        </w:rPr>
      </w:pPr>
      <w:r w:rsidRPr="00B34CCA">
        <w:rPr>
          <w:rFonts w:ascii="Arial" w:hAnsi="Arial" w:cs="Arial"/>
          <w:b/>
          <w:i/>
          <w:sz w:val="24"/>
          <w:szCs w:val="24"/>
          <w:lang w:val="hy-AM"/>
        </w:rPr>
        <w:t>Տվյալ</w:t>
      </w:r>
      <w:r w:rsidRPr="00B34CCA">
        <w:rPr>
          <w:rFonts w:ascii="Arial" w:hAnsi="Arial" w:cs="Arial"/>
          <w:b/>
          <w:i/>
          <w:sz w:val="24"/>
          <w:szCs w:val="24"/>
          <w:lang w:val="af-ZA"/>
        </w:rPr>
        <w:t xml:space="preserve"> </w:t>
      </w:r>
      <w:r w:rsidRPr="00B34CCA">
        <w:rPr>
          <w:rFonts w:ascii="Arial" w:hAnsi="Arial" w:cs="Arial"/>
          <w:b/>
          <w:i/>
          <w:sz w:val="24"/>
          <w:szCs w:val="24"/>
          <w:lang w:val="hy-AM"/>
        </w:rPr>
        <w:t>բնագավառում</w:t>
      </w:r>
      <w:r w:rsidRPr="00B34CCA">
        <w:rPr>
          <w:rFonts w:ascii="Arial" w:hAnsi="Arial" w:cs="Arial"/>
          <w:b/>
          <w:i/>
          <w:sz w:val="24"/>
          <w:szCs w:val="24"/>
          <w:lang w:val="af-ZA"/>
        </w:rPr>
        <w:t xml:space="preserve"> </w:t>
      </w:r>
      <w:r w:rsidRPr="00B34CCA">
        <w:rPr>
          <w:rFonts w:ascii="Arial" w:hAnsi="Arial" w:cs="Arial"/>
          <w:b/>
          <w:i/>
          <w:sz w:val="24"/>
          <w:szCs w:val="24"/>
          <w:lang w:val="hy-AM"/>
        </w:rPr>
        <w:t>իրականացվող</w:t>
      </w:r>
      <w:r w:rsidRPr="00B34CCA">
        <w:rPr>
          <w:rFonts w:ascii="Arial" w:hAnsi="Arial" w:cs="Arial"/>
          <w:b/>
          <w:i/>
          <w:sz w:val="24"/>
          <w:szCs w:val="24"/>
          <w:lang w:val="af-ZA"/>
        </w:rPr>
        <w:t xml:space="preserve"> </w:t>
      </w:r>
      <w:r w:rsidRPr="00B34CCA">
        <w:rPr>
          <w:rFonts w:ascii="Arial" w:hAnsi="Arial" w:cs="Arial"/>
          <w:b/>
          <w:i/>
          <w:sz w:val="24"/>
          <w:szCs w:val="24"/>
          <w:lang w:val="hy-AM"/>
        </w:rPr>
        <w:t>քաղաքականությունը</w:t>
      </w:r>
      <w:r w:rsidR="005C1A0E" w:rsidRPr="00B34CCA">
        <w:rPr>
          <w:rFonts w:ascii="Arial" w:hAnsi="Arial" w:cs="Arial"/>
          <w:b/>
          <w:i/>
          <w:sz w:val="24"/>
          <w:szCs w:val="24"/>
          <w:lang w:val="hy-AM"/>
        </w:rPr>
        <w:t xml:space="preserve">՝ </w:t>
      </w:r>
      <w:r w:rsidR="006F614E" w:rsidRPr="00B34CCA">
        <w:rPr>
          <w:rFonts w:ascii="Arial" w:eastAsia="GHEA Grapalat" w:hAnsi="Arial" w:cs="Arial"/>
          <w:sz w:val="24"/>
          <w:szCs w:val="24"/>
          <w:lang w:val="hy-AM"/>
        </w:rPr>
        <w:t xml:space="preserve">ապահովել բնակչության հիմնական բժշկական օգնության և սպասարկման ծառայությունների հասանելիությունը և </w:t>
      </w:r>
      <w:r w:rsidR="003E4F80" w:rsidRPr="00B34CCA">
        <w:rPr>
          <w:rFonts w:ascii="Arial" w:eastAsia="GHEA Grapalat" w:hAnsi="Arial" w:cs="Arial"/>
          <w:sz w:val="24"/>
          <w:szCs w:val="24"/>
          <w:lang w:val="hy-AM"/>
        </w:rPr>
        <w:t xml:space="preserve">ֆինանսական </w:t>
      </w:r>
      <w:r w:rsidR="006F614E" w:rsidRPr="00B34CCA">
        <w:rPr>
          <w:rFonts w:ascii="Arial" w:eastAsia="GHEA Grapalat" w:hAnsi="Arial" w:cs="Arial"/>
          <w:sz w:val="24"/>
          <w:szCs w:val="24"/>
          <w:lang w:val="hy-AM"/>
        </w:rPr>
        <w:t>պաշտպանվածությունը, բժշկական օգնության և սպասարկման ծառայությունների դիմաց կատարվող աղետալի ծախսերի կրճատումը և դրա հետևանքով աղքատացող բնակչության թվաքանակի կրճատումը, առողջապահության բնագավառում ծախսվող գումարների արդյունավետության և նպատակայնության մակարդակի բարձրացումը, բուժօգնության որակի բարելավումը։</w:t>
      </w:r>
    </w:p>
    <w:p w:rsidR="00A77B95" w:rsidRPr="00B34CCA" w:rsidRDefault="00007420" w:rsidP="00B34CCA">
      <w:pPr>
        <w:pStyle w:val="aa"/>
        <w:numPr>
          <w:ilvl w:val="0"/>
          <w:numId w:val="12"/>
        </w:numPr>
        <w:shd w:val="clear" w:color="auto" w:fill="FFFFFF"/>
        <w:tabs>
          <w:tab w:val="left" w:pos="0"/>
          <w:tab w:val="left" w:pos="993"/>
        </w:tabs>
        <w:spacing w:after="0" w:line="360" w:lineRule="auto"/>
        <w:ind w:left="0" w:firstLine="709"/>
        <w:jc w:val="both"/>
        <w:rPr>
          <w:rFonts w:ascii="Arial" w:hAnsi="Arial" w:cs="Arial"/>
          <w:sz w:val="24"/>
          <w:szCs w:val="24"/>
          <w:lang w:val="hy-AM"/>
        </w:rPr>
      </w:pPr>
      <w:r w:rsidRPr="00B34CCA">
        <w:rPr>
          <w:rFonts w:ascii="Arial" w:hAnsi="Arial" w:cs="Arial"/>
          <w:b/>
          <w:i/>
          <w:sz w:val="24"/>
          <w:szCs w:val="24"/>
          <w:lang w:val="hy-AM"/>
        </w:rPr>
        <w:t>Կարգավորման</w:t>
      </w:r>
      <w:r w:rsidRPr="00B34CCA">
        <w:rPr>
          <w:rFonts w:ascii="Arial" w:hAnsi="Arial" w:cs="Arial"/>
          <w:b/>
          <w:i/>
          <w:sz w:val="24"/>
          <w:szCs w:val="24"/>
          <w:lang w:val="af-ZA"/>
        </w:rPr>
        <w:t xml:space="preserve"> </w:t>
      </w:r>
      <w:r w:rsidRPr="00B34CCA">
        <w:rPr>
          <w:rFonts w:ascii="Arial" w:hAnsi="Arial" w:cs="Arial"/>
          <w:b/>
          <w:i/>
          <w:sz w:val="24"/>
          <w:szCs w:val="24"/>
          <w:lang w:val="hy-AM"/>
        </w:rPr>
        <w:t>նպատակը</w:t>
      </w:r>
      <w:r w:rsidRPr="00B34CCA">
        <w:rPr>
          <w:rFonts w:ascii="Arial" w:hAnsi="Arial" w:cs="Arial"/>
          <w:b/>
          <w:i/>
          <w:sz w:val="24"/>
          <w:szCs w:val="24"/>
          <w:lang w:val="af-ZA"/>
        </w:rPr>
        <w:t xml:space="preserve"> </w:t>
      </w:r>
      <w:r w:rsidRPr="00B34CCA">
        <w:rPr>
          <w:rFonts w:ascii="Arial" w:hAnsi="Arial" w:cs="Arial"/>
          <w:b/>
          <w:i/>
          <w:sz w:val="24"/>
          <w:szCs w:val="24"/>
          <w:lang w:val="hy-AM"/>
        </w:rPr>
        <w:t>և</w:t>
      </w:r>
      <w:r w:rsidRPr="00B34CCA">
        <w:rPr>
          <w:rFonts w:ascii="Arial" w:hAnsi="Arial" w:cs="Arial"/>
          <w:b/>
          <w:i/>
          <w:sz w:val="24"/>
          <w:szCs w:val="24"/>
          <w:lang w:val="af-ZA"/>
        </w:rPr>
        <w:t xml:space="preserve"> </w:t>
      </w:r>
      <w:r w:rsidRPr="00B34CCA">
        <w:rPr>
          <w:rFonts w:ascii="Arial" w:hAnsi="Arial" w:cs="Arial"/>
          <w:b/>
          <w:i/>
          <w:sz w:val="24"/>
          <w:szCs w:val="24"/>
          <w:lang w:val="hy-AM"/>
        </w:rPr>
        <w:t>բնույթը</w:t>
      </w:r>
      <w:r w:rsidRPr="00B34CCA">
        <w:rPr>
          <w:rFonts w:ascii="Arial" w:hAnsi="Arial" w:cs="Arial"/>
          <w:sz w:val="24"/>
          <w:szCs w:val="24"/>
          <w:lang w:val="af-ZA"/>
        </w:rPr>
        <w:t xml:space="preserve">` </w:t>
      </w:r>
      <w:r w:rsidR="006F614E" w:rsidRPr="00B34CCA">
        <w:rPr>
          <w:rFonts w:ascii="Arial" w:hAnsi="Arial" w:cs="Arial"/>
          <w:color w:val="000000"/>
          <w:sz w:val="24"/>
          <w:szCs w:val="24"/>
          <w:lang w:val="hy-AM"/>
        </w:rPr>
        <w:t>Առողջության համապարփակ ապահովագրության ներդրման հիմնական նպատակը պետության սոցիալական պատասխանատվության և բնակչության սոցիալական համերաշխության սկզբունքների հիման վրա առողջապահության կայուն ֆինանսավորման համակարգի ստեղծումն է, որը պետք է ապահովի բնակչության բոլոր խմբերի համար բժշկական հիմնական ծառայությունների ֆինանսական հասանելիություն և պաշտպանվածություն</w:t>
      </w:r>
      <w:r w:rsidR="00D361CC">
        <w:rPr>
          <w:rFonts w:ascii="Arial" w:hAnsi="Arial" w:cs="Arial"/>
          <w:color w:val="000000"/>
          <w:sz w:val="24"/>
          <w:szCs w:val="24"/>
          <w:lang w:val="hy-AM"/>
        </w:rPr>
        <w:t xml:space="preserve">: Հայեցակարգը պետք է հիմք հանդիսանա առողջապահության նախարարության կողմից իրականացվող </w:t>
      </w:r>
      <w:r w:rsidR="00357426" w:rsidRPr="00357426">
        <w:rPr>
          <w:rFonts w:ascii="Arial" w:hAnsi="Arial" w:cs="Arial"/>
          <w:color w:val="000000"/>
          <w:sz w:val="24"/>
          <w:szCs w:val="24"/>
          <w:lang w:val="hy-AM"/>
        </w:rPr>
        <w:t>համալիր</w:t>
      </w:r>
      <w:r w:rsidR="00D361CC">
        <w:rPr>
          <w:rFonts w:ascii="Arial" w:hAnsi="Arial" w:cs="Arial"/>
          <w:color w:val="000000"/>
          <w:sz w:val="24"/>
          <w:szCs w:val="24"/>
          <w:lang w:val="hy-AM"/>
        </w:rPr>
        <w:t xml:space="preserve"> միջոցառումների հայեցակարգային մոտեցումները ամրագրելու, առողջության համապարփակ ապահովագրության մասին օրենքը, այլ հարակից օրենսդրական փոփոխությունները մշակելու և 202</w:t>
      </w:r>
      <w:r w:rsidR="00357426" w:rsidRPr="00357426">
        <w:rPr>
          <w:rFonts w:ascii="Arial" w:hAnsi="Arial" w:cs="Arial"/>
          <w:color w:val="000000"/>
          <w:sz w:val="24"/>
          <w:szCs w:val="24"/>
          <w:lang w:val="hy-AM"/>
        </w:rPr>
        <w:t>2</w:t>
      </w:r>
      <w:r w:rsidR="00D361CC">
        <w:rPr>
          <w:rFonts w:ascii="Arial" w:hAnsi="Arial" w:cs="Arial"/>
          <w:color w:val="000000"/>
          <w:sz w:val="24"/>
          <w:szCs w:val="24"/>
          <w:lang w:val="hy-AM"/>
        </w:rPr>
        <w:t>թ-ից առողջության համապարփակ ապահովագրությունը ներդնելու համար:</w:t>
      </w:r>
    </w:p>
    <w:p w:rsidR="006F614E" w:rsidRPr="00B34CCA" w:rsidRDefault="00007420" w:rsidP="00B34CCA">
      <w:pPr>
        <w:pStyle w:val="aa"/>
        <w:numPr>
          <w:ilvl w:val="0"/>
          <w:numId w:val="12"/>
        </w:numPr>
        <w:shd w:val="clear" w:color="auto" w:fill="FFFFFF"/>
        <w:tabs>
          <w:tab w:val="left" w:pos="0"/>
          <w:tab w:val="left" w:pos="993"/>
        </w:tabs>
        <w:spacing w:after="0" w:line="360" w:lineRule="auto"/>
        <w:ind w:left="0" w:firstLine="709"/>
        <w:jc w:val="both"/>
        <w:rPr>
          <w:rFonts w:ascii="Arial" w:hAnsi="Arial" w:cs="Arial"/>
          <w:sz w:val="24"/>
          <w:szCs w:val="24"/>
          <w:lang w:val="hy-AM"/>
        </w:rPr>
      </w:pPr>
      <w:r w:rsidRPr="00B34CCA">
        <w:rPr>
          <w:rFonts w:ascii="Arial" w:hAnsi="Arial" w:cs="Arial"/>
          <w:b/>
          <w:i/>
          <w:sz w:val="24"/>
          <w:szCs w:val="24"/>
          <w:lang w:val="hy-AM"/>
        </w:rPr>
        <w:t>Նախագծի</w:t>
      </w:r>
      <w:r w:rsidRPr="00B34CCA">
        <w:rPr>
          <w:rFonts w:ascii="Arial" w:hAnsi="Arial" w:cs="Arial"/>
          <w:b/>
          <w:i/>
          <w:sz w:val="24"/>
          <w:szCs w:val="24"/>
          <w:lang w:val="af-ZA"/>
        </w:rPr>
        <w:t xml:space="preserve"> </w:t>
      </w:r>
      <w:r w:rsidRPr="00B34CCA">
        <w:rPr>
          <w:rFonts w:ascii="Arial" w:hAnsi="Arial" w:cs="Arial"/>
          <w:b/>
          <w:i/>
          <w:sz w:val="24"/>
          <w:szCs w:val="24"/>
          <w:lang w:val="hy-AM"/>
        </w:rPr>
        <w:t>մշակման</w:t>
      </w:r>
      <w:r w:rsidRPr="00B34CCA">
        <w:rPr>
          <w:rFonts w:ascii="Arial" w:hAnsi="Arial" w:cs="Arial"/>
          <w:b/>
          <w:i/>
          <w:sz w:val="24"/>
          <w:szCs w:val="24"/>
          <w:lang w:val="af-ZA"/>
        </w:rPr>
        <w:t xml:space="preserve"> </w:t>
      </w:r>
      <w:r w:rsidRPr="00B34CCA">
        <w:rPr>
          <w:rFonts w:ascii="Arial" w:hAnsi="Arial" w:cs="Arial"/>
          <w:b/>
          <w:i/>
          <w:sz w:val="24"/>
          <w:szCs w:val="24"/>
          <w:lang w:val="hy-AM"/>
        </w:rPr>
        <w:t>գործընթացում</w:t>
      </w:r>
      <w:r w:rsidRPr="00B34CCA">
        <w:rPr>
          <w:rFonts w:ascii="Arial" w:hAnsi="Arial" w:cs="Arial"/>
          <w:b/>
          <w:i/>
          <w:sz w:val="24"/>
          <w:szCs w:val="24"/>
          <w:lang w:val="af-ZA"/>
        </w:rPr>
        <w:t xml:space="preserve"> </w:t>
      </w:r>
      <w:r w:rsidRPr="00B34CCA">
        <w:rPr>
          <w:rFonts w:ascii="Arial" w:hAnsi="Arial" w:cs="Arial"/>
          <w:b/>
          <w:i/>
          <w:sz w:val="24"/>
          <w:szCs w:val="24"/>
          <w:lang w:val="hy-AM"/>
        </w:rPr>
        <w:t>ներգրավված</w:t>
      </w:r>
      <w:r w:rsidRPr="00B34CCA">
        <w:rPr>
          <w:rFonts w:ascii="Arial" w:hAnsi="Arial" w:cs="Arial"/>
          <w:b/>
          <w:i/>
          <w:sz w:val="24"/>
          <w:szCs w:val="24"/>
          <w:lang w:val="af-ZA"/>
        </w:rPr>
        <w:t xml:space="preserve"> </w:t>
      </w:r>
      <w:r w:rsidRPr="00B34CCA">
        <w:rPr>
          <w:rFonts w:ascii="Arial" w:hAnsi="Arial" w:cs="Arial"/>
          <w:b/>
          <w:i/>
          <w:sz w:val="24"/>
          <w:szCs w:val="24"/>
          <w:lang w:val="hy-AM"/>
        </w:rPr>
        <w:t>ինստիտուտները</w:t>
      </w:r>
      <w:r w:rsidRPr="00B34CCA">
        <w:rPr>
          <w:rFonts w:ascii="Arial" w:hAnsi="Arial" w:cs="Arial"/>
          <w:sz w:val="24"/>
          <w:szCs w:val="24"/>
          <w:lang w:val="af-ZA"/>
        </w:rPr>
        <w:t xml:space="preserve">` </w:t>
      </w:r>
      <w:r w:rsidRPr="00B34CCA">
        <w:rPr>
          <w:rFonts w:ascii="Arial" w:hAnsi="Arial" w:cs="Arial"/>
          <w:sz w:val="24"/>
          <w:szCs w:val="24"/>
          <w:lang w:val="hy-AM"/>
        </w:rPr>
        <w:t>ներկայացված</w:t>
      </w:r>
      <w:r w:rsidRPr="00B34CCA">
        <w:rPr>
          <w:rFonts w:ascii="Arial" w:hAnsi="Arial" w:cs="Arial"/>
          <w:sz w:val="24"/>
          <w:szCs w:val="24"/>
          <w:lang w:val="af-ZA"/>
        </w:rPr>
        <w:t xml:space="preserve"> </w:t>
      </w:r>
      <w:r w:rsidRPr="00B34CCA">
        <w:rPr>
          <w:rFonts w:ascii="Arial" w:hAnsi="Arial" w:cs="Arial"/>
          <w:sz w:val="24"/>
          <w:szCs w:val="24"/>
          <w:lang w:val="hy-AM"/>
        </w:rPr>
        <w:t>որոշման</w:t>
      </w:r>
      <w:r w:rsidRPr="00B34CCA">
        <w:rPr>
          <w:rFonts w:ascii="Arial" w:hAnsi="Arial" w:cs="Arial"/>
          <w:sz w:val="24"/>
          <w:szCs w:val="24"/>
          <w:lang w:val="af-ZA"/>
        </w:rPr>
        <w:t xml:space="preserve"> </w:t>
      </w:r>
      <w:r w:rsidRPr="00B34CCA">
        <w:rPr>
          <w:rFonts w:ascii="Arial" w:hAnsi="Arial" w:cs="Arial"/>
          <w:sz w:val="24"/>
          <w:szCs w:val="24"/>
          <w:lang w:val="hy-AM"/>
        </w:rPr>
        <w:t>նախագիծը</w:t>
      </w:r>
      <w:r w:rsidRPr="00B34CCA">
        <w:rPr>
          <w:rFonts w:ascii="Arial" w:hAnsi="Arial" w:cs="Arial"/>
          <w:sz w:val="24"/>
          <w:szCs w:val="24"/>
          <w:lang w:val="af-ZA"/>
        </w:rPr>
        <w:t xml:space="preserve"> </w:t>
      </w:r>
      <w:r w:rsidRPr="00B34CCA">
        <w:rPr>
          <w:rFonts w:ascii="Arial" w:hAnsi="Arial" w:cs="Arial"/>
          <w:sz w:val="24"/>
          <w:szCs w:val="24"/>
          <w:lang w:val="hy-AM"/>
        </w:rPr>
        <w:t>մշակվել</w:t>
      </w:r>
      <w:r w:rsidRPr="00B34CCA">
        <w:rPr>
          <w:rFonts w:ascii="Arial" w:hAnsi="Arial" w:cs="Arial"/>
          <w:sz w:val="24"/>
          <w:szCs w:val="24"/>
          <w:lang w:val="af-ZA"/>
        </w:rPr>
        <w:t xml:space="preserve"> </w:t>
      </w:r>
      <w:r w:rsidRPr="00B34CCA">
        <w:rPr>
          <w:rFonts w:ascii="Arial" w:hAnsi="Arial" w:cs="Arial"/>
          <w:sz w:val="24"/>
          <w:szCs w:val="24"/>
          <w:lang w:val="hy-AM"/>
        </w:rPr>
        <w:t>է</w:t>
      </w:r>
      <w:r w:rsidRPr="00B34CCA">
        <w:rPr>
          <w:rFonts w:ascii="Arial" w:hAnsi="Arial" w:cs="Arial"/>
          <w:sz w:val="24"/>
          <w:szCs w:val="24"/>
          <w:lang w:val="af-ZA"/>
        </w:rPr>
        <w:t xml:space="preserve"> </w:t>
      </w:r>
      <w:r w:rsidR="006F614E" w:rsidRPr="00B34CCA">
        <w:rPr>
          <w:rFonts w:ascii="Arial" w:hAnsi="Arial" w:cs="Arial"/>
          <w:sz w:val="24"/>
          <w:szCs w:val="24"/>
          <w:lang w:val="hy-AM"/>
        </w:rPr>
        <w:t>առողջապահության նախարարությունում ձևավորված աշխատանքային խմբի կողմից</w:t>
      </w:r>
      <w:r w:rsidRPr="00B34CCA">
        <w:rPr>
          <w:rFonts w:ascii="Arial" w:hAnsi="Arial" w:cs="Arial"/>
          <w:sz w:val="24"/>
          <w:szCs w:val="24"/>
          <w:lang w:val="af-ZA"/>
        </w:rPr>
        <w:t>:</w:t>
      </w:r>
    </w:p>
    <w:p w:rsidR="006F614E" w:rsidRPr="00B34CCA" w:rsidRDefault="00007420" w:rsidP="00B34CCA">
      <w:pPr>
        <w:pStyle w:val="aa"/>
        <w:numPr>
          <w:ilvl w:val="0"/>
          <w:numId w:val="12"/>
        </w:numPr>
        <w:shd w:val="clear" w:color="auto" w:fill="FFFFFF"/>
        <w:tabs>
          <w:tab w:val="left" w:pos="0"/>
          <w:tab w:val="left" w:pos="993"/>
        </w:tabs>
        <w:spacing w:after="0" w:line="360" w:lineRule="auto"/>
        <w:ind w:left="0" w:firstLine="709"/>
        <w:jc w:val="both"/>
        <w:rPr>
          <w:rFonts w:ascii="Arial" w:hAnsi="Arial" w:cs="Arial"/>
          <w:sz w:val="24"/>
          <w:szCs w:val="24"/>
          <w:lang w:val="hy-AM"/>
        </w:rPr>
      </w:pPr>
      <w:r w:rsidRPr="00B34CCA">
        <w:rPr>
          <w:rFonts w:ascii="Arial" w:hAnsi="Arial" w:cs="Arial"/>
          <w:b/>
          <w:i/>
          <w:sz w:val="24"/>
          <w:szCs w:val="24"/>
          <w:lang w:val="hy-AM"/>
        </w:rPr>
        <w:t>Ակնկալվող</w:t>
      </w:r>
      <w:r w:rsidRPr="00B34CCA">
        <w:rPr>
          <w:rFonts w:ascii="Arial" w:hAnsi="Arial" w:cs="Arial"/>
          <w:b/>
          <w:i/>
          <w:sz w:val="24"/>
          <w:szCs w:val="24"/>
          <w:lang w:val="af-ZA"/>
        </w:rPr>
        <w:t xml:space="preserve"> </w:t>
      </w:r>
      <w:r w:rsidRPr="00B34CCA">
        <w:rPr>
          <w:rFonts w:ascii="Arial" w:hAnsi="Arial" w:cs="Arial"/>
          <w:b/>
          <w:i/>
          <w:sz w:val="24"/>
          <w:szCs w:val="24"/>
          <w:lang w:val="hy-AM"/>
        </w:rPr>
        <w:t>արդյունքը</w:t>
      </w:r>
      <w:r w:rsidRPr="00B34CCA">
        <w:rPr>
          <w:rFonts w:ascii="Arial" w:hAnsi="Arial" w:cs="Arial"/>
          <w:sz w:val="24"/>
          <w:szCs w:val="24"/>
          <w:lang w:val="af-ZA"/>
        </w:rPr>
        <w:t xml:space="preserve">` </w:t>
      </w:r>
      <w:r w:rsidR="00E67EA5" w:rsidRPr="00E67EA5">
        <w:rPr>
          <w:rFonts w:ascii="Arial" w:hAnsi="Arial" w:cs="Arial"/>
          <w:sz w:val="24"/>
          <w:szCs w:val="24"/>
          <w:lang w:val="hy-AM"/>
        </w:rPr>
        <w:t>հիվանդացության և մահացության ցուցանիշների բարելավումն է, առողջական խնդիրների հետևանքով հաշմանդամության դեպքերի նվազումը, ինչը կնպաստի մարդկային կապիտալի կայուն զարգացմանը և տնտեսության աճին:</w:t>
      </w:r>
    </w:p>
    <w:p w:rsidR="00DF717A" w:rsidRPr="00B34CCA" w:rsidRDefault="00DF717A" w:rsidP="00B34CCA">
      <w:pPr>
        <w:shd w:val="clear" w:color="auto" w:fill="FFFFFF"/>
        <w:tabs>
          <w:tab w:val="left" w:pos="0"/>
          <w:tab w:val="left" w:pos="993"/>
        </w:tabs>
        <w:spacing w:after="0" w:line="360" w:lineRule="auto"/>
        <w:jc w:val="both"/>
        <w:rPr>
          <w:rFonts w:ascii="Arial" w:hAnsi="Arial" w:cs="Arial"/>
          <w:sz w:val="24"/>
          <w:szCs w:val="24"/>
          <w:lang w:val="hy-AM"/>
        </w:rPr>
      </w:pPr>
    </w:p>
    <w:p w:rsidR="00DA4397" w:rsidRPr="00B34CCA" w:rsidRDefault="00DA4397" w:rsidP="00B34CCA">
      <w:pPr>
        <w:pStyle w:val="aa"/>
        <w:shd w:val="clear" w:color="auto" w:fill="FFFFFF"/>
        <w:tabs>
          <w:tab w:val="left" w:pos="0"/>
          <w:tab w:val="left" w:pos="993"/>
        </w:tabs>
        <w:spacing w:after="0" w:line="360" w:lineRule="auto"/>
        <w:ind w:left="709"/>
        <w:jc w:val="both"/>
        <w:rPr>
          <w:rFonts w:ascii="Arial" w:hAnsi="Arial" w:cs="Arial"/>
          <w:sz w:val="24"/>
          <w:szCs w:val="24"/>
          <w:lang w:val="hy-AM"/>
        </w:rPr>
      </w:pPr>
    </w:p>
    <w:p w:rsidR="008F56C2" w:rsidRPr="00B34CCA" w:rsidRDefault="00B34CCA" w:rsidP="00B34CCA">
      <w:pPr>
        <w:spacing w:after="0" w:line="360" w:lineRule="auto"/>
        <w:jc w:val="right"/>
        <w:rPr>
          <w:rFonts w:ascii="Arial" w:hAnsi="Arial" w:cs="Arial"/>
          <w:b/>
          <w:sz w:val="24"/>
          <w:szCs w:val="24"/>
          <w:lang w:val="af-ZA"/>
        </w:rPr>
      </w:pPr>
      <w:proofErr w:type="spellStart"/>
      <w:r>
        <w:rPr>
          <w:rFonts w:ascii="Arial" w:hAnsi="Arial" w:cs="Arial"/>
          <w:b/>
          <w:sz w:val="24"/>
          <w:szCs w:val="24"/>
          <w:lang w:val="ru-RU"/>
        </w:rPr>
        <w:t>Առողջապահության</w:t>
      </w:r>
      <w:proofErr w:type="spellEnd"/>
      <w:r>
        <w:rPr>
          <w:rFonts w:ascii="Arial" w:hAnsi="Arial" w:cs="Arial"/>
          <w:b/>
          <w:sz w:val="24"/>
          <w:szCs w:val="24"/>
          <w:lang w:val="ru-RU"/>
        </w:rPr>
        <w:t xml:space="preserve"> </w:t>
      </w:r>
      <w:proofErr w:type="spellStart"/>
      <w:r>
        <w:rPr>
          <w:rFonts w:ascii="Arial" w:hAnsi="Arial" w:cs="Arial"/>
          <w:b/>
          <w:sz w:val="24"/>
          <w:szCs w:val="24"/>
          <w:lang w:val="ru-RU"/>
        </w:rPr>
        <w:t>նախարարություն</w:t>
      </w:r>
      <w:proofErr w:type="spellEnd"/>
      <w:r w:rsidR="00940F89" w:rsidRPr="00B34CCA">
        <w:rPr>
          <w:rFonts w:ascii="Arial" w:hAnsi="Arial" w:cs="Arial"/>
          <w:b/>
          <w:sz w:val="24"/>
          <w:szCs w:val="24"/>
          <w:lang w:val="af-ZA"/>
        </w:rPr>
        <w:t xml:space="preserve"> </w:t>
      </w:r>
    </w:p>
    <w:sectPr w:rsidR="008F56C2" w:rsidRPr="00B34CCA" w:rsidSect="00C84ACA">
      <w:pgSz w:w="12240" w:h="15840"/>
      <w:pgMar w:top="851"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2BDF" w:rsidRDefault="00E22BDF" w:rsidP="003E4F80">
      <w:pPr>
        <w:spacing w:after="0" w:line="240" w:lineRule="auto"/>
      </w:pPr>
      <w:r>
        <w:separator/>
      </w:r>
    </w:p>
  </w:endnote>
  <w:endnote w:type="continuationSeparator" w:id="0">
    <w:p w:rsidR="00E22BDF" w:rsidRDefault="00E22BDF" w:rsidP="003E4F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ylfaen">
    <w:panose1 w:val="010A0502050306030303"/>
    <w:charset w:val="CC"/>
    <w:family w:val="roman"/>
    <w:pitch w:val="variable"/>
    <w:sig w:usb0="04000687" w:usb1="00000000" w:usb2="00000000" w:usb3="00000000" w:csb0="0000009F" w:csb1="00000000"/>
  </w:font>
  <w:font w:name="Arial Armenian">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GHEA Grapalat">
    <w:altName w:val="Franklin Gothic Medium Cond"/>
    <w:panose1 w:val="00000000000000000000"/>
    <w:charset w:val="00"/>
    <w:family w:val="modern"/>
    <w:notTrueType/>
    <w:pitch w:val="variable"/>
    <w:sig w:usb0="00000001" w:usb1="5000204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2BDF" w:rsidRDefault="00E22BDF" w:rsidP="003E4F80">
      <w:pPr>
        <w:spacing w:after="0" w:line="240" w:lineRule="auto"/>
      </w:pPr>
      <w:r>
        <w:separator/>
      </w:r>
    </w:p>
  </w:footnote>
  <w:footnote w:type="continuationSeparator" w:id="0">
    <w:p w:rsidR="00E22BDF" w:rsidRDefault="00E22BDF" w:rsidP="003E4F80">
      <w:pPr>
        <w:spacing w:after="0" w:line="240" w:lineRule="auto"/>
      </w:pPr>
      <w:r>
        <w:continuationSeparator/>
      </w:r>
    </w:p>
  </w:footnote>
  <w:footnote w:id="1">
    <w:p w:rsidR="003E4F80" w:rsidRPr="00DF5DE2" w:rsidRDefault="003E4F80" w:rsidP="003E4F80">
      <w:pPr>
        <w:pStyle w:val="af"/>
        <w:spacing w:line="240" w:lineRule="auto"/>
        <w:rPr>
          <w:lang w:val="hy-AM"/>
        </w:rPr>
      </w:pPr>
      <w:r>
        <w:rPr>
          <w:rStyle w:val="af1"/>
        </w:rPr>
        <w:footnoteRef/>
      </w:r>
      <w:r w:rsidRPr="00DF5DE2">
        <w:rPr>
          <w:lang w:val="hy-AM"/>
        </w:rPr>
        <w:t xml:space="preserve"> </w:t>
      </w:r>
      <w:r w:rsidRPr="00DF5DE2">
        <w:rPr>
          <w:rFonts w:ascii="Arial" w:eastAsia="GHEA Grapalat" w:hAnsi="Arial" w:cs="Arial"/>
          <w:lang w:val="hy-AM"/>
        </w:rPr>
        <w:t>Ըստ ՀՀ արդարադատության նախարարության քաղաքացիական կացության գրանցումների, որոնք հանդիսանում են մահվան վերաբերյալ վիճակագրական տվյալների սկզբնաղբյուրը</w:t>
      </w:r>
    </w:p>
  </w:footnote>
  <w:footnote w:id="2">
    <w:p w:rsidR="003E4F80" w:rsidRPr="00397491" w:rsidRDefault="003E4F80" w:rsidP="003E4F80">
      <w:pPr>
        <w:pStyle w:val="af"/>
        <w:rPr>
          <w:lang w:val="hy-AM"/>
        </w:rPr>
      </w:pPr>
      <w:r>
        <w:rPr>
          <w:rStyle w:val="af1"/>
        </w:rPr>
        <w:footnoteRef/>
      </w:r>
      <w:r w:rsidRPr="00397491">
        <w:rPr>
          <w:lang w:val="hy-AM"/>
        </w:rPr>
        <w:t xml:space="preserve"> </w:t>
      </w:r>
      <w:r w:rsidRPr="00397491">
        <w:rPr>
          <w:lang w:val="hy-AM"/>
        </w:rPr>
        <w:t xml:space="preserve">Համաձայն ԱՀԿ տվյալների բազայի, Եվրոպական երկրներում այդ ցուցանիշը </w:t>
      </w:r>
      <w:r>
        <w:rPr>
          <w:lang w:val="hy-AM"/>
        </w:rPr>
        <w:t>միջինում 7</w:t>
      </w:r>
      <w:r w:rsidRPr="00397491">
        <w:rPr>
          <w:lang w:val="hy-AM"/>
        </w:rPr>
        <w:t>% է, ԱՄՆ-ում՝ 17,6</w:t>
      </w:r>
      <w:r>
        <w:rPr>
          <w:lang w:val="hy-AM"/>
        </w:rPr>
        <w:t>%,</w:t>
      </w:r>
      <w:r w:rsidRPr="00397491">
        <w:rPr>
          <w:lang w:val="hy-AM"/>
        </w:rPr>
        <w:t>:</w:t>
      </w:r>
    </w:p>
  </w:footnote>
  <w:footnote w:id="3">
    <w:p w:rsidR="003E4F80" w:rsidRPr="00A22407" w:rsidRDefault="003E4F80" w:rsidP="003E4F80">
      <w:pPr>
        <w:pStyle w:val="af"/>
        <w:rPr>
          <w:lang w:val="hy-AM"/>
        </w:rPr>
      </w:pPr>
      <w:r>
        <w:rPr>
          <w:rStyle w:val="af1"/>
        </w:rPr>
        <w:footnoteRef/>
      </w:r>
      <w:r w:rsidRPr="00A22407">
        <w:rPr>
          <w:lang w:val="hy-AM"/>
        </w:rPr>
        <w:t xml:space="preserve"> </w:t>
      </w:r>
      <w:r w:rsidRPr="00A22407">
        <w:rPr>
          <w:lang w:val="hy-AM"/>
        </w:rPr>
        <w:t>Տնային տնտեսությունների կենսա</w:t>
      </w:r>
      <w:r w:rsidRPr="00AF5AB0">
        <w:rPr>
          <w:lang w:val="hy-AM"/>
        </w:rPr>
        <w:t>մակարդակի</w:t>
      </w:r>
      <w:r w:rsidRPr="00A22407">
        <w:rPr>
          <w:lang w:val="hy-AM"/>
        </w:rPr>
        <w:t xml:space="preserve"> ամբողջացված հետազոտություն, 2018թ</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87585"/>
    <w:multiLevelType w:val="hybridMultilevel"/>
    <w:tmpl w:val="9366323E"/>
    <w:lvl w:ilvl="0" w:tplc="04190005">
      <w:start w:val="1"/>
      <w:numFmt w:val="bullet"/>
      <w:lvlText w:val=""/>
      <w:lvlJc w:val="left"/>
      <w:pPr>
        <w:tabs>
          <w:tab w:val="num" w:pos="1040"/>
        </w:tabs>
        <w:ind w:left="1040" w:hanging="360"/>
      </w:pPr>
      <w:rPr>
        <w:rFonts w:ascii="Wingdings" w:hAnsi="Wingdings" w:hint="default"/>
      </w:rPr>
    </w:lvl>
    <w:lvl w:ilvl="1" w:tplc="04190003" w:tentative="1">
      <w:start w:val="1"/>
      <w:numFmt w:val="bullet"/>
      <w:lvlText w:val="o"/>
      <w:lvlJc w:val="left"/>
      <w:pPr>
        <w:tabs>
          <w:tab w:val="num" w:pos="1760"/>
        </w:tabs>
        <w:ind w:left="1760" w:hanging="360"/>
      </w:pPr>
      <w:rPr>
        <w:rFonts w:ascii="Courier New" w:hAnsi="Courier New" w:cs="Courier New" w:hint="default"/>
      </w:rPr>
    </w:lvl>
    <w:lvl w:ilvl="2" w:tplc="04190005" w:tentative="1">
      <w:start w:val="1"/>
      <w:numFmt w:val="bullet"/>
      <w:lvlText w:val=""/>
      <w:lvlJc w:val="left"/>
      <w:pPr>
        <w:tabs>
          <w:tab w:val="num" w:pos="2480"/>
        </w:tabs>
        <w:ind w:left="2480" w:hanging="360"/>
      </w:pPr>
      <w:rPr>
        <w:rFonts w:ascii="Wingdings" w:hAnsi="Wingdings" w:hint="default"/>
      </w:rPr>
    </w:lvl>
    <w:lvl w:ilvl="3" w:tplc="04190001" w:tentative="1">
      <w:start w:val="1"/>
      <w:numFmt w:val="bullet"/>
      <w:lvlText w:val=""/>
      <w:lvlJc w:val="left"/>
      <w:pPr>
        <w:tabs>
          <w:tab w:val="num" w:pos="3200"/>
        </w:tabs>
        <w:ind w:left="3200" w:hanging="360"/>
      </w:pPr>
      <w:rPr>
        <w:rFonts w:ascii="Symbol" w:hAnsi="Symbol" w:hint="default"/>
      </w:rPr>
    </w:lvl>
    <w:lvl w:ilvl="4" w:tplc="04190003" w:tentative="1">
      <w:start w:val="1"/>
      <w:numFmt w:val="bullet"/>
      <w:lvlText w:val="o"/>
      <w:lvlJc w:val="left"/>
      <w:pPr>
        <w:tabs>
          <w:tab w:val="num" w:pos="3920"/>
        </w:tabs>
        <w:ind w:left="3920" w:hanging="360"/>
      </w:pPr>
      <w:rPr>
        <w:rFonts w:ascii="Courier New" w:hAnsi="Courier New" w:cs="Courier New" w:hint="default"/>
      </w:rPr>
    </w:lvl>
    <w:lvl w:ilvl="5" w:tplc="04190005" w:tentative="1">
      <w:start w:val="1"/>
      <w:numFmt w:val="bullet"/>
      <w:lvlText w:val=""/>
      <w:lvlJc w:val="left"/>
      <w:pPr>
        <w:tabs>
          <w:tab w:val="num" w:pos="4640"/>
        </w:tabs>
        <w:ind w:left="4640" w:hanging="360"/>
      </w:pPr>
      <w:rPr>
        <w:rFonts w:ascii="Wingdings" w:hAnsi="Wingdings" w:hint="default"/>
      </w:rPr>
    </w:lvl>
    <w:lvl w:ilvl="6" w:tplc="04190001" w:tentative="1">
      <w:start w:val="1"/>
      <w:numFmt w:val="bullet"/>
      <w:lvlText w:val=""/>
      <w:lvlJc w:val="left"/>
      <w:pPr>
        <w:tabs>
          <w:tab w:val="num" w:pos="5360"/>
        </w:tabs>
        <w:ind w:left="5360" w:hanging="360"/>
      </w:pPr>
      <w:rPr>
        <w:rFonts w:ascii="Symbol" w:hAnsi="Symbol" w:hint="default"/>
      </w:rPr>
    </w:lvl>
    <w:lvl w:ilvl="7" w:tplc="04190003" w:tentative="1">
      <w:start w:val="1"/>
      <w:numFmt w:val="bullet"/>
      <w:lvlText w:val="o"/>
      <w:lvlJc w:val="left"/>
      <w:pPr>
        <w:tabs>
          <w:tab w:val="num" w:pos="6080"/>
        </w:tabs>
        <w:ind w:left="6080" w:hanging="360"/>
      </w:pPr>
      <w:rPr>
        <w:rFonts w:ascii="Courier New" w:hAnsi="Courier New" w:cs="Courier New" w:hint="default"/>
      </w:rPr>
    </w:lvl>
    <w:lvl w:ilvl="8" w:tplc="04190005" w:tentative="1">
      <w:start w:val="1"/>
      <w:numFmt w:val="bullet"/>
      <w:lvlText w:val=""/>
      <w:lvlJc w:val="left"/>
      <w:pPr>
        <w:tabs>
          <w:tab w:val="num" w:pos="6800"/>
        </w:tabs>
        <w:ind w:left="6800" w:hanging="360"/>
      </w:pPr>
      <w:rPr>
        <w:rFonts w:ascii="Wingdings" w:hAnsi="Wingdings" w:hint="default"/>
      </w:rPr>
    </w:lvl>
  </w:abstractNum>
  <w:abstractNum w:abstractNumId="1" w15:restartNumberingAfterBreak="0">
    <w:nsid w:val="05954443"/>
    <w:multiLevelType w:val="hybridMultilevel"/>
    <w:tmpl w:val="199E02D0"/>
    <w:lvl w:ilvl="0" w:tplc="0419000F">
      <w:start w:val="1"/>
      <w:numFmt w:val="decimal"/>
      <w:lvlText w:val="%1."/>
      <w:lvlJc w:val="left"/>
      <w:pPr>
        <w:tabs>
          <w:tab w:val="num" w:pos="1068"/>
        </w:tabs>
        <w:ind w:left="1068" w:hanging="360"/>
      </w:p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 w15:restartNumberingAfterBreak="0">
    <w:nsid w:val="0DC0277C"/>
    <w:multiLevelType w:val="hybridMultilevel"/>
    <w:tmpl w:val="4A28671A"/>
    <w:lvl w:ilvl="0" w:tplc="D6A402C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E97058"/>
    <w:multiLevelType w:val="hybridMultilevel"/>
    <w:tmpl w:val="6E82FF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E95BDB"/>
    <w:multiLevelType w:val="hybridMultilevel"/>
    <w:tmpl w:val="7A6CF0EA"/>
    <w:lvl w:ilvl="0" w:tplc="0409000F">
      <w:start w:val="1"/>
      <w:numFmt w:val="decimal"/>
      <w:lvlText w:val="%1."/>
      <w:lvlJc w:val="left"/>
      <w:pPr>
        <w:ind w:left="177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A441ED"/>
    <w:multiLevelType w:val="hybridMultilevel"/>
    <w:tmpl w:val="6AC810AE"/>
    <w:lvl w:ilvl="0" w:tplc="34C49422">
      <w:start w:val="1"/>
      <w:numFmt w:val="decimal"/>
      <w:lvlText w:val="%1."/>
      <w:lvlJc w:val="left"/>
      <w:pPr>
        <w:ind w:left="360" w:hanging="360"/>
      </w:pPr>
      <w:rPr>
        <w:color w:val="auto"/>
      </w:rPr>
    </w:lvl>
    <w:lvl w:ilvl="1" w:tplc="04190019" w:tentative="1">
      <w:start w:val="1"/>
      <w:numFmt w:val="lowerLetter"/>
      <w:lvlText w:val="%2."/>
      <w:lvlJc w:val="left"/>
      <w:pPr>
        <w:ind w:left="1815" w:hanging="360"/>
      </w:pPr>
    </w:lvl>
    <w:lvl w:ilvl="2" w:tplc="0419001B" w:tentative="1">
      <w:start w:val="1"/>
      <w:numFmt w:val="lowerRoman"/>
      <w:lvlText w:val="%3."/>
      <w:lvlJc w:val="right"/>
      <w:pPr>
        <w:ind w:left="2535" w:hanging="180"/>
      </w:pPr>
    </w:lvl>
    <w:lvl w:ilvl="3" w:tplc="0419000F" w:tentative="1">
      <w:start w:val="1"/>
      <w:numFmt w:val="decimal"/>
      <w:lvlText w:val="%4."/>
      <w:lvlJc w:val="left"/>
      <w:pPr>
        <w:ind w:left="3255" w:hanging="360"/>
      </w:pPr>
    </w:lvl>
    <w:lvl w:ilvl="4" w:tplc="04190019" w:tentative="1">
      <w:start w:val="1"/>
      <w:numFmt w:val="lowerLetter"/>
      <w:lvlText w:val="%5."/>
      <w:lvlJc w:val="left"/>
      <w:pPr>
        <w:ind w:left="3975" w:hanging="360"/>
      </w:pPr>
    </w:lvl>
    <w:lvl w:ilvl="5" w:tplc="0419001B" w:tentative="1">
      <w:start w:val="1"/>
      <w:numFmt w:val="lowerRoman"/>
      <w:lvlText w:val="%6."/>
      <w:lvlJc w:val="right"/>
      <w:pPr>
        <w:ind w:left="4695" w:hanging="180"/>
      </w:pPr>
    </w:lvl>
    <w:lvl w:ilvl="6" w:tplc="0419000F" w:tentative="1">
      <w:start w:val="1"/>
      <w:numFmt w:val="decimal"/>
      <w:lvlText w:val="%7."/>
      <w:lvlJc w:val="left"/>
      <w:pPr>
        <w:ind w:left="5415" w:hanging="360"/>
      </w:pPr>
    </w:lvl>
    <w:lvl w:ilvl="7" w:tplc="04190019" w:tentative="1">
      <w:start w:val="1"/>
      <w:numFmt w:val="lowerLetter"/>
      <w:lvlText w:val="%8."/>
      <w:lvlJc w:val="left"/>
      <w:pPr>
        <w:ind w:left="6135" w:hanging="360"/>
      </w:pPr>
    </w:lvl>
    <w:lvl w:ilvl="8" w:tplc="0419001B" w:tentative="1">
      <w:start w:val="1"/>
      <w:numFmt w:val="lowerRoman"/>
      <w:lvlText w:val="%9."/>
      <w:lvlJc w:val="right"/>
      <w:pPr>
        <w:ind w:left="6855" w:hanging="180"/>
      </w:pPr>
    </w:lvl>
  </w:abstractNum>
  <w:abstractNum w:abstractNumId="6" w15:restartNumberingAfterBreak="0">
    <w:nsid w:val="43474969"/>
    <w:multiLevelType w:val="hybridMultilevel"/>
    <w:tmpl w:val="C830896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8725826"/>
    <w:multiLevelType w:val="hybridMultilevel"/>
    <w:tmpl w:val="C9F4440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694555D1"/>
    <w:multiLevelType w:val="hybridMultilevel"/>
    <w:tmpl w:val="DC320828"/>
    <w:lvl w:ilvl="0" w:tplc="0409000F">
      <w:start w:val="1"/>
      <w:numFmt w:val="decimal"/>
      <w:lvlText w:val="%1."/>
      <w:lvlJc w:val="left"/>
      <w:pPr>
        <w:ind w:left="177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1D0BCA"/>
    <w:multiLevelType w:val="hybridMultilevel"/>
    <w:tmpl w:val="AF8E6A04"/>
    <w:lvl w:ilvl="0" w:tplc="04190005">
      <w:start w:val="1"/>
      <w:numFmt w:val="bullet"/>
      <w:lvlText w:val=""/>
      <w:lvlJc w:val="left"/>
      <w:pPr>
        <w:tabs>
          <w:tab w:val="num" w:pos="1068"/>
        </w:tabs>
        <w:ind w:left="1068" w:hanging="360"/>
      </w:pPr>
      <w:rPr>
        <w:rFonts w:ascii="Wingdings" w:hAnsi="Wingdings" w:hint="default"/>
      </w:rPr>
    </w:lvl>
    <w:lvl w:ilvl="1" w:tplc="0419000F">
      <w:start w:val="1"/>
      <w:numFmt w:val="decimal"/>
      <w:lvlText w:val="%2."/>
      <w:lvlJc w:val="left"/>
      <w:pPr>
        <w:tabs>
          <w:tab w:val="num" w:pos="1788"/>
        </w:tabs>
        <w:ind w:left="1788" w:hanging="360"/>
      </w:pPr>
      <w:rPr>
        <w:rFonts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10" w15:restartNumberingAfterBreak="0">
    <w:nsid w:val="76322452"/>
    <w:multiLevelType w:val="hybridMultilevel"/>
    <w:tmpl w:val="406CBA58"/>
    <w:lvl w:ilvl="0" w:tplc="0409000F">
      <w:start w:val="1"/>
      <w:numFmt w:val="decimal"/>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7B228CA"/>
    <w:multiLevelType w:val="hybridMultilevel"/>
    <w:tmpl w:val="26F05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C632F64"/>
    <w:multiLevelType w:val="hybridMultilevel"/>
    <w:tmpl w:val="A942D106"/>
    <w:lvl w:ilvl="0" w:tplc="52D06E5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DC01305"/>
    <w:multiLevelType w:val="hybridMultilevel"/>
    <w:tmpl w:val="ACFA62C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DC128B5"/>
    <w:multiLevelType w:val="hybridMultilevel"/>
    <w:tmpl w:val="0186ED90"/>
    <w:lvl w:ilvl="0" w:tplc="0419000F">
      <w:start w:val="1"/>
      <w:numFmt w:val="decimal"/>
      <w:lvlText w:val="%1."/>
      <w:lvlJc w:val="left"/>
      <w:pPr>
        <w:tabs>
          <w:tab w:val="num" w:pos="1040"/>
        </w:tabs>
        <w:ind w:left="1040" w:hanging="360"/>
      </w:pPr>
    </w:lvl>
    <w:lvl w:ilvl="1" w:tplc="04190019">
      <w:start w:val="1"/>
      <w:numFmt w:val="lowerLetter"/>
      <w:lvlText w:val="%2."/>
      <w:lvlJc w:val="left"/>
      <w:pPr>
        <w:tabs>
          <w:tab w:val="num" w:pos="1760"/>
        </w:tabs>
        <w:ind w:left="1760" w:hanging="360"/>
      </w:pPr>
    </w:lvl>
    <w:lvl w:ilvl="2" w:tplc="0419001B" w:tentative="1">
      <w:start w:val="1"/>
      <w:numFmt w:val="lowerRoman"/>
      <w:lvlText w:val="%3."/>
      <w:lvlJc w:val="right"/>
      <w:pPr>
        <w:tabs>
          <w:tab w:val="num" w:pos="2480"/>
        </w:tabs>
        <w:ind w:left="2480" w:hanging="180"/>
      </w:pPr>
    </w:lvl>
    <w:lvl w:ilvl="3" w:tplc="0419000F" w:tentative="1">
      <w:start w:val="1"/>
      <w:numFmt w:val="decimal"/>
      <w:lvlText w:val="%4."/>
      <w:lvlJc w:val="left"/>
      <w:pPr>
        <w:tabs>
          <w:tab w:val="num" w:pos="3200"/>
        </w:tabs>
        <w:ind w:left="3200" w:hanging="360"/>
      </w:pPr>
    </w:lvl>
    <w:lvl w:ilvl="4" w:tplc="04190019" w:tentative="1">
      <w:start w:val="1"/>
      <w:numFmt w:val="lowerLetter"/>
      <w:lvlText w:val="%5."/>
      <w:lvlJc w:val="left"/>
      <w:pPr>
        <w:tabs>
          <w:tab w:val="num" w:pos="3920"/>
        </w:tabs>
        <w:ind w:left="3920" w:hanging="360"/>
      </w:pPr>
    </w:lvl>
    <w:lvl w:ilvl="5" w:tplc="0419001B" w:tentative="1">
      <w:start w:val="1"/>
      <w:numFmt w:val="lowerRoman"/>
      <w:lvlText w:val="%6."/>
      <w:lvlJc w:val="right"/>
      <w:pPr>
        <w:tabs>
          <w:tab w:val="num" w:pos="4640"/>
        </w:tabs>
        <w:ind w:left="4640" w:hanging="180"/>
      </w:pPr>
    </w:lvl>
    <w:lvl w:ilvl="6" w:tplc="0419000F" w:tentative="1">
      <w:start w:val="1"/>
      <w:numFmt w:val="decimal"/>
      <w:lvlText w:val="%7."/>
      <w:lvlJc w:val="left"/>
      <w:pPr>
        <w:tabs>
          <w:tab w:val="num" w:pos="5360"/>
        </w:tabs>
        <w:ind w:left="5360" w:hanging="360"/>
      </w:pPr>
    </w:lvl>
    <w:lvl w:ilvl="7" w:tplc="04190019" w:tentative="1">
      <w:start w:val="1"/>
      <w:numFmt w:val="lowerLetter"/>
      <w:lvlText w:val="%8."/>
      <w:lvlJc w:val="left"/>
      <w:pPr>
        <w:tabs>
          <w:tab w:val="num" w:pos="6080"/>
        </w:tabs>
        <w:ind w:left="6080" w:hanging="360"/>
      </w:pPr>
    </w:lvl>
    <w:lvl w:ilvl="8" w:tplc="0419001B" w:tentative="1">
      <w:start w:val="1"/>
      <w:numFmt w:val="lowerRoman"/>
      <w:lvlText w:val="%9."/>
      <w:lvlJc w:val="right"/>
      <w:pPr>
        <w:tabs>
          <w:tab w:val="num" w:pos="6800"/>
        </w:tabs>
        <w:ind w:left="6800" w:hanging="180"/>
      </w:pPr>
    </w:lvl>
  </w:abstractNum>
  <w:num w:numId="1">
    <w:abstractNumId w:val="0"/>
  </w:num>
  <w:num w:numId="2">
    <w:abstractNumId w:val="3"/>
  </w:num>
  <w:num w:numId="3">
    <w:abstractNumId w:val="11"/>
  </w:num>
  <w:num w:numId="4">
    <w:abstractNumId w:val="12"/>
  </w:num>
  <w:num w:numId="5">
    <w:abstractNumId w:val="8"/>
  </w:num>
  <w:num w:numId="6">
    <w:abstractNumId w:val="14"/>
  </w:num>
  <w:num w:numId="7">
    <w:abstractNumId w:val="4"/>
  </w:num>
  <w:num w:numId="8">
    <w:abstractNumId w:val="7"/>
  </w:num>
  <w:num w:numId="9">
    <w:abstractNumId w:val="9"/>
  </w:num>
  <w:num w:numId="10">
    <w:abstractNumId w:val="1"/>
  </w:num>
  <w:num w:numId="11">
    <w:abstractNumId w:val="10"/>
  </w:num>
  <w:num w:numId="12">
    <w:abstractNumId w:val="2"/>
  </w:num>
  <w:num w:numId="13">
    <w:abstractNumId w:val="5"/>
  </w:num>
  <w:num w:numId="14">
    <w:abstractNumId w:val="6"/>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DEB"/>
    <w:rsid w:val="00007420"/>
    <w:rsid w:val="0001461F"/>
    <w:rsid w:val="00036297"/>
    <w:rsid w:val="00042249"/>
    <w:rsid w:val="00063199"/>
    <w:rsid w:val="00070182"/>
    <w:rsid w:val="000735F8"/>
    <w:rsid w:val="00074CCC"/>
    <w:rsid w:val="00091B33"/>
    <w:rsid w:val="000A5DA5"/>
    <w:rsid w:val="000C0892"/>
    <w:rsid w:val="000D1527"/>
    <w:rsid w:val="000D3CAD"/>
    <w:rsid w:val="0010764B"/>
    <w:rsid w:val="00136DD9"/>
    <w:rsid w:val="00156102"/>
    <w:rsid w:val="001706B4"/>
    <w:rsid w:val="00182572"/>
    <w:rsid w:val="001849E9"/>
    <w:rsid w:val="001A52DC"/>
    <w:rsid w:val="001D1F31"/>
    <w:rsid w:val="001E5A33"/>
    <w:rsid w:val="001F270A"/>
    <w:rsid w:val="0024663E"/>
    <w:rsid w:val="00282294"/>
    <w:rsid w:val="00282D7F"/>
    <w:rsid w:val="002B408F"/>
    <w:rsid w:val="002B4397"/>
    <w:rsid w:val="002B515B"/>
    <w:rsid w:val="002D0777"/>
    <w:rsid w:val="00300CC7"/>
    <w:rsid w:val="003139F1"/>
    <w:rsid w:val="00317235"/>
    <w:rsid w:val="00325A83"/>
    <w:rsid w:val="003421AF"/>
    <w:rsid w:val="00357426"/>
    <w:rsid w:val="00363A48"/>
    <w:rsid w:val="00385609"/>
    <w:rsid w:val="00393CD3"/>
    <w:rsid w:val="003B193A"/>
    <w:rsid w:val="003D163C"/>
    <w:rsid w:val="003E4F80"/>
    <w:rsid w:val="0040491B"/>
    <w:rsid w:val="00405B79"/>
    <w:rsid w:val="004265C6"/>
    <w:rsid w:val="004778CA"/>
    <w:rsid w:val="004967C8"/>
    <w:rsid w:val="004B69F1"/>
    <w:rsid w:val="004D291F"/>
    <w:rsid w:val="004E7F25"/>
    <w:rsid w:val="00502EF3"/>
    <w:rsid w:val="00547C1E"/>
    <w:rsid w:val="005563B4"/>
    <w:rsid w:val="00580F01"/>
    <w:rsid w:val="005866AC"/>
    <w:rsid w:val="005A68BF"/>
    <w:rsid w:val="005C1A0E"/>
    <w:rsid w:val="005F0AC0"/>
    <w:rsid w:val="006000F5"/>
    <w:rsid w:val="0060450C"/>
    <w:rsid w:val="006368CF"/>
    <w:rsid w:val="0064417D"/>
    <w:rsid w:val="00652E74"/>
    <w:rsid w:val="00654EFD"/>
    <w:rsid w:val="006D3ED9"/>
    <w:rsid w:val="006D5BB8"/>
    <w:rsid w:val="006E0A4C"/>
    <w:rsid w:val="006F4A01"/>
    <w:rsid w:val="006F614E"/>
    <w:rsid w:val="00766001"/>
    <w:rsid w:val="007956B0"/>
    <w:rsid w:val="007B5D1B"/>
    <w:rsid w:val="007B6EF4"/>
    <w:rsid w:val="007E0B64"/>
    <w:rsid w:val="007F0971"/>
    <w:rsid w:val="0080655E"/>
    <w:rsid w:val="00830BDC"/>
    <w:rsid w:val="00865AE3"/>
    <w:rsid w:val="008867C7"/>
    <w:rsid w:val="008A0FBB"/>
    <w:rsid w:val="008F33CA"/>
    <w:rsid w:val="008F56C2"/>
    <w:rsid w:val="00903E54"/>
    <w:rsid w:val="00922017"/>
    <w:rsid w:val="00940F89"/>
    <w:rsid w:val="00946934"/>
    <w:rsid w:val="009508B0"/>
    <w:rsid w:val="009628F7"/>
    <w:rsid w:val="00981CF1"/>
    <w:rsid w:val="00992D3A"/>
    <w:rsid w:val="009A79E9"/>
    <w:rsid w:val="009B7BF8"/>
    <w:rsid w:val="009C43E2"/>
    <w:rsid w:val="009D60C1"/>
    <w:rsid w:val="009F0685"/>
    <w:rsid w:val="009F72E9"/>
    <w:rsid w:val="00A06F98"/>
    <w:rsid w:val="00A11A1C"/>
    <w:rsid w:val="00A12AD6"/>
    <w:rsid w:val="00A33464"/>
    <w:rsid w:val="00A34877"/>
    <w:rsid w:val="00A36A2F"/>
    <w:rsid w:val="00A420D0"/>
    <w:rsid w:val="00A52E16"/>
    <w:rsid w:val="00A55415"/>
    <w:rsid w:val="00A5586E"/>
    <w:rsid w:val="00A71476"/>
    <w:rsid w:val="00A77B95"/>
    <w:rsid w:val="00A83E8A"/>
    <w:rsid w:val="00A852F9"/>
    <w:rsid w:val="00A93A71"/>
    <w:rsid w:val="00A948AA"/>
    <w:rsid w:val="00AB2BD8"/>
    <w:rsid w:val="00AD2E6E"/>
    <w:rsid w:val="00B10E5B"/>
    <w:rsid w:val="00B16E8C"/>
    <w:rsid w:val="00B22870"/>
    <w:rsid w:val="00B30E1A"/>
    <w:rsid w:val="00B34CCA"/>
    <w:rsid w:val="00B50197"/>
    <w:rsid w:val="00BA5BC9"/>
    <w:rsid w:val="00BB05CB"/>
    <w:rsid w:val="00BC0A31"/>
    <w:rsid w:val="00BF1C9E"/>
    <w:rsid w:val="00BF6C63"/>
    <w:rsid w:val="00C11E33"/>
    <w:rsid w:val="00C419DA"/>
    <w:rsid w:val="00C51A0D"/>
    <w:rsid w:val="00C70C4F"/>
    <w:rsid w:val="00C72150"/>
    <w:rsid w:val="00C72AB1"/>
    <w:rsid w:val="00C74EDA"/>
    <w:rsid w:val="00C764E1"/>
    <w:rsid w:val="00C81689"/>
    <w:rsid w:val="00C8180E"/>
    <w:rsid w:val="00C8446E"/>
    <w:rsid w:val="00C84ACA"/>
    <w:rsid w:val="00CA0FBA"/>
    <w:rsid w:val="00CA64F6"/>
    <w:rsid w:val="00CB751D"/>
    <w:rsid w:val="00CD1C17"/>
    <w:rsid w:val="00CE7445"/>
    <w:rsid w:val="00D31639"/>
    <w:rsid w:val="00D35E26"/>
    <w:rsid w:val="00D361CC"/>
    <w:rsid w:val="00D74DEB"/>
    <w:rsid w:val="00D92375"/>
    <w:rsid w:val="00D935F6"/>
    <w:rsid w:val="00DA4397"/>
    <w:rsid w:val="00DC43F3"/>
    <w:rsid w:val="00DD3EF6"/>
    <w:rsid w:val="00DE65AA"/>
    <w:rsid w:val="00DF0B2B"/>
    <w:rsid w:val="00DF717A"/>
    <w:rsid w:val="00E07396"/>
    <w:rsid w:val="00E205B2"/>
    <w:rsid w:val="00E22BDF"/>
    <w:rsid w:val="00E25B2F"/>
    <w:rsid w:val="00E261E7"/>
    <w:rsid w:val="00E33E5A"/>
    <w:rsid w:val="00E41168"/>
    <w:rsid w:val="00E60686"/>
    <w:rsid w:val="00E67932"/>
    <w:rsid w:val="00E67EA5"/>
    <w:rsid w:val="00E81EF8"/>
    <w:rsid w:val="00E876EC"/>
    <w:rsid w:val="00E90436"/>
    <w:rsid w:val="00EA0A5A"/>
    <w:rsid w:val="00EB6BEE"/>
    <w:rsid w:val="00F20B45"/>
    <w:rsid w:val="00F22402"/>
    <w:rsid w:val="00F31CA3"/>
    <w:rsid w:val="00F80DF1"/>
    <w:rsid w:val="00F86634"/>
    <w:rsid w:val="00FC5F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F62B6"/>
  <w15:docId w15:val="{1FFE48F9-B76E-4CC8-8F9A-CB16B7883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06F98"/>
    <w:pPr>
      <w:spacing w:after="200" w:line="276" w:lineRule="auto"/>
    </w:pPr>
    <w:rPr>
      <w:sz w:val="22"/>
      <w:szCs w:val="22"/>
    </w:rPr>
  </w:style>
  <w:style w:type="paragraph" w:styleId="1">
    <w:name w:val="heading 1"/>
    <w:basedOn w:val="a"/>
    <w:next w:val="a"/>
    <w:link w:val="10"/>
    <w:uiPriority w:val="9"/>
    <w:qFormat/>
    <w:rsid w:val="007956B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D74DEB"/>
    <w:pPr>
      <w:spacing w:after="120" w:line="240" w:lineRule="auto"/>
    </w:pPr>
    <w:rPr>
      <w:rFonts w:ascii="Times New Roman" w:eastAsia="Batang" w:hAnsi="Times New Roman"/>
      <w:sz w:val="20"/>
      <w:szCs w:val="20"/>
      <w:lang w:eastAsia="ru-RU"/>
    </w:rPr>
  </w:style>
  <w:style w:type="character" w:customStyle="1" w:styleId="a4">
    <w:name w:val="Основной текст Знак"/>
    <w:link w:val="a3"/>
    <w:rsid w:val="00D74DEB"/>
    <w:rPr>
      <w:rFonts w:ascii="Times New Roman" w:eastAsia="Batang" w:hAnsi="Times New Roman" w:cs="Times New Roman"/>
      <w:sz w:val="20"/>
      <w:szCs w:val="20"/>
      <w:lang w:eastAsia="ru-RU"/>
    </w:rPr>
  </w:style>
  <w:style w:type="table" w:styleId="a5">
    <w:name w:val="Table Grid"/>
    <w:basedOn w:val="a1"/>
    <w:rsid w:val="002B439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ody Text Indent"/>
    <w:basedOn w:val="a"/>
    <w:link w:val="a7"/>
    <w:uiPriority w:val="99"/>
    <w:semiHidden/>
    <w:unhideWhenUsed/>
    <w:rsid w:val="002B4397"/>
    <w:pPr>
      <w:spacing w:after="120"/>
      <w:ind w:left="283"/>
    </w:pPr>
  </w:style>
  <w:style w:type="character" w:customStyle="1" w:styleId="a7">
    <w:name w:val="Основной текст с отступом Знак"/>
    <w:basedOn w:val="a0"/>
    <w:link w:val="a6"/>
    <w:uiPriority w:val="99"/>
    <w:semiHidden/>
    <w:rsid w:val="002B4397"/>
  </w:style>
  <w:style w:type="paragraph" w:styleId="2">
    <w:name w:val="Body Text 2"/>
    <w:basedOn w:val="a"/>
    <w:link w:val="20"/>
    <w:rsid w:val="002B4397"/>
    <w:pPr>
      <w:spacing w:after="120" w:line="480" w:lineRule="auto"/>
    </w:pPr>
    <w:rPr>
      <w:rFonts w:ascii="Times New Roman" w:eastAsia="Times New Roman" w:hAnsi="Times New Roman"/>
      <w:sz w:val="24"/>
      <w:szCs w:val="24"/>
      <w:lang w:val="ru-RU" w:eastAsia="ru-RU"/>
    </w:rPr>
  </w:style>
  <w:style w:type="character" w:customStyle="1" w:styleId="20">
    <w:name w:val="Основной текст 2 Знак"/>
    <w:link w:val="2"/>
    <w:rsid w:val="002B4397"/>
    <w:rPr>
      <w:rFonts w:ascii="Times New Roman" w:eastAsia="Times New Roman" w:hAnsi="Times New Roman" w:cs="Times New Roman"/>
      <w:sz w:val="24"/>
      <w:szCs w:val="24"/>
      <w:lang w:val="ru-RU" w:eastAsia="ru-RU"/>
    </w:rPr>
  </w:style>
  <w:style w:type="paragraph" w:styleId="a8">
    <w:name w:val="header"/>
    <w:basedOn w:val="a"/>
    <w:link w:val="a9"/>
    <w:rsid w:val="00B22870"/>
    <w:pPr>
      <w:tabs>
        <w:tab w:val="left" w:pos="680"/>
        <w:tab w:val="center" w:pos="4677"/>
        <w:tab w:val="right" w:pos="9355"/>
      </w:tabs>
      <w:spacing w:after="0" w:line="240" w:lineRule="auto"/>
      <w:jc w:val="both"/>
    </w:pPr>
    <w:rPr>
      <w:rFonts w:ascii="Sylfaen" w:eastAsia="Times New Roman" w:hAnsi="Sylfaen"/>
      <w:sz w:val="24"/>
      <w:szCs w:val="24"/>
      <w:lang w:eastAsia="ru-RU"/>
    </w:rPr>
  </w:style>
  <w:style w:type="character" w:customStyle="1" w:styleId="a9">
    <w:name w:val="Верхний колонтитул Знак"/>
    <w:link w:val="a8"/>
    <w:rsid w:val="00B22870"/>
    <w:rPr>
      <w:rFonts w:ascii="Sylfaen" w:eastAsia="Times New Roman" w:hAnsi="Sylfaen"/>
      <w:sz w:val="24"/>
      <w:szCs w:val="24"/>
      <w:lang w:eastAsia="ru-RU"/>
    </w:rPr>
  </w:style>
  <w:style w:type="paragraph" w:styleId="aa">
    <w:name w:val="List Paragraph"/>
    <w:aliases w:val="Table no. List Paragraph,List_Paragraph,Multilevel para_II,List Paragraph1,Akapit z listą BS,Bullet1,Bullets,List Paragraph 1,References,List Paragraph (numbered (a)),IBL List Paragraph,List Paragraph nowy,Numbered List Paragraph,Liste 1"/>
    <w:basedOn w:val="a"/>
    <w:link w:val="ab"/>
    <w:uiPriority w:val="34"/>
    <w:qFormat/>
    <w:rsid w:val="006E0A4C"/>
    <w:pPr>
      <w:ind w:left="720"/>
      <w:contextualSpacing/>
    </w:pPr>
  </w:style>
  <w:style w:type="character" w:customStyle="1" w:styleId="ab">
    <w:name w:val="Абзац списка Знак"/>
    <w:aliases w:val="Table no. List Paragraph Знак,List_Paragraph Знак,Multilevel para_II Знак,List Paragraph1 Знак,Akapit z listą BS Знак,Bullet1 Знак,Bullets Знак,List Paragraph 1 Знак,References Знак,List Paragraph (numbered (a)) Знак,Liste 1 Знак"/>
    <w:link w:val="aa"/>
    <w:uiPriority w:val="99"/>
    <w:locked/>
    <w:rsid w:val="006E0A4C"/>
    <w:rPr>
      <w:rFonts w:ascii="Calibri" w:eastAsia="Calibri" w:hAnsi="Calibri" w:cs="Times New Roman"/>
      <w:sz w:val="22"/>
      <w:szCs w:val="22"/>
    </w:rPr>
  </w:style>
  <w:style w:type="character" w:styleId="ac">
    <w:name w:val="Strong"/>
    <w:basedOn w:val="a0"/>
    <w:uiPriority w:val="22"/>
    <w:qFormat/>
    <w:rsid w:val="006E0A4C"/>
    <w:rPr>
      <w:b/>
      <w:bCs/>
    </w:rPr>
  </w:style>
  <w:style w:type="character" w:customStyle="1" w:styleId="mechtexChar">
    <w:name w:val="mechtex Char"/>
    <w:link w:val="mechtex"/>
    <w:uiPriority w:val="99"/>
    <w:locked/>
    <w:rsid w:val="006E0A4C"/>
    <w:rPr>
      <w:rFonts w:ascii="Arial Armenian" w:hAnsi="Arial Armenian"/>
      <w:lang w:eastAsia="ru-RU"/>
    </w:rPr>
  </w:style>
  <w:style w:type="paragraph" w:customStyle="1" w:styleId="mechtex">
    <w:name w:val="mechtex"/>
    <w:basedOn w:val="a"/>
    <w:link w:val="mechtexChar"/>
    <w:uiPriority w:val="99"/>
    <w:rsid w:val="006E0A4C"/>
    <w:pPr>
      <w:spacing w:after="0" w:line="240" w:lineRule="auto"/>
      <w:jc w:val="center"/>
    </w:pPr>
    <w:rPr>
      <w:rFonts w:ascii="Arial Armenian" w:hAnsi="Arial Armenian"/>
      <w:sz w:val="20"/>
      <w:szCs w:val="20"/>
      <w:lang w:eastAsia="ru-RU"/>
    </w:rPr>
  </w:style>
  <w:style w:type="character" w:customStyle="1" w:styleId="10">
    <w:name w:val="Заголовок 1 Знак"/>
    <w:basedOn w:val="a0"/>
    <w:link w:val="1"/>
    <w:uiPriority w:val="9"/>
    <w:rsid w:val="007956B0"/>
    <w:rPr>
      <w:rFonts w:asciiTheme="majorHAnsi" w:eastAsiaTheme="majorEastAsia" w:hAnsiTheme="majorHAnsi" w:cstheme="majorBidi"/>
      <w:color w:val="365F91" w:themeColor="accent1" w:themeShade="BF"/>
      <w:sz w:val="32"/>
      <w:szCs w:val="32"/>
    </w:rPr>
  </w:style>
  <w:style w:type="paragraph" w:styleId="ad">
    <w:name w:val="TOC Heading"/>
    <w:basedOn w:val="1"/>
    <w:next w:val="a"/>
    <w:uiPriority w:val="39"/>
    <w:unhideWhenUsed/>
    <w:qFormat/>
    <w:rsid w:val="007956B0"/>
    <w:pPr>
      <w:spacing w:line="259" w:lineRule="auto"/>
      <w:outlineLvl w:val="9"/>
    </w:pPr>
    <w:rPr>
      <w:lang w:val="ru-RU" w:eastAsia="ru-RU"/>
    </w:rPr>
  </w:style>
  <w:style w:type="paragraph" w:styleId="ae">
    <w:name w:val="Normal (Web)"/>
    <w:basedOn w:val="a"/>
    <w:uiPriority w:val="99"/>
    <w:unhideWhenUsed/>
    <w:rsid w:val="006F614E"/>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af">
    <w:name w:val="footnote text"/>
    <w:aliases w:val="single space,footnote text,fn,FOOTNOTES,ADB,ADB Char,single space Char Char,footnote text Char,Footnote Text Char,fn Char"/>
    <w:basedOn w:val="a"/>
    <w:link w:val="af0"/>
    <w:uiPriority w:val="99"/>
    <w:semiHidden/>
    <w:rsid w:val="003E4F80"/>
    <w:pPr>
      <w:spacing w:after="0" w:line="408" w:lineRule="auto"/>
      <w:ind w:left="-720" w:firstLine="360"/>
      <w:jc w:val="both"/>
    </w:pPr>
    <w:rPr>
      <w:rFonts w:ascii="Times New Roman" w:eastAsia="Times New Roman" w:hAnsi="Times New Roman"/>
      <w:sz w:val="20"/>
      <w:szCs w:val="20"/>
      <w:lang w:val="ru-RU" w:eastAsia="ru-RU"/>
    </w:rPr>
  </w:style>
  <w:style w:type="character" w:customStyle="1" w:styleId="af0">
    <w:name w:val="Текст сноски Знак"/>
    <w:aliases w:val="single space Знак,footnote text Знак,fn Знак,FOOTNOTES Знак,ADB Знак,ADB Char Знак,single space Char Char Знак,footnote text Char Знак,Footnote Text Char Знак,fn Char Знак"/>
    <w:basedOn w:val="a0"/>
    <w:link w:val="af"/>
    <w:uiPriority w:val="99"/>
    <w:semiHidden/>
    <w:rsid w:val="003E4F80"/>
    <w:rPr>
      <w:rFonts w:ascii="Times New Roman" w:eastAsia="Times New Roman" w:hAnsi="Times New Roman"/>
      <w:lang w:val="ru-RU" w:eastAsia="ru-RU"/>
    </w:rPr>
  </w:style>
  <w:style w:type="character" w:styleId="af1">
    <w:name w:val="footnote reference"/>
    <w:uiPriority w:val="99"/>
    <w:semiHidden/>
    <w:rsid w:val="003E4F8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DA96FE-013D-4C82-871B-B58AE3987F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790</Words>
  <Characters>4507</Characters>
  <Application>Microsoft Office Word</Application>
  <DocSecurity>0</DocSecurity>
  <Lines>37</Lines>
  <Paragraphs>10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JRTNTPETKOM</Company>
  <LinksUpToDate>false</LinksUpToDate>
  <CharactersWithSpaces>5287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Mkrtumyan</dc:creator>
  <cp:keywords>https:/mul-moh.gov.am/tasks/docs/attachment.php?id=330810&amp;fn=02_ardir-himnavor.docx&amp;out=0&amp;token=</cp:keywords>
  <cp:lastModifiedBy>Samvel Kharazyan</cp:lastModifiedBy>
  <cp:revision>4</cp:revision>
  <dcterms:created xsi:type="dcterms:W3CDTF">2019-11-21T18:49:00Z</dcterms:created>
  <dcterms:modified xsi:type="dcterms:W3CDTF">2019-11-21T19:10:00Z</dcterms:modified>
</cp:coreProperties>
</file>