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A5" w:rsidRDefault="00CE4CA5" w:rsidP="004A7300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18E5F9F">
                <wp:simplePos x="0" y="0"/>
                <wp:positionH relativeFrom="column">
                  <wp:posOffset>2663190</wp:posOffset>
                </wp:positionH>
                <wp:positionV relativeFrom="paragraph">
                  <wp:posOffset>-269571</wp:posOffset>
                </wp:positionV>
                <wp:extent cx="3351558" cy="943058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58" cy="9430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CA5" w:rsidRDefault="00CE4CA5" w:rsidP="00CE4C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Sylfaen" w:hAnsi="Sylfaen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Հավելված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4CA5" w:rsidRDefault="00CE4CA5" w:rsidP="00CE4C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53DBD"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Հայաստանի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Հանրապետության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հանրային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ծառայությունները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կարգավորող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հանձնաժողովի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hy-AM"/>
                              </w:rPr>
                              <w:t>9</w:t>
                            </w:r>
                            <w:r w:rsidRPr="00C53DBD"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ru-RU"/>
                              </w:rPr>
                              <w:t>թվական</w:t>
                            </w:r>
                            <w:proofErr w:type="spellEnd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ի 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hy-AM"/>
                              </w:rPr>
                              <w:t>նոյեմբերի</w:t>
                            </w:r>
                            <w:r w:rsidRPr="00C53DBD"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hy-AM"/>
                              </w:rPr>
                              <w:t>--</w:t>
                            </w:r>
                            <w:r w:rsidRPr="00C53DBD"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ru-RU"/>
                              </w:rPr>
                              <w:t>ի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  <w:lang w:val="hy-AM"/>
                              </w:rPr>
                              <w:t>---Ն</w:t>
                            </w:r>
                            <w:r w:rsidRPr="00C53DBD"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theme="minorBidi"/>
                                <w:sz w:val="20"/>
                                <w:szCs w:val="20"/>
                              </w:rPr>
                              <w:t>որոշման</w:t>
                            </w:r>
                            <w:proofErr w:type="spellEnd"/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9.7pt;margin-top:-21.25pt;width:263.9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" filled="f" stroked="f">
                <v:textbox>
                  <w:txbxContent>
                    <w:p w:rsidR="00CE4CA5" w:rsidRDefault="00CE4CA5" w:rsidP="00CE4C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Sylfaen" w:hAnsi="Sylfaen" w:cstheme="minorBidi"/>
                          <w:b/>
                          <w:bCs/>
                          <w:sz w:val="20"/>
                          <w:szCs w:val="20"/>
                        </w:rPr>
                        <w:t>Հավելված</w:t>
                      </w:r>
                      <w:proofErr w:type="spellEnd"/>
                      <w:r>
                        <w:rPr>
                          <w:rFonts w:ascii="Sylfaen" w:hAnsi="Sylfaen" w:cs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4CA5" w:rsidRDefault="00CE4CA5" w:rsidP="00CE4C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53DBD"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Հայաստանի</w:t>
                      </w:r>
                      <w:proofErr w:type="spellEnd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Հանրապետության</w:t>
                      </w:r>
                      <w:proofErr w:type="spellEnd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հանրային</w:t>
                      </w:r>
                      <w:proofErr w:type="spellEnd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ծառայությունները</w:t>
                      </w:r>
                      <w:proofErr w:type="spellEnd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կարգավորող</w:t>
                      </w:r>
                      <w:proofErr w:type="spellEnd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հանձնաժողովի</w:t>
                      </w:r>
                      <w:proofErr w:type="spellEnd"/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hy-AM"/>
                        </w:rPr>
                        <w:t>9</w:t>
                      </w:r>
                      <w:r w:rsidRPr="00C53DBD"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ru-RU"/>
                        </w:rPr>
                        <w:t>թվական</w:t>
                      </w:r>
                      <w:proofErr w:type="spellEnd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ի 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hy-AM"/>
                        </w:rPr>
                        <w:t>նոյեմբերի</w:t>
                      </w:r>
                      <w:r w:rsidRPr="00C53DBD"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hy-AM"/>
                        </w:rPr>
                        <w:t>--</w:t>
                      </w:r>
                      <w:r w:rsidRPr="00C53DBD"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ru-RU"/>
                        </w:rPr>
                        <w:t>ի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№</w:t>
                      </w:r>
                      <w:r>
                        <w:rPr>
                          <w:rFonts w:ascii="Sylfaen" w:hAnsi="Sylfaen" w:cstheme="minorBidi"/>
                          <w:sz w:val="20"/>
                          <w:szCs w:val="20"/>
                          <w:lang w:val="hy-AM"/>
                        </w:rPr>
                        <w:t>---Ն</w:t>
                      </w:r>
                      <w:r w:rsidRPr="00C53DBD"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theme="minorBidi"/>
                          <w:sz w:val="20"/>
                          <w:szCs w:val="20"/>
                        </w:rPr>
                        <w:t>որոշման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E4CA5" w:rsidRDefault="00CE4CA5" w:rsidP="004A7300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F2806" w:rsidRPr="00E366DC" w:rsidRDefault="00AA357E" w:rsidP="003D448F">
      <w:pPr>
        <w:spacing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366DC">
        <w:rPr>
          <w:rFonts w:ascii="Sylfaen" w:hAnsi="Sylfaen"/>
          <w:b/>
          <w:sz w:val="24"/>
          <w:szCs w:val="24"/>
          <w:lang w:val="hy-AM"/>
        </w:rPr>
        <w:t>ԿԱՐԳ</w:t>
      </w:r>
    </w:p>
    <w:p w:rsidR="00AA357E" w:rsidRPr="00E366DC" w:rsidRDefault="00AA357E" w:rsidP="00497C11">
      <w:pPr>
        <w:spacing w:line="276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Սպառողի էներգատեղակայանքներով էլեկտրական էներգիան կամ բնական գազը </w:t>
      </w:r>
      <w:bookmarkStart w:id="0" w:name="_GoBack"/>
      <w:bookmarkEnd w:id="0"/>
      <w:r w:rsidRPr="00E366D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ենթասպառողների կամ բաշխողի այլ ցանցերի սնման համար փոխանցելու</w:t>
      </w:r>
    </w:p>
    <w:p w:rsidR="007D75E9" w:rsidRPr="00E366DC" w:rsidRDefault="007D75E9" w:rsidP="00497C11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</w:pPr>
    </w:p>
    <w:p w:rsidR="00B44A68" w:rsidRPr="00E366DC" w:rsidRDefault="00B44A68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Սույն կարգով </w:t>
      </w:r>
      <w:r w:rsidR="00775B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կանոնակարգվում են </w:t>
      </w:r>
      <w:r w:rsidR="00CA0A47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էներգետիկայի բնագավառում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ենթասպառողների կամ բաշխողի այլ ցանցերի սնման համար սպառողի էներգատեղ</w:t>
      </w:r>
      <w:r w:rsidR="005C60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ակայանքներով էլեկտրական էներգիայի</w:t>
      </w:r>
      <w:r w:rsidR="00775B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կամ բնական գազի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փոխանց</w:t>
      </w:r>
      <w:r w:rsidR="00775B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ման հարաբերությունները, ինչպես նաև </w:t>
      </w:r>
      <w:r w:rsidR="005C60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</w:t>
      </w:r>
      <w:r w:rsidR="005C60E0" w:rsidRPr="00385E4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պառողի էներգատեղակայանքներով ենթասպառողների կամ բ</w:t>
      </w:r>
      <w:r w:rsidR="005C60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ցանցերի սնման համար ս</w:t>
      </w:r>
      <w:r w:rsidR="005C60E0" w:rsidRPr="00385E4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պառողի մատուցած ծառայության վճարը</w:t>
      </w:r>
      <w:r w:rsidR="00A72791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։</w:t>
      </w:r>
    </w:p>
    <w:p w:rsidR="007D75E9" w:rsidRPr="00E366DC" w:rsidRDefault="007D75E9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Սույն կարգում օգտագործված հիմնական հասկացություններն են՝</w:t>
      </w:r>
    </w:p>
    <w:p w:rsidR="007D75E9" w:rsidRPr="00E366DC" w:rsidRDefault="00904490" w:rsidP="004A7300">
      <w:pPr>
        <w:pStyle w:val="ListParagraph"/>
        <w:numPr>
          <w:ilvl w:val="0"/>
          <w:numId w:val="4"/>
        </w:numPr>
        <w:spacing w:line="360" w:lineRule="auto"/>
        <w:ind w:left="426" w:firstLine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Ս</w:t>
      </w:r>
      <w:r w:rsidR="00376590" w:rsidRPr="00E366D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պառող՝</w:t>
      </w:r>
      <w:r w:rsidR="007D75E9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="00896BAF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7D75E9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էլեկտրական էներգիայի (հզորության)</w:t>
      </w:r>
      <w:r w:rsidR="005C60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կամ բնական գազի</w:t>
      </w:r>
      <w:r w:rsidR="00CA0A47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7D75E9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սպառման պահանջարկ ունեցող անձ, որն </w:t>
      </w:r>
      <w:r w:rsidR="00CA0A47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էլեկտրական </w:t>
      </w:r>
      <w:r w:rsidR="007D75E9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էներգիայի մատակարարման պայմանագիր է կնքել մատակարարման լիցենզիա ունեցող անձի (ներառյալ՝ երաշխավորված մատակարարի) հետ կամ գտնվում է այդ գործընթացում.</w:t>
      </w:r>
    </w:p>
    <w:p w:rsidR="007D75E9" w:rsidRPr="00E366DC" w:rsidRDefault="007D75E9" w:rsidP="004A7300">
      <w:pPr>
        <w:pStyle w:val="ListParagraph"/>
        <w:numPr>
          <w:ilvl w:val="0"/>
          <w:numId w:val="4"/>
        </w:numPr>
        <w:spacing w:line="360" w:lineRule="auto"/>
        <w:ind w:left="426" w:firstLine="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4A7300">
        <w:rPr>
          <w:rFonts w:ascii="Sylfaen" w:hAnsi="Sylfaen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proofErr w:type="spellStart"/>
      <w:r w:rsidR="00904490" w:rsidRPr="004A7300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Ե</w:t>
      </w:r>
      <w:r w:rsidRPr="00E366D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նթասպառող</w:t>
      </w:r>
      <w:proofErr w:type="spellEnd"/>
      <w:r w:rsidRPr="00E366D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`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 սպառող, որի </w:t>
      </w:r>
      <w:r w:rsidR="00CA0A47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էլեկտրամատակարարում</w:t>
      </w:r>
      <w:r w:rsidR="00A079C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ը կամ </w:t>
      </w:r>
      <w:proofErr w:type="spellStart"/>
      <w:r w:rsidR="00A079C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գազամատակարարումն</w:t>
      </w:r>
      <w:proofErr w:type="spellEnd"/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իրականացվում է այլ սպառողի սպառման համակարգից, և որն ունի մատակարարի հետ սահմանված կարգով կնքված` էլեկտրական էներգիայի</w:t>
      </w:r>
      <w:r w:rsidR="00A079C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կամ բնական գազի մատակարարման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պայմանագիր.</w:t>
      </w:r>
    </w:p>
    <w:p w:rsidR="00A72791" w:rsidRPr="00E366DC" w:rsidRDefault="00904490" w:rsidP="004A7300">
      <w:pPr>
        <w:pStyle w:val="ListParagraph"/>
        <w:numPr>
          <w:ilvl w:val="0"/>
          <w:numId w:val="4"/>
        </w:numPr>
        <w:spacing w:line="360" w:lineRule="auto"/>
        <w:ind w:left="426" w:firstLine="0"/>
        <w:jc w:val="both"/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Բ</w:t>
      </w:r>
      <w:r w:rsidR="00A72791" w:rsidRPr="00E366DC">
        <w:rPr>
          <w:rFonts w:ascii="Sylfaen" w:eastAsia="Times New Roman" w:hAnsi="Sylfaen" w:cs="Times New Roman"/>
          <w:b/>
          <w:i/>
          <w:color w:val="000000"/>
          <w:sz w:val="24"/>
          <w:szCs w:val="24"/>
          <w:lang w:val="hy-AM"/>
        </w:rPr>
        <w:t>աշխող</w:t>
      </w:r>
      <w:r w:rsidR="00547AB1" w:rsidRPr="00E366D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>՝</w:t>
      </w:r>
      <w:r w:rsidR="00547AB1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Էլեկտրական էներգիայի </w:t>
      </w:r>
      <w:r w:rsidR="0027683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կամ բնական գազի </w:t>
      </w:r>
      <w:r w:rsidR="00547AB1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բաշխման լիցենզիա ունեցող անձ</w:t>
      </w:r>
      <w:r w:rsidR="0030121C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։</w:t>
      </w:r>
    </w:p>
    <w:p w:rsidR="007D75E9" w:rsidRPr="00E366DC" w:rsidRDefault="00A72791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Սպառողը պարտավոր է </w:t>
      </w:r>
      <w:r w:rsidR="0090449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</w:t>
      </w:r>
      <w:r w:rsidR="00121D45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հետ կնքված պայմանագրով</w:t>
      </w:r>
      <w:r w:rsidR="00CA0A47" w:rsidRPr="004A73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(</w:t>
      </w:r>
      <w:r w:rsidR="00CA0A47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այսուհետ՝ </w:t>
      </w:r>
      <w:r w:rsidR="00CD1B7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</w:t>
      </w:r>
      <w:r w:rsidR="00CA0A47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ոխհատուցման պայմանագիր</w:t>
      </w:r>
      <w:r w:rsidR="00CA0A47" w:rsidRPr="004A73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)</w:t>
      </w:r>
      <w:r w:rsidR="00245576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, 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իր էներգատեղակայանքներով փոխանցել էլեկտրական էներգիան</w:t>
      </w:r>
      <w:r w:rsidR="0080320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կամ բնական գազը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 որը նախատեսված է Ենթասպառողների կամ Բաշխողի այլ ցանցերի սնման համար:</w:t>
      </w:r>
    </w:p>
    <w:p w:rsidR="00215EE4" w:rsidRPr="00215EE4" w:rsidRDefault="00215EE4" w:rsidP="00215EE4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Սպառողների, Ենթասպառողների և Բաշխողի փոխհարաբերությունները կանոնակարգվում են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«Էներգետիկայի մասին» օրենքով, սույն կարգով,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մատակարարման և օգտագործման կանոններով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,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Փոխհատուցման պայմանագրով և այլ իրավական ակտերով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896BAF" w:rsidRPr="00E366DC" w:rsidRDefault="00896BAF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Սպառողը պարտավոր է իր էներգատեղակայանքները պահպանել պատշաճ վիճակում, իր հաշվին կատարել դրա</w:t>
      </w:r>
      <w:r w:rsidR="0030121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նց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ընթացիկ նորոգումը և կրել դրա</w:t>
      </w:r>
      <w:r w:rsidR="0030121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պահպանման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ծախսերը:</w:t>
      </w:r>
    </w:p>
    <w:p w:rsidR="004E7381" w:rsidRPr="00E366DC" w:rsidRDefault="004E7381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Սպառողն իրավունք ունի իր էլեկտրական էներգիան և բնական գազը փոխանցել</w:t>
      </w:r>
      <w:r w:rsidR="008E110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այլ անձի, եթե նման փոխանցումը Ս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պառողի կողմից չի իրականացվում իբրև ձեռնարկատիրական գործունեության առանձին տ</w:t>
      </w:r>
      <w:r w:rsidR="008E110D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եսակ, և այդ փոխանցումը բխում է Ս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պառողի գործունեության էությունից (առևտրային, արտադրական կամ բնակելի տարածքների օգտագործման տրամադրում):</w:t>
      </w:r>
    </w:p>
    <w:p w:rsidR="003B0B4F" w:rsidRPr="00E366DC" w:rsidRDefault="00CD1B7D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Փոխհատուցման պ</w:t>
      </w:r>
      <w:r w:rsidR="003B0B4F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այմանագիրը կնքվում է գրավոր և անժամկետ։</w:t>
      </w:r>
    </w:p>
    <w:p w:rsidR="00752769" w:rsidRPr="00E366DC" w:rsidRDefault="00FA1C1E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Փոխհատուցման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</w:t>
      </w:r>
      <w:r w:rsidR="007430ED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այմանագրում նշվում կամ դրան կցվում են Սպառողի էներգատեղակայանքներին միացված Ենթասպառողի տվյալները (անվանումը, անունը, գտնվելու (բնակության) վայրը, </w:t>
      </w:r>
      <w:r w:rsidR="00A22C02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սպառման համակարգի հասցեն, </w:t>
      </w:r>
      <w:r w:rsidR="007430ED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առևտրային և վերստուգիչ հաշվիչների գործարանային համա</w:t>
      </w:r>
      <w:r w:rsidR="00727E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րները և տեխնիկական հարաչափերը, Ե</w:t>
      </w:r>
      <w:r w:rsidR="007430ED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նթասպառողի էլեկտրական թույլատրելի առավելագույն հզորությունը),</w:t>
      </w:r>
    </w:p>
    <w:p w:rsidR="00385E4C" w:rsidRPr="00E366DC" w:rsidRDefault="00787B2F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Բաշխողը պարտավոր է </w:t>
      </w:r>
      <w:r w:rsidR="00FE389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Փոխհատուցման պայմանագր</w:t>
      </w:r>
      <w:r w:rsidR="00DA00D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</w:t>
      </w:r>
      <w:r w:rsidR="00FE389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համաձայն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DA00D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վճարել 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Սպառողի</w:t>
      </w:r>
      <w:r w:rsidR="00EF798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 սույն կարգով հաշվարկվող</w:t>
      </w:r>
      <w:r w:rsidR="00EF7988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034C8E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ծառայության վճարների ամսական չափը (այսուհետև` ծառայության վճար)</w:t>
      </w:r>
      <w:r w:rsidR="00C3365B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։</w:t>
      </w:r>
    </w:p>
    <w:p w:rsidR="00385E4C" w:rsidRDefault="00376590" w:rsidP="004A7300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385E4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Ենթասպառողի կամ </w:t>
      </w:r>
      <w:r w:rsidR="007A11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</w:t>
      </w:r>
      <w:r w:rsidRPr="00385E4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ցանցերի սնման համար Սպառողի էներգատեղակայանքների օտարման անհրաժեշտության դեպքում Սպառող</w:t>
      </w:r>
      <w:r w:rsidR="00401CF4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Pr="00385E4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D115EC" w:rsidRPr="00385E4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այդ մասին երեք ամիս առաջ տեղեկացնում է </w:t>
      </w:r>
      <w:r w:rsidRPr="00385E4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Բաշխողին։</w:t>
      </w:r>
    </w:p>
    <w:p w:rsidR="00AA357E" w:rsidRPr="00E366DC" w:rsidRDefault="0002548D" w:rsidP="004A7300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Սպառող</w:t>
      </w:r>
      <w:r w:rsidR="00CC485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իր էներգատեղակայանքների </w:t>
      </w:r>
      <w:r w:rsidR="00645B60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հարաչափերի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կամ տեղակայման վայրի փոփոխության դեպքում պարտավոր է </w:t>
      </w:r>
      <w:r w:rsidR="008D0112"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երեք ամիս առաջ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տեղեկացնել Բաշխողին։ 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lastRenderedPageBreak/>
        <w:t>Իրականացվող փոփոխությունները պետք է համապատասխանեն տեխնիկական կանոնակարգերի պահանջներին։</w:t>
      </w:r>
    </w:p>
    <w:p w:rsidR="00666B5A" w:rsidRPr="00E366DC" w:rsidRDefault="00666B5A" w:rsidP="004A730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Սույն կարգով</w:t>
      </w:r>
      <w:r w:rsidR="00447FD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սահմանված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տեղեկացում և (կամ) փաստաթղթերի հանձնում նախատեսող դեպքերում այն պետք է կատարվի պատշաճ </w:t>
      </w:r>
      <w:r w:rsidR="00447FD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կարգով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276EE0" w:rsidRPr="00E366DC" w:rsidRDefault="00666B5A" w:rsidP="004A730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Տեղեկացումը կամ փաստաթղթերի հանձնումը համարվում է պատշաճ </w:t>
      </w:r>
      <w:r w:rsidR="00447FD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կարգով</w:t>
      </w:r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կատարված, եթե դրանք ուղարկվել են պատվիրված նամակով` հանձնման մասին ծանուցմամբ կամ հաղորդագրության ձևակերպումն ապահովող կապի այլ միջոցների օգտագործմամբ (այդ թվում` հայտատուի կողմից նշված </w:t>
      </w:r>
      <w:proofErr w:type="spellStart"/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հեռախոսահամարին</w:t>
      </w:r>
      <w:proofErr w:type="spellEnd"/>
      <w:r w:rsidRPr="00E366D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հաղորդագրություն ուղարկելով) կամ էլեկտրոնային համակարգի միջոցով (այդ թվում` հայտատուի կողմից նշված էլեկտրոնային փոստի միջոցով), ինչպես նաև օրենսդրությամբ սահմանված էլեկտրոնային կապի այլ միջոցներով կամ հանձնվել են ստացականով, եթե սույն կանոններով տեղեկացման կամ փաստաթղթերի հանձնման կոնկրետ ձև նախատեսված չէ:</w:t>
      </w:r>
    </w:p>
    <w:p w:rsidR="00504C2A" w:rsidRPr="004A7300" w:rsidRDefault="00F526CE" w:rsidP="004A730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Ենթասպառողների կամ Բ</w:t>
      </w:r>
      <w:r w:rsidR="00727E1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ցանցերի սնման համար Սպառողի մատուցած ծառայության վճարը հաշվարկվում է հետևյալ բանաձևով</w:t>
      </w:r>
      <w:r w:rsidR="00504C2A" w:rsidRPr="004A73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`</w:t>
      </w:r>
    </w:p>
    <w:p w:rsidR="00504C2A" w:rsidRPr="004A7300" w:rsidRDefault="008C3729" w:rsidP="004A7300">
      <w:pPr>
        <w:pStyle w:val="ListParagraph"/>
        <w:spacing w:after="0" w:line="360" w:lineRule="auto"/>
        <w:ind w:left="426" w:hanging="426"/>
        <w:jc w:val="right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C=A+K</m:t>
        </m:r>
      </m:oMath>
      <w:r w:rsidR="00AA2A18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AA2A18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AA2A18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AA2A18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AA2A18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AA2A18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(1)</w:t>
      </w:r>
    </w:p>
    <w:p w:rsidR="00504C2A" w:rsidRPr="004A7300" w:rsidRDefault="00504C2A" w:rsidP="004A7300">
      <w:pPr>
        <w:pStyle w:val="ListParagraph"/>
        <w:spacing w:after="0" w:line="360" w:lineRule="auto"/>
        <w:ind w:left="426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>որտեղ`</w:t>
      </w:r>
    </w:p>
    <w:p w:rsidR="00FA446D" w:rsidRPr="00E366DC" w:rsidRDefault="00A876B6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C</m:t>
        </m:r>
      </m:oMath>
      <w:r w:rsidRPr="00E366DC" w:rsidDel="00A876B6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-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E77E58" w:rsidRPr="00E366DC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="008C3729" w:rsidRPr="004A7300">
        <w:rPr>
          <w:rFonts w:ascii="Sylfaen" w:eastAsia="Times New Roman" w:hAnsi="Sylfaen" w:cs="Times New Roman"/>
          <w:sz w:val="24"/>
          <w:szCs w:val="24"/>
          <w:lang w:val="hy-AM"/>
        </w:rPr>
        <w:t>ծառայության վճարն է (դրամ/ամիս` առանց ԱԱՀ-ի),</w:t>
      </w:r>
    </w:p>
    <w:p w:rsidR="008C3729" w:rsidRPr="004A7300" w:rsidRDefault="005F2F85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A</m:t>
        </m:r>
      </m:oMath>
      <w:r w:rsidRPr="00E366DC" w:rsidDel="005F2F85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- ն</w:t>
      </w:r>
      <w:r w:rsidR="00E77E58" w:rsidRPr="00E366D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701C2E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701C2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նթասպառողների կամ Բ</w:t>
      </w:r>
      <w:r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ցանցերի սնման համար</w:t>
      </w:r>
      <w:r w:rsidRPr="00E366D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A702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Ս</w:t>
      </w:r>
      <w:r w:rsidR="008C3729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պառողի </w:t>
      </w:r>
      <w:r w:rsidR="00423877">
        <w:rPr>
          <w:rFonts w:ascii="Sylfaen" w:eastAsia="Times New Roman" w:hAnsi="Sylfaen" w:cs="Times New Roman"/>
          <w:sz w:val="24"/>
          <w:szCs w:val="24"/>
          <w:lang w:val="hy-AM"/>
        </w:rPr>
        <w:t>էներգատեղակայանքների</w:t>
      </w:r>
      <w:r w:rsidR="008C3729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սպասարկման համար անհրաժեշտ լրացուցիչ ծախսերի մեծությունն է (դրամ/ամիս),</w:t>
      </w:r>
    </w:p>
    <w:p w:rsidR="00701C2E" w:rsidRPr="004A7300" w:rsidRDefault="005F2F85" w:rsidP="004A7300">
      <w:pPr>
        <w:pStyle w:val="ListParagraph"/>
        <w:tabs>
          <w:tab w:val="left" w:pos="993"/>
        </w:tabs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K</m:t>
        </m:r>
      </m:oMath>
      <w:r w:rsidRPr="004A7300">
        <w:rPr>
          <w:rFonts w:ascii="Cambria Math" w:eastAsia="Times New Roman" w:hAnsi="Cambria Math" w:cs="Times New Roman"/>
          <w:i/>
          <w:sz w:val="24"/>
          <w:szCs w:val="24"/>
          <w:lang w:val="hy-AM"/>
        </w:rPr>
        <w:t>-</w:t>
      </w:r>
      <w:r w:rsidRPr="004A7300">
        <w:rPr>
          <w:rFonts w:ascii="Cambria Math" w:eastAsia="Times New Roman" w:hAnsi="Cambria Math" w:cs="Times New Roman"/>
          <w:sz w:val="24"/>
          <w:szCs w:val="24"/>
          <w:lang w:val="hy-AM"/>
        </w:rPr>
        <w:t xml:space="preserve">ն </w:t>
      </w:r>
      <w:r w:rsidR="00701C2E">
        <w:rPr>
          <w:rFonts w:ascii="Cambria Math" w:eastAsia="Times New Roman" w:hAnsi="Cambria Math" w:cs="Times New Roman"/>
          <w:sz w:val="24"/>
          <w:szCs w:val="24"/>
          <w:lang w:val="hy-AM"/>
        </w:rPr>
        <w:t>Ե</w:t>
      </w:r>
      <w:r w:rsidRPr="004A7300">
        <w:rPr>
          <w:rFonts w:ascii="Cambria Math" w:eastAsia="Times New Roman" w:hAnsi="Cambria Math" w:cs="Times New Roman"/>
          <w:sz w:val="24"/>
          <w:szCs w:val="24"/>
          <w:lang w:val="hy-AM"/>
        </w:rPr>
        <w:t>նթաս</w:t>
      </w:r>
      <w:r w:rsidRPr="005F2F85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պառողների</w:t>
      </w:r>
      <w:r w:rsidR="00701C2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կամ Բ</w:t>
      </w:r>
      <w:r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ցանցերի սնման համար</w:t>
      </w:r>
      <w:r w:rsidRPr="00E366DC">
        <w:rPr>
          <w:rFonts w:ascii="Sylfaen" w:eastAsia="Times New Roman" w:hAnsi="Sylfaen" w:cs="Times New Roman"/>
          <w:b/>
          <w:color w:val="000000"/>
          <w:sz w:val="24"/>
          <w:szCs w:val="24"/>
          <w:lang w:val="hy-AM"/>
        </w:rPr>
        <w:t xml:space="preserve"> </w:t>
      </w:r>
      <w:r w:rsidR="00E619B3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պառողի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տրանսֆորմատորում և գծերում առաջացող կորուստների դիմաց փոխհատուցվող ամսական գումարն է (դրամ/ամիս):</w:t>
      </w:r>
    </w:p>
    <w:p w:rsidR="00504C2A" w:rsidRPr="004A7300" w:rsidRDefault="00C612FC" w:rsidP="004A730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Ենթասպառողների կամ Բ</w:t>
      </w:r>
      <w:r w:rsidR="001A587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աշխողի այլ ցանցերի էլեկտրամատակարարման նպատակով Սպառողի էներգատեղակայանքների սպասարկման համար </w:t>
      </w:r>
      <w:r w:rsidR="00504C2A" w:rsidRPr="004A73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առաջացող լրացուցիչ ծախսերի մեծությունը հաշվարկվում է հետևյալ բանաձևով`</w:t>
      </w:r>
    </w:p>
    <w:p w:rsidR="004E30F0" w:rsidRPr="002C51E0" w:rsidRDefault="004E30F0" w:rsidP="004A7300">
      <w:pPr>
        <w:pStyle w:val="ListParagraph"/>
        <w:spacing w:after="240" w:line="360" w:lineRule="auto"/>
        <w:ind w:left="426" w:hanging="426"/>
        <w:jc w:val="right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A=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+</m:t>
            </m:r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+</m:t>
            </m:r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4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ենթ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4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6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7</m:t>
                </m:r>
              </m:sub>
            </m:sSub>
          </m:e>
        </m:d>
      </m:oMath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C51E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12AC3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</w:t>
      </w:r>
      <w:r w:rsidRPr="002C51E0">
        <w:rPr>
          <w:rFonts w:ascii="Sylfaen" w:eastAsia="Times New Roman" w:hAnsi="Sylfaen" w:cs="Times New Roman"/>
          <w:sz w:val="24"/>
          <w:szCs w:val="24"/>
          <w:lang w:val="hy-AM"/>
        </w:rPr>
        <w:t>(2)</w:t>
      </w:r>
    </w:p>
    <w:p w:rsidR="00504C2A" w:rsidRPr="004A7300" w:rsidRDefault="00504C2A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որտեղ`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1</m:t>
            </m:r>
          </m:sub>
        </m:sSub>
      </m:oMath>
      <w:r w:rsidR="00FA446D" w:rsidRPr="00E366D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39489D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39489D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FA446D" w:rsidRPr="00E366D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C0488C">
        <w:rPr>
          <w:rFonts w:ascii="Sylfaen" w:eastAsia="Times New Roman" w:hAnsi="Sylfaen" w:cs="Times New Roman"/>
          <w:sz w:val="24"/>
          <w:szCs w:val="24"/>
          <w:lang w:val="hy-AM"/>
        </w:rPr>
        <w:t>մեկ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բջջի օգտագործման հա</w:t>
      </w:r>
      <w:r w:rsidR="00A702E0">
        <w:rPr>
          <w:rFonts w:ascii="Sylfaen" w:eastAsia="Times New Roman" w:hAnsi="Sylfaen" w:cs="Times New Roman"/>
          <w:sz w:val="24"/>
          <w:szCs w:val="24"/>
          <w:lang w:val="hy-AM"/>
        </w:rPr>
        <w:t>մար, դրա շահագործման նպատակով, 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պառողին փոխհատուցվող ծառայության վճարն է (7</w:t>
      </w:r>
      <w:r w:rsidR="00E669F1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AA2A18" w:rsidRPr="004A7300">
        <w:rPr>
          <w:rFonts w:ascii="Sylfaen" w:eastAsia="Times New Roman" w:hAnsi="Sylfaen" w:cs="Times New Roman"/>
          <w:sz w:val="24"/>
          <w:szCs w:val="24"/>
          <w:lang w:val="hy-AM"/>
        </w:rPr>
        <w:t>821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դրամ/ամիս` առանց ԱԱՀ-ի),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1</m:t>
            </m:r>
          </m:sub>
        </m:sSub>
      </m:oMath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39489D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39489D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110, 35, 6(10) կՎ լարման ենթակայաններում միայն այլ սպառողների էլեկտրամատակարարման ապահովման նպատակով օգտագործվող բջիջների գումարային քանակն է,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2</m:t>
            </m:r>
          </m:sub>
        </m:sSub>
      </m:oMath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090BF2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090BF2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110, 35, 6(10) կՎ լարման ենթակայաններում </w:t>
      </w:r>
      <w:r w:rsidR="00E669F1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</w:t>
      </w:r>
      <w:r w:rsidR="00892488">
        <w:rPr>
          <w:rFonts w:ascii="Sylfaen" w:eastAsia="Times New Roman" w:hAnsi="Sylfaen" w:cs="Times New Roman"/>
          <w:sz w:val="24"/>
          <w:szCs w:val="24"/>
          <w:lang w:val="hy-AM"/>
        </w:rPr>
        <w:t xml:space="preserve"> և </w:t>
      </w:r>
      <w:r w:rsidR="00E669F1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նթասպառողների կամ </w:t>
      </w:r>
      <w:r w:rsidR="00E669F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Բ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աշխողի այլ ցանցերի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էլեկտրամատակարարման ապահովման նպատակով համատեղ օգտագործվող բջիջների ընդհանուր քանակն է,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2</m:t>
            </m:r>
          </m:sub>
        </m:sSub>
      </m:oMath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 </w:t>
      </w:r>
      <w:r w:rsidR="0069426F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69426F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C0488C">
        <w:rPr>
          <w:rFonts w:ascii="Sylfaen" w:eastAsia="Times New Roman" w:hAnsi="Sylfaen" w:cs="Times New Roman"/>
          <w:sz w:val="24"/>
          <w:szCs w:val="24"/>
          <w:lang w:val="hy-AM"/>
        </w:rPr>
        <w:t>մեկ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միացման կետի օգտագործման համար, դրա շահագործման նպատակով, </w:t>
      </w:r>
      <w:r w:rsidR="00E669F1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պառողին փոխհատուցվող ծառայության վճար</w:t>
      </w:r>
      <w:r w:rsidR="00892488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է (4</w:t>
      </w:r>
      <w:r w:rsidR="00AA2A18" w:rsidRPr="004A7300">
        <w:rPr>
          <w:rFonts w:ascii="Sylfaen" w:eastAsia="Times New Roman" w:hAnsi="Sylfaen" w:cs="Times New Roman"/>
          <w:sz w:val="24"/>
          <w:szCs w:val="24"/>
          <w:lang w:val="hy-AM"/>
        </w:rPr>
        <w:t>24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դրամ/ամիս` առանց ԱԱՀ-ի),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3</m:t>
            </m:r>
          </m:sub>
        </m:sSub>
      </m:oMath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69426F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69426F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0,4 (0,23) կՎ լարման միացման կետերում միայն </w:t>
      </w:r>
      <w:r w:rsidR="00E669F1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E669F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նթասպառողների կամ Բ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աշխողի այլ ցանցերի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էլեկտրամատակարարման ապահովման նպատակով օգտագործվող միացման կետերի քանակն է,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4</m:t>
            </m:r>
          </m:sub>
        </m:sSub>
      </m:oMath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200350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200350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 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0,4 (0,23) կՎ լարման միացման կետերում </w:t>
      </w:r>
      <w:r w:rsidR="00E669F1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պառողի և </w:t>
      </w:r>
      <w:r w:rsidR="00E669F1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E669F1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նթասպառողների կամ Բ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աշխողի այլ ցանցերի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էլեկտրամատակարարման ապահովման նպատակով համատեղ օգտագործվող միացման կետերի քանակն է,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ենթ</m:t>
            </m:r>
          </m:sub>
        </m:sSub>
      </m:oMath>
      <w:r w:rsidR="00DB4F2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DB4F2A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DB4F2A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DB4F2A" w:rsidRPr="00E366DC" w:rsidDel="00DB4F2A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  </w:t>
      </w:r>
      <w:r w:rsidR="007C56F0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պառողի կողմից </w:t>
      </w:r>
      <w:r w:rsidR="007C56F0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նթասպառողների</w:t>
      </w:r>
      <w:r w:rsidR="0089248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7C56F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կամ Բ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ցանցերի</w:t>
      </w:r>
      <w:r w:rsidR="00892488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="00C0488C">
        <w:rPr>
          <w:rFonts w:ascii="Sylfaen" w:eastAsia="Times New Roman" w:hAnsi="Sylfaen" w:cs="Times New Roman"/>
          <w:sz w:val="24"/>
          <w:szCs w:val="24"/>
          <w:lang w:val="hy-AM"/>
        </w:rPr>
        <w:t>փոխանցված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էլեկտրաէներգիայի </w:t>
      </w:r>
      <w:r w:rsidR="007C56F0" w:rsidRPr="00FA6FEB">
        <w:rPr>
          <w:rFonts w:ascii="Sylfaen" w:eastAsia="Times New Roman" w:hAnsi="Sylfaen" w:cs="Times New Roman"/>
          <w:sz w:val="24"/>
          <w:szCs w:val="24"/>
          <w:lang w:val="hy-AM"/>
        </w:rPr>
        <w:t>ամսական</w:t>
      </w:r>
      <w:r w:rsidR="007C56F0" w:rsidRPr="00E366D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քանակն է (կՎտժ), որը հաշվառվում է </w:t>
      </w:r>
      <w:r w:rsidR="007C56F0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7C56F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նթասպառողների կամ Բ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աշխողի այլ ցանցերի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առևտրային հաշվառքի սարքերով,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3</m:t>
            </m:r>
          </m:sub>
        </m:sSub>
      </m:oMath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A609DD" w:rsidRPr="004A7300">
        <w:rPr>
          <w:rFonts w:ascii="Sylfaen" w:eastAsia="Times New Roman" w:hAnsi="Sylfaen" w:cs="Times New Roman"/>
          <w:sz w:val="24"/>
          <w:szCs w:val="24"/>
          <w:lang w:val="hy-AM"/>
        </w:rPr>
        <w:t>–</w:t>
      </w:r>
      <w:r w:rsidR="00DB4F2A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A609DD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110 կՎ լարման ենթակայաններում, </w:t>
      </w:r>
      <w:r w:rsidR="003038D7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 փոխակերպիչների շահագործման նպատակով, 1 կՎտժ էլեկտրաէներգիայի փոխակերպման ծառայության վճարի չափն է (0,7</w:t>
      </w:r>
      <w:r w:rsidR="00FB0697" w:rsidRPr="004A7300">
        <w:rPr>
          <w:rFonts w:ascii="Sylfaen" w:eastAsia="Times New Roman" w:hAnsi="Sylfaen" w:cs="Times New Roman"/>
          <w:sz w:val="24"/>
          <w:szCs w:val="24"/>
          <w:lang w:val="hy-AM"/>
        </w:rPr>
        <w:t>85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դրամ/կՎտժ` առանց ԱԱՀ-ի),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4</m:t>
            </m:r>
          </m:sub>
        </m:sSub>
      </m:oMath>
      <w:r w:rsidR="00687A5C" w:rsidRPr="004A730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A609DD" w:rsidRPr="004A7300">
        <w:rPr>
          <w:rFonts w:ascii="Sylfaen" w:eastAsia="Times New Roman" w:hAnsi="Sylfaen" w:cs="Times New Roman"/>
          <w:sz w:val="24"/>
          <w:szCs w:val="24"/>
          <w:lang w:val="hy-AM"/>
        </w:rPr>
        <w:t>–</w:t>
      </w:r>
      <w:r w:rsidR="009A1A54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A609DD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35 կՎ լարման ենթակայաններում, </w:t>
      </w:r>
      <w:r w:rsidR="003038D7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 փոխակերպիչների շահագործման նպատակով, 1 կՎտժ էլեկտրաէներգիայի փոխակերպման ծառայության վճարն է (1,</w:t>
      </w:r>
      <w:r w:rsidR="00FB0697" w:rsidRPr="004A7300">
        <w:rPr>
          <w:rFonts w:ascii="Sylfaen" w:eastAsia="Times New Roman" w:hAnsi="Sylfaen" w:cs="Times New Roman"/>
          <w:sz w:val="24"/>
          <w:szCs w:val="24"/>
          <w:lang w:val="hy-AM"/>
        </w:rPr>
        <w:t>406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դրամ/կՎտժ` առանց ԱԱՀ-ի),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5</m:t>
            </m:r>
          </m:sub>
        </m:sSub>
      </m:oMath>
      <w:r w:rsidR="009A1A54" w:rsidRPr="002C51E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8B6CD8" w:rsidRPr="004A7300">
        <w:rPr>
          <w:rFonts w:ascii="Sylfaen" w:eastAsia="Times New Roman" w:hAnsi="Sylfaen" w:cs="Times New Roman"/>
          <w:sz w:val="24"/>
          <w:szCs w:val="24"/>
          <w:lang w:val="hy-AM"/>
        </w:rPr>
        <w:t>–</w:t>
      </w:r>
      <w:r w:rsidR="009A1A54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8B6CD8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6(10) կՎ լարման ենթակայաններում, </w:t>
      </w:r>
      <w:r w:rsidR="008B6CD8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 փոխակերպիչների շահագործման նպատակով, 1 կՎտժ էլեկտրաէներգիայի փոխակերպման ծառայության վճար</w:t>
      </w:r>
      <w:r w:rsidR="00892488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է (1,5</w:t>
      </w:r>
      <w:r w:rsidR="00FB0697" w:rsidRPr="004A7300">
        <w:rPr>
          <w:rFonts w:ascii="Sylfaen" w:eastAsia="Times New Roman" w:hAnsi="Sylfaen" w:cs="Times New Roman"/>
          <w:sz w:val="24"/>
          <w:szCs w:val="24"/>
          <w:lang w:val="hy-AM"/>
        </w:rPr>
        <w:t>80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դրամ/կՎտժ` առանց ԱԱՀ-ի),</w:t>
      </w:r>
    </w:p>
    <w:p w:rsidR="00687A5C" w:rsidRPr="004A7300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6</m:t>
            </m:r>
          </m:sub>
        </m:sSub>
      </m:oMath>
      <w:r w:rsidR="009A1A54" w:rsidRPr="002C51E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8B6CD8" w:rsidRPr="004A7300">
        <w:rPr>
          <w:rFonts w:ascii="Sylfaen" w:eastAsia="Times New Roman" w:hAnsi="Sylfaen" w:cs="Times New Roman"/>
          <w:sz w:val="24"/>
          <w:szCs w:val="24"/>
          <w:lang w:val="hy-AM"/>
        </w:rPr>
        <w:t>–</w:t>
      </w:r>
      <w:r w:rsidR="009A1A54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8B6CD8">
        <w:rPr>
          <w:rFonts w:ascii="Sylfaen" w:eastAsia="Times New Roman" w:hAnsi="Sylfaen" w:cs="Times New Roman"/>
          <w:sz w:val="24"/>
          <w:szCs w:val="24"/>
          <w:lang w:val="hy-AM"/>
        </w:rPr>
        <w:t xml:space="preserve"> 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 6(10) կՎ լարման էլեկտրահաղորդման գծերի շահագործման նպատակով 1 կՎտժ էլեկտրաէներգիայի տեղափոխման ծառայության վճարն է (0,7</w:t>
      </w:r>
      <w:r w:rsidR="00FB0697" w:rsidRPr="004A7300">
        <w:rPr>
          <w:rFonts w:ascii="Sylfaen" w:eastAsia="Times New Roman" w:hAnsi="Sylfaen" w:cs="Times New Roman"/>
          <w:sz w:val="24"/>
          <w:szCs w:val="24"/>
          <w:lang w:val="hy-AM"/>
        </w:rPr>
        <w:t>57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դրամ/կՎտժ` առանց ԱԱՀ-ի),</w:t>
      </w:r>
    </w:p>
    <w:p w:rsidR="00687A5C" w:rsidRPr="00E366DC" w:rsidRDefault="003D448F" w:rsidP="004A7300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7</m:t>
            </m:r>
          </m:sub>
        </m:sSub>
      </m:oMath>
      <w:r w:rsidR="009A1A54" w:rsidRPr="002C51E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9A1A54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9A1A54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9A1A54" w:rsidRPr="002C51E0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FA446D" w:rsidRPr="00E366DC">
        <w:rPr>
          <w:rFonts w:ascii="Sylfaen" w:eastAsia="Times New Roman" w:hAnsi="Sylfaen" w:cs="Times New Roman"/>
          <w:sz w:val="24"/>
          <w:szCs w:val="24"/>
          <w:vertAlign w:val="subscript"/>
          <w:lang w:val="hy-AM"/>
        </w:rPr>
        <w:t xml:space="preserve"> </w:t>
      </w:r>
      <w:r w:rsidR="00DF1D8E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 35 կՎ և 110 կՎ լարման էլեկտրահաղորդման գծերի շահագործման նպատակով 1 կՎտժ էլեկտրաէներգիայի տեղափոխման ծառայության վճարն է (1,</w:t>
      </w:r>
      <w:r w:rsidR="00FB0697" w:rsidRPr="004A7300">
        <w:rPr>
          <w:rFonts w:ascii="Sylfaen" w:eastAsia="Times New Roman" w:hAnsi="Sylfaen" w:cs="Times New Roman"/>
          <w:sz w:val="24"/>
          <w:szCs w:val="24"/>
          <w:lang w:val="hy-AM"/>
        </w:rPr>
        <w:t>344</w:t>
      </w:r>
      <w:r w:rsidR="00687A5C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դրամ/կՎտժ` առանց ԱԱՀ-ի):</w:t>
      </w:r>
    </w:p>
    <w:p w:rsidR="00504C2A" w:rsidRPr="004A7300" w:rsidRDefault="00504C2A" w:rsidP="004A730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Սպառողի </w:t>
      </w:r>
      <w:r w:rsidR="00892488">
        <w:rPr>
          <w:rFonts w:ascii="Sylfaen" w:eastAsia="Times New Roman" w:hAnsi="Sylfaen" w:cs="Times New Roman"/>
          <w:sz w:val="24"/>
          <w:szCs w:val="24"/>
          <w:lang w:val="hy-AM"/>
        </w:rPr>
        <w:t>էներգատեղակայանքներով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DF1D8E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DF1D8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նթասպառողների կամ Բ</w:t>
      </w:r>
      <w:r w:rsidR="00892488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աշխողի այլ ցանցերի 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էլեկտրամատակարարման նպատակով մեկից ավելի ենթակայաններ կամ էլեկտրահաղորդման գծեր օգտագործվելու դեպքում սույն </w:t>
      </w:r>
      <w:r w:rsidR="00C0488C">
        <w:rPr>
          <w:rFonts w:ascii="Sylfaen" w:eastAsia="Times New Roman" w:hAnsi="Sylfaen" w:cs="Times New Roman"/>
          <w:sz w:val="24"/>
          <w:szCs w:val="24"/>
          <w:lang w:val="hy-AM"/>
        </w:rPr>
        <w:t>կարգ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>ով նախատեսված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 xml:space="preserve"> A</m:t>
        </m:r>
      </m:oMath>
      <w:r w:rsidR="00C0488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>մեծությունը յուրաքանչյուր ենթակայանի կամ էլեկտրահաղորդման գծի համար հաշվարկվում է առանձին, որը սույն կետի N1 աղյուսակում ամրագրված սահմանային արժեքները գերազանցելու դեպքում ընդունվում է հավասար N1 աղյուսակում ամրագրված արժեքներին.</w:t>
      </w:r>
    </w:p>
    <w:p w:rsidR="00504C2A" w:rsidRPr="004A7300" w:rsidRDefault="00687A5C" w:rsidP="004A7300">
      <w:pPr>
        <w:pStyle w:val="ListParagraph"/>
        <w:spacing w:after="0" w:line="360" w:lineRule="auto"/>
        <w:ind w:left="426" w:hanging="426"/>
        <w:jc w:val="right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A7300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0B1EBB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Աղյուսակ </w:t>
      </w:r>
      <w:r w:rsidR="00504C2A" w:rsidRPr="004A7300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N 1 </w:t>
      </w:r>
    </w:p>
    <w:p w:rsidR="00504C2A" w:rsidRPr="004A7300" w:rsidRDefault="008C3729" w:rsidP="004A7300">
      <w:pPr>
        <w:pStyle w:val="ListParagraph"/>
        <w:spacing w:after="0" w:line="360" w:lineRule="auto"/>
        <w:ind w:left="426" w:hanging="426"/>
        <w:jc w:val="right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             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դրամ/ամիս (առանց ավելացված արժեքի հարկի)</w:t>
      </w:r>
    </w:p>
    <w:tbl>
      <w:tblPr>
        <w:tblW w:w="94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3589"/>
        <w:gridCol w:w="3367"/>
      </w:tblGrid>
      <w:tr w:rsidR="00504C2A" w:rsidRPr="00C943D8" w:rsidTr="004A7300">
        <w:trPr>
          <w:tblCellSpacing w:w="0" w:type="dxa"/>
          <w:jc w:val="center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C0488C">
            <w:pPr>
              <w:spacing w:before="100" w:beforeAutospacing="1" w:after="100" w:afterAutospacing="1" w:line="240" w:lineRule="auto"/>
              <w:ind w:left="426" w:hanging="301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Սպառողի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սպառման համակարգի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լարումը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C0488C">
            <w:pPr>
              <w:spacing w:before="100" w:beforeAutospacing="1" w:after="100" w:afterAutospacing="1" w:line="24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Սպառողի ենթակայանի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շահագործման փոխհատուցվող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ծախսերի սահմանային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մեծությունը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C0488C">
            <w:pPr>
              <w:spacing w:before="100" w:beforeAutospacing="1" w:after="100" w:afterAutospacing="1" w:line="24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Սպառողի</w:t>
            </w:r>
            <w:r w:rsidR="00912AC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էլեկտրահաղորդման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գծերի շահագործման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փոխհատուցվող ծախսերի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br/>
              <w:t>սահմանային մեծությունը</w:t>
            </w:r>
          </w:p>
        </w:tc>
      </w:tr>
      <w:tr w:rsidR="00504C2A" w:rsidRPr="00E366DC" w:rsidTr="004A7300">
        <w:trPr>
          <w:tblCellSpacing w:w="0" w:type="dxa"/>
          <w:jc w:val="center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6(10) կՎ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8</w:t>
            </w:r>
            <w:r w:rsidR="00FB0697">
              <w:rPr>
                <w:rFonts w:ascii="Sylfaen" w:eastAsia="Times New Roman" w:hAnsi="Sylfaen" w:cs="Times New Roman"/>
                <w:sz w:val="24"/>
                <w:szCs w:val="24"/>
              </w:rPr>
              <w:t>7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 w:rsidR="00FB0697">
              <w:rPr>
                <w:rFonts w:ascii="Sylfaen" w:eastAsia="Times New Roman" w:hAnsi="Sylfaen" w:cs="Times New Roman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</w:t>
            </w:r>
            <w:r w:rsidR="00FB0697">
              <w:rPr>
                <w:rFonts w:ascii="Sylfaen" w:eastAsia="Times New Roman" w:hAnsi="Sylfaen" w:cs="Times New Roman"/>
                <w:sz w:val="24"/>
                <w:szCs w:val="24"/>
              </w:rPr>
              <w:t>6 294</w:t>
            </w:r>
          </w:p>
        </w:tc>
      </w:tr>
      <w:tr w:rsidR="00504C2A" w:rsidRPr="00E366DC" w:rsidTr="004A7300">
        <w:trPr>
          <w:tblCellSpacing w:w="0" w:type="dxa"/>
          <w:jc w:val="center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35 կՎ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504C2A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3</w:t>
            </w:r>
            <w:r w:rsidR="00FB0697">
              <w:rPr>
                <w:rFonts w:ascii="Sylfaen" w:eastAsia="Times New Roman" w:hAnsi="Sylfaen" w:cs="Times New Roman"/>
                <w:sz w:val="24"/>
                <w:szCs w:val="24"/>
              </w:rPr>
              <w:t>51 940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144CCB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E366D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B0697">
              <w:rPr>
                <w:rFonts w:ascii="Sylfaen" w:eastAsia="Times New Roman" w:hAnsi="Sylfaen" w:cs="Times New Roman"/>
                <w:sz w:val="24"/>
                <w:szCs w:val="24"/>
              </w:rPr>
              <w:t>7 699</w:t>
            </w:r>
          </w:p>
        </w:tc>
      </w:tr>
      <w:tr w:rsidR="00504C2A" w:rsidRPr="00E366DC" w:rsidTr="004A7300">
        <w:trPr>
          <w:tblCellSpacing w:w="0" w:type="dxa"/>
          <w:jc w:val="center"/>
        </w:trPr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144CCB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E366D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110</w:t>
            </w:r>
            <w:r w:rsidRPr="004A73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FB0697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</w:rPr>
              <w:t>703 880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C2A" w:rsidRPr="004A7300" w:rsidRDefault="00144CCB" w:rsidP="004A7300">
            <w:pPr>
              <w:spacing w:before="100" w:beforeAutospacing="1" w:after="100" w:afterAutospacing="1" w:line="360" w:lineRule="auto"/>
              <w:ind w:left="426" w:hanging="426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E366D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</w:t>
            </w:r>
            <w:r w:rsidR="00FB0697">
              <w:rPr>
                <w:rFonts w:ascii="Sylfaen" w:eastAsia="Times New Roman" w:hAnsi="Sylfaen" w:cs="Times New Roman"/>
                <w:sz w:val="24"/>
                <w:szCs w:val="24"/>
              </w:rPr>
              <w:t>9 328</w:t>
            </w:r>
          </w:p>
        </w:tc>
      </w:tr>
    </w:tbl>
    <w:p w:rsidR="00504C2A" w:rsidRPr="004A7300" w:rsidRDefault="00504C2A" w:rsidP="004A7300">
      <w:pPr>
        <w:spacing w:after="0" w:line="360" w:lineRule="auto"/>
        <w:ind w:left="426" w:hanging="426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504C2A" w:rsidRDefault="009F5B97" w:rsidP="004A7300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Ե</w:t>
      </w:r>
      <w:r w:rsidR="00DF1D8E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նթասպառողների կամ Բ</w:t>
      </w:r>
      <w:r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ցանցերի</w:t>
      </w:r>
      <w:r w:rsidRPr="00E366DC" w:rsidDel="009F5B9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էլեկտրամատակարարման հետևանքով </w:t>
      </w:r>
      <w:r w:rsidR="00DF1D8E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 տրանսֆորմատորներում և էլեկտրահաղորդման գծերում առաջացող կորուստները փոխհատուցող գումարը</w:t>
      </w:r>
      <w:r w:rsidR="00A53881">
        <w:rPr>
          <w:rFonts w:ascii="Sylfaen" w:eastAsia="Times New Roman" w:hAnsi="Sylfaen" w:cs="Times New Roman"/>
          <w:sz w:val="24"/>
          <w:szCs w:val="24"/>
          <w:lang w:val="hy-AM"/>
        </w:rPr>
        <w:t xml:space="preserve">՝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K</m:t>
        </m:r>
      </m:oMath>
      <w:r w:rsidR="00A53881" w:rsidRPr="002C51E0">
        <w:rPr>
          <w:rFonts w:ascii="Cambria Math" w:eastAsia="Times New Roman" w:hAnsi="Cambria Math" w:cs="Times New Roman"/>
          <w:i/>
          <w:sz w:val="24"/>
          <w:szCs w:val="24"/>
          <w:lang w:val="hy-AM"/>
        </w:rPr>
        <w:t>-</w:t>
      </w:r>
      <w:r w:rsidR="00A53881" w:rsidRPr="002C51E0">
        <w:rPr>
          <w:rFonts w:ascii="Cambria Math" w:eastAsia="Times New Roman" w:hAnsi="Cambria Math" w:cs="Times New Roman"/>
          <w:sz w:val="24"/>
          <w:szCs w:val="24"/>
          <w:lang w:val="hy-AM"/>
        </w:rPr>
        <w:t>ն</w:t>
      </w:r>
      <w:r w:rsidR="00A53881">
        <w:rPr>
          <w:rFonts w:ascii="Cambria Math" w:eastAsia="Times New Roman" w:hAnsi="Cambria Math" w:cs="Times New Roman"/>
          <w:sz w:val="24"/>
          <w:szCs w:val="24"/>
          <w:lang w:val="hy-AM"/>
        </w:rPr>
        <w:t>,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հաշվի է առնվում բան</w:t>
      </w:r>
      <w:r w:rsidR="00A702E0">
        <w:rPr>
          <w:rFonts w:ascii="Sylfaen" w:eastAsia="Times New Roman" w:hAnsi="Sylfaen" w:cs="Times New Roman"/>
          <w:sz w:val="24"/>
          <w:szCs w:val="24"/>
          <w:lang w:val="hy-AM"/>
        </w:rPr>
        <w:t>աձևում, եթե դրանք ներառվում են ս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պառողի կողմից վճարման ենթակա էլեկտրաէներգիայի քանակության մեջ։ Այն որոշվում է հետևյալ բանաձևով.</w:t>
      </w:r>
    </w:p>
    <w:p w:rsidR="00A53881" w:rsidRDefault="0045188D" w:rsidP="004A7300">
      <w:pPr>
        <w:pStyle w:val="ListParagraph"/>
        <w:spacing w:after="0" w:line="360" w:lineRule="auto"/>
        <w:ind w:left="426" w:hanging="426"/>
        <w:jc w:val="right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K=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W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ենթ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T</m:t>
        </m:r>
        <m:f>
          <m:fPr>
            <m:type m:val="li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9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100-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hy-AM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hy-AM"/>
                      </w:rPr>
                      <m:t>9</m:t>
                    </m:r>
                  </m:sub>
                </m:sSub>
              </m:e>
            </m:d>
          </m:den>
        </m:f>
      </m:oMath>
      <w:r w:rsidR="00F00104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</w:t>
      </w:r>
      <w:r w:rsidR="00F00104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2C51E0">
        <w:rPr>
          <w:rFonts w:ascii="Sylfaen" w:eastAsia="Times New Roman" w:hAnsi="Sylfaen" w:cs="Times New Roman"/>
          <w:sz w:val="24"/>
          <w:szCs w:val="24"/>
          <w:lang w:val="hy-AM"/>
        </w:rPr>
        <w:t>(3)</w:t>
      </w:r>
      <w:r w:rsidR="00F00104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</w:t>
      </w:r>
    </w:p>
    <w:p w:rsidR="00504C2A" w:rsidRPr="004A7300" w:rsidRDefault="00F00104" w:rsidP="00C0488C">
      <w:pPr>
        <w:pStyle w:val="ListParagraph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="00C0488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որտեղ՝</w:t>
      </w:r>
    </w:p>
    <w:p w:rsidR="00504C2A" w:rsidRPr="004A7300" w:rsidRDefault="0045188D" w:rsidP="00C0488C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hy-AM"/>
          </w:rPr>
          <m:t>T</m:t>
        </m:r>
      </m:oMath>
      <w:r w:rsidRPr="00E366DC" w:rsidDel="0045188D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-</w:t>
      </w:r>
      <w:r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CC1810">
        <w:rPr>
          <w:rFonts w:ascii="Sylfaen" w:eastAsia="Times New Roman" w:hAnsi="Sylfaen" w:cs="Times New Roman"/>
          <w:sz w:val="24"/>
          <w:szCs w:val="24"/>
          <w:lang w:val="hy-AM"/>
        </w:rPr>
        <w:t>Ս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պառողի համար էլեկտրաէներգիայի </w:t>
      </w:r>
      <w:proofErr w:type="spellStart"/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սակագինն</w:t>
      </w:r>
      <w:proofErr w:type="spellEnd"/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է (ցերեկային, դրամ/կՎտժ՝ առանց ավելացված արժեքի հարկի).</w:t>
      </w:r>
    </w:p>
    <w:p w:rsidR="00504C2A" w:rsidRPr="004A7300" w:rsidRDefault="003D448F" w:rsidP="00C0488C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8</m:t>
            </m:r>
          </m:sub>
        </m:sSub>
      </m:oMath>
      <w:r w:rsidR="00504C2A" w:rsidRPr="004A7300">
        <w:rPr>
          <w:rFonts w:ascii="Sylfaen" w:eastAsia="Times New Roman" w:hAnsi="Sylfaen" w:cs="Calibri"/>
          <w:sz w:val="24"/>
          <w:szCs w:val="24"/>
          <w:vertAlign w:val="subscript"/>
          <w:lang w:val="hy-AM"/>
        </w:rPr>
        <w:t> 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45188D">
        <w:rPr>
          <w:rFonts w:ascii="Sylfaen" w:eastAsia="Times New Roman" w:hAnsi="Sylfaen" w:cs="Times New Roman"/>
          <w:sz w:val="24"/>
          <w:szCs w:val="24"/>
          <w:lang w:val="hy-AM"/>
        </w:rPr>
        <w:t>ը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կորուստներն են տրանսֆորմատորներում (տոկոսային արտահայտությամբ), որոնք ըն</w:t>
      </w:r>
      <w:r w:rsidR="00A702E0">
        <w:rPr>
          <w:rFonts w:ascii="Sylfaen" w:eastAsia="Times New Roman" w:hAnsi="Sylfaen" w:cs="Times New Roman"/>
          <w:sz w:val="24"/>
          <w:szCs w:val="24"/>
          <w:lang w:val="hy-AM"/>
        </w:rPr>
        <w:t>դունվում են հավասար 1,3-ի, եթե Ս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պառողը սնվում է 6 կՎ և բարձր լարման ցանցերից.</w:t>
      </w:r>
    </w:p>
    <w:p w:rsidR="00504C2A" w:rsidRDefault="003D448F" w:rsidP="00C0488C">
      <w:pPr>
        <w:pStyle w:val="ListParagraph"/>
        <w:spacing w:after="0" w:line="360" w:lineRule="auto"/>
        <w:ind w:left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hy-AM"/>
              </w:rPr>
              <m:t>9</m:t>
            </m:r>
          </m:sub>
        </m:sSub>
      </m:oMath>
      <w:r w:rsidR="00504C2A" w:rsidRPr="004A7300">
        <w:rPr>
          <w:rFonts w:ascii="Sylfaen" w:eastAsia="Times New Roman" w:hAnsi="Sylfaen" w:cs="Calibri"/>
          <w:sz w:val="24"/>
          <w:szCs w:val="24"/>
          <w:vertAlign w:val="subscript"/>
          <w:lang w:val="hy-AM"/>
        </w:rPr>
        <w:t> 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-</w:t>
      </w:r>
      <w:r w:rsidR="0045188D">
        <w:rPr>
          <w:rFonts w:ascii="Sylfaen" w:eastAsia="Times New Roman" w:hAnsi="Sylfaen" w:cs="Times New Roman"/>
          <w:sz w:val="24"/>
          <w:szCs w:val="24"/>
          <w:lang w:val="hy-AM"/>
        </w:rPr>
        <w:t xml:space="preserve"> ը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կորուստներն են գծերում (տոկոսային արտահայտությամբ), որոնք ընդունվում են հավասար 1-ի, եթե </w:t>
      </w:r>
      <w:r w:rsidR="00C0488C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0C2610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</w:t>
      </w:r>
      <w:r w:rsidR="00C612FC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 կամ Բ</w:t>
      </w:r>
      <w:r w:rsidR="000C261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ցանցերը</w:t>
      </w:r>
      <w:r w:rsidR="000C2610" w:rsidRPr="002C51E0" w:rsidDel="009F5B9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սնվում </w:t>
      </w:r>
      <w:r w:rsidR="000C2610">
        <w:rPr>
          <w:rFonts w:ascii="Sylfaen" w:eastAsia="Times New Roman" w:hAnsi="Sylfaen" w:cs="Times New Roman"/>
          <w:sz w:val="24"/>
          <w:szCs w:val="24"/>
          <w:lang w:val="hy-AM"/>
        </w:rPr>
        <w:t>են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 xml:space="preserve"> 6 կՎ և բարձր լարման ցանցերից և 3-ի, եթե </w:t>
      </w:r>
      <w:r w:rsidR="008505F7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916413" w:rsidRPr="002C51E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նթասպառողներ</w:t>
      </w:r>
      <w:r w:rsidR="008505F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ը կամ Բ</w:t>
      </w:r>
      <w:r w:rsidR="00916413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աշխողի այլ ցանցերը</w:t>
      </w:r>
      <w:r w:rsidR="00916413" w:rsidRPr="002C51E0" w:rsidDel="009F5B9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916413" w:rsidRPr="002C51E0">
        <w:rPr>
          <w:rFonts w:ascii="Sylfaen" w:eastAsia="Times New Roman" w:hAnsi="Sylfaen" w:cs="Times New Roman"/>
          <w:sz w:val="24"/>
          <w:szCs w:val="24"/>
          <w:lang w:val="hy-AM"/>
        </w:rPr>
        <w:t xml:space="preserve">սնվում </w:t>
      </w:r>
      <w:r w:rsidR="00916413">
        <w:rPr>
          <w:rFonts w:ascii="Sylfaen" w:eastAsia="Times New Roman" w:hAnsi="Sylfaen" w:cs="Times New Roman"/>
          <w:sz w:val="24"/>
          <w:szCs w:val="24"/>
          <w:lang w:val="hy-AM"/>
        </w:rPr>
        <w:t>են</w:t>
      </w:r>
      <w:r w:rsidR="00916413" w:rsidRPr="002C51E0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504C2A" w:rsidRPr="004A7300">
        <w:rPr>
          <w:rFonts w:ascii="Sylfaen" w:eastAsia="Times New Roman" w:hAnsi="Sylfaen" w:cs="Times New Roman"/>
          <w:sz w:val="24"/>
          <w:szCs w:val="24"/>
          <w:lang w:val="hy-AM"/>
        </w:rPr>
        <w:t>0,4 կՎ և ցածր լարման ցանցերից։</w:t>
      </w:r>
    </w:p>
    <w:p w:rsidR="00D006FA" w:rsidRPr="002C0A75" w:rsidRDefault="00C0488C" w:rsidP="00C0488C">
      <w:pPr>
        <w:pStyle w:val="ListParagraph"/>
        <w:spacing w:after="0" w:line="360" w:lineRule="auto"/>
        <w:ind w:left="426" w:hanging="426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18</w:t>
      </w:r>
      <w:r w:rsidR="002B3E8F">
        <w:rPr>
          <w:rFonts w:ascii="Sylfaen" w:eastAsia="Times New Roman" w:hAnsi="Sylfaen" w:cs="Times New Roman"/>
          <w:sz w:val="24"/>
          <w:szCs w:val="24"/>
        </w:rPr>
        <w:t>.</w:t>
      </w:r>
      <w:r w:rsidR="00276EE0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E371FE">
        <w:rPr>
          <w:rFonts w:ascii="Sylfaen" w:eastAsia="Times New Roman" w:hAnsi="Sylfaen" w:cs="Times New Roman"/>
          <w:sz w:val="24"/>
          <w:szCs w:val="24"/>
          <w:lang w:val="hy-AM"/>
        </w:rPr>
        <w:t>Հայաստանի Հանրապետության հանրային ծառայությունները կարգավորող հանձնաժողովը յուրաքանչյուր տարի՝ մինչև տվյալ տարվա դեկտեմբերի 1-ը վերանայում է սույն կարգի դրամային մեծությունները</w:t>
      </w:r>
      <w:r w:rsidR="00F251D8" w:rsidRPr="004A7300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՝ դրանց նկատմամբ կիրառելով ընթացիկ տարվա սեպտեմբեր ամսվա սպառողական գների ինդեքսը նախորդ տարվա նույն ամսվա նկատմամբ։ Վերանայման արդյունքում սահմանված մեծությունները ուժի մեջ են մտնում տվյալ տարվան հաջորդող տարվա հունվարի 1-ից:</w:t>
      </w:r>
    </w:p>
    <w:sectPr w:rsidR="00D006FA" w:rsidRPr="002C0A75" w:rsidSect="004A7300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039"/>
    <w:multiLevelType w:val="hybridMultilevel"/>
    <w:tmpl w:val="EBF80ECC"/>
    <w:lvl w:ilvl="0" w:tplc="0102010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5F0"/>
    <w:multiLevelType w:val="hybridMultilevel"/>
    <w:tmpl w:val="05E8EA7C"/>
    <w:lvl w:ilvl="0" w:tplc="A2E013DA">
      <w:start w:val="6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BB"/>
    <w:multiLevelType w:val="hybridMultilevel"/>
    <w:tmpl w:val="FED83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3488"/>
    <w:multiLevelType w:val="hybridMultilevel"/>
    <w:tmpl w:val="61E879DC"/>
    <w:lvl w:ilvl="0" w:tplc="579435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4E39"/>
    <w:multiLevelType w:val="hybridMultilevel"/>
    <w:tmpl w:val="A69E918E"/>
    <w:lvl w:ilvl="0" w:tplc="97D42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0375"/>
    <w:multiLevelType w:val="hybridMultilevel"/>
    <w:tmpl w:val="7A7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228"/>
    <w:multiLevelType w:val="hybridMultilevel"/>
    <w:tmpl w:val="B7CC849E"/>
    <w:lvl w:ilvl="0" w:tplc="168C44F6">
      <w:start w:val="1"/>
      <w:numFmt w:val="decimal"/>
      <w:lvlText w:val="%1."/>
      <w:lvlJc w:val="left"/>
      <w:pPr>
        <w:ind w:left="128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8065284"/>
    <w:multiLevelType w:val="hybridMultilevel"/>
    <w:tmpl w:val="1576B1B4"/>
    <w:lvl w:ilvl="0" w:tplc="9492301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D4B09"/>
    <w:multiLevelType w:val="hybridMultilevel"/>
    <w:tmpl w:val="A49A38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142A42"/>
    <w:multiLevelType w:val="hybridMultilevel"/>
    <w:tmpl w:val="82043EC2"/>
    <w:lvl w:ilvl="0" w:tplc="99DC0E3C">
      <w:start w:val="26"/>
      <w:numFmt w:val="decimal"/>
      <w:lvlText w:val="%1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54114FAE"/>
    <w:multiLevelType w:val="hybridMultilevel"/>
    <w:tmpl w:val="58924CF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2B59F9"/>
    <w:multiLevelType w:val="hybridMultilevel"/>
    <w:tmpl w:val="55FE6C62"/>
    <w:lvl w:ilvl="0" w:tplc="769E14DC">
      <w:start w:val="1"/>
      <w:numFmt w:val="decimal"/>
      <w:lvlText w:val="%1."/>
      <w:lvlJc w:val="left"/>
      <w:pPr>
        <w:ind w:left="1620" w:hanging="360"/>
      </w:pPr>
      <w:rPr>
        <w:rFonts w:ascii="Sylfaen" w:hAnsi="Sylfaen" w:hint="default"/>
        <w:sz w:val="24"/>
      </w:rPr>
    </w:lvl>
    <w:lvl w:ilvl="1" w:tplc="605E8184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96"/>
    <w:rsid w:val="0002548D"/>
    <w:rsid w:val="00034C8E"/>
    <w:rsid w:val="000727DA"/>
    <w:rsid w:val="00090BF2"/>
    <w:rsid w:val="000B1EBB"/>
    <w:rsid w:val="000C2610"/>
    <w:rsid w:val="000D12DC"/>
    <w:rsid w:val="000D6999"/>
    <w:rsid w:val="000E3D6E"/>
    <w:rsid w:val="000E4D58"/>
    <w:rsid w:val="00121D45"/>
    <w:rsid w:val="00144CCB"/>
    <w:rsid w:val="001A587C"/>
    <w:rsid w:val="001C1FC7"/>
    <w:rsid w:val="00200350"/>
    <w:rsid w:val="00215EE4"/>
    <w:rsid w:val="00245576"/>
    <w:rsid w:val="0024574F"/>
    <w:rsid w:val="0027683F"/>
    <w:rsid w:val="00276EE0"/>
    <w:rsid w:val="0029497C"/>
    <w:rsid w:val="002B3E8F"/>
    <w:rsid w:val="002C0A75"/>
    <w:rsid w:val="0030121C"/>
    <w:rsid w:val="003038D7"/>
    <w:rsid w:val="00376590"/>
    <w:rsid w:val="00385E4C"/>
    <w:rsid w:val="0039489D"/>
    <w:rsid w:val="003B0B4F"/>
    <w:rsid w:val="003D448F"/>
    <w:rsid w:val="00401CF4"/>
    <w:rsid w:val="00423877"/>
    <w:rsid w:val="00423C5B"/>
    <w:rsid w:val="00447FD5"/>
    <w:rsid w:val="0045188D"/>
    <w:rsid w:val="00497C11"/>
    <w:rsid w:val="004A7300"/>
    <w:rsid w:val="004B5447"/>
    <w:rsid w:val="004D40C8"/>
    <w:rsid w:val="004E30F0"/>
    <w:rsid w:val="004E7381"/>
    <w:rsid w:val="00504C2A"/>
    <w:rsid w:val="00524EBE"/>
    <w:rsid w:val="00547AB1"/>
    <w:rsid w:val="005C60E0"/>
    <w:rsid w:val="005D7B5F"/>
    <w:rsid w:val="005F2F85"/>
    <w:rsid w:val="00613D43"/>
    <w:rsid w:val="006176FF"/>
    <w:rsid w:val="00637044"/>
    <w:rsid w:val="00645B60"/>
    <w:rsid w:val="00666B5A"/>
    <w:rsid w:val="00687A5C"/>
    <w:rsid w:val="0069426F"/>
    <w:rsid w:val="006A079E"/>
    <w:rsid w:val="00701C2E"/>
    <w:rsid w:val="00727E17"/>
    <w:rsid w:val="007430ED"/>
    <w:rsid w:val="00751EBB"/>
    <w:rsid w:val="00752769"/>
    <w:rsid w:val="00775BDC"/>
    <w:rsid w:val="00787B2F"/>
    <w:rsid w:val="007A1117"/>
    <w:rsid w:val="007C56F0"/>
    <w:rsid w:val="007D675C"/>
    <w:rsid w:val="007D75E9"/>
    <w:rsid w:val="00802B5D"/>
    <w:rsid w:val="0080320E"/>
    <w:rsid w:val="008505F7"/>
    <w:rsid w:val="00867A96"/>
    <w:rsid w:val="00892488"/>
    <w:rsid w:val="00896BAF"/>
    <w:rsid w:val="008A4379"/>
    <w:rsid w:val="008B6CD8"/>
    <w:rsid w:val="008C3729"/>
    <w:rsid w:val="008D0112"/>
    <w:rsid w:val="008E110D"/>
    <w:rsid w:val="00904490"/>
    <w:rsid w:val="00912AC3"/>
    <w:rsid w:val="00916413"/>
    <w:rsid w:val="00933B12"/>
    <w:rsid w:val="00971C4C"/>
    <w:rsid w:val="009A1A54"/>
    <w:rsid w:val="009B32F5"/>
    <w:rsid w:val="009C7C65"/>
    <w:rsid w:val="009E27E2"/>
    <w:rsid w:val="009F5B97"/>
    <w:rsid w:val="00A079CF"/>
    <w:rsid w:val="00A22C02"/>
    <w:rsid w:val="00A53881"/>
    <w:rsid w:val="00A609DD"/>
    <w:rsid w:val="00A702E0"/>
    <w:rsid w:val="00A72791"/>
    <w:rsid w:val="00A876B6"/>
    <w:rsid w:val="00A96F01"/>
    <w:rsid w:val="00AA2A18"/>
    <w:rsid w:val="00AA357E"/>
    <w:rsid w:val="00AF2B20"/>
    <w:rsid w:val="00B44A68"/>
    <w:rsid w:val="00B760B9"/>
    <w:rsid w:val="00B77947"/>
    <w:rsid w:val="00BE0F45"/>
    <w:rsid w:val="00BE7EB1"/>
    <w:rsid w:val="00C0488C"/>
    <w:rsid w:val="00C3365B"/>
    <w:rsid w:val="00C612FC"/>
    <w:rsid w:val="00C943D8"/>
    <w:rsid w:val="00CA0A47"/>
    <w:rsid w:val="00CC1810"/>
    <w:rsid w:val="00CC4858"/>
    <w:rsid w:val="00CD1B7D"/>
    <w:rsid w:val="00CE4CA5"/>
    <w:rsid w:val="00D006FA"/>
    <w:rsid w:val="00D115EC"/>
    <w:rsid w:val="00D24C9E"/>
    <w:rsid w:val="00D53C58"/>
    <w:rsid w:val="00DA00D5"/>
    <w:rsid w:val="00DA7125"/>
    <w:rsid w:val="00DB10C9"/>
    <w:rsid w:val="00DB4F2A"/>
    <w:rsid w:val="00DC016B"/>
    <w:rsid w:val="00DC7994"/>
    <w:rsid w:val="00DF155C"/>
    <w:rsid w:val="00DF1D8E"/>
    <w:rsid w:val="00E366DC"/>
    <w:rsid w:val="00E371FE"/>
    <w:rsid w:val="00E619B3"/>
    <w:rsid w:val="00E669F1"/>
    <w:rsid w:val="00E77E58"/>
    <w:rsid w:val="00E808E0"/>
    <w:rsid w:val="00EF7988"/>
    <w:rsid w:val="00F00104"/>
    <w:rsid w:val="00F251D8"/>
    <w:rsid w:val="00F279FC"/>
    <w:rsid w:val="00F526CE"/>
    <w:rsid w:val="00F752B4"/>
    <w:rsid w:val="00FA1C1E"/>
    <w:rsid w:val="00FA446D"/>
    <w:rsid w:val="00FB0697"/>
    <w:rsid w:val="00FB2E97"/>
    <w:rsid w:val="00FB4436"/>
    <w:rsid w:val="00FC7381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E874"/>
  <w15:chartTrackingRefBased/>
  <w15:docId w15:val="{71923DE6-2D59-4713-A1A2-5A6365E0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9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ufzählung"/>
    <w:basedOn w:val="Normal"/>
    <w:uiPriority w:val="34"/>
    <w:qFormat/>
    <w:rsid w:val="00AA357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69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A4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7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Aramayis Grigoryan</dc:creator>
  <cp:keywords/>
  <dc:description/>
  <cp:lastModifiedBy>Gayane Kolyan</cp:lastModifiedBy>
  <cp:revision>138</cp:revision>
  <cp:lastPrinted>2019-11-07T09:00:00Z</cp:lastPrinted>
  <dcterms:created xsi:type="dcterms:W3CDTF">2019-09-20T05:20:00Z</dcterms:created>
  <dcterms:modified xsi:type="dcterms:W3CDTF">2019-11-07T12:30:00Z</dcterms:modified>
</cp:coreProperties>
</file>