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0F7" w:rsidRPr="00CE111E" w:rsidRDefault="008B00F7" w:rsidP="008B00F7">
      <w:pPr>
        <w:tabs>
          <w:tab w:val="left" w:pos="8970"/>
        </w:tabs>
        <w:spacing w:line="276" w:lineRule="auto"/>
        <w:jc w:val="right"/>
        <w:rPr>
          <w:rFonts w:eastAsia="Times New Roman" w:cs="Sylfaen"/>
          <w:b/>
          <w:bCs/>
          <w:color w:val="000000" w:themeColor="text1"/>
          <w:lang w:val="hy-AM" w:eastAsia="ru-RU"/>
        </w:rPr>
      </w:pPr>
      <w:r>
        <w:rPr>
          <w:rFonts w:eastAsia="Times New Roman" w:cs="Sylfaen"/>
          <w:b/>
          <w:bCs/>
          <w:color w:val="000000" w:themeColor="text1"/>
          <w:lang w:val="hy-AM" w:eastAsia="ru-RU"/>
        </w:rPr>
        <w:t>«Հավելված</w:t>
      </w:r>
    </w:p>
    <w:p w:rsidR="008B00F7" w:rsidRPr="00D67DE4" w:rsidRDefault="008B00F7" w:rsidP="008B00F7">
      <w:pPr>
        <w:tabs>
          <w:tab w:val="left" w:pos="8970"/>
        </w:tabs>
        <w:spacing w:line="276" w:lineRule="auto"/>
        <w:jc w:val="right"/>
        <w:rPr>
          <w:rFonts w:eastAsia="Times New Roman" w:cs="Sylfaen"/>
          <w:b/>
          <w:bCs/>
          <w:color w:val="000000" w:themeColor="text1"/>
          <w:lang w:val="hy-AM" w:eastAsia="ru-RU"/>
        </w:rPr>
      </w:pPr>
      <w:r w:rsidRPr="00D67DE4">
        <w:rPr>
          <w:rFonts w:eastAsia="Times New Roman" w:cs="Sylfaen"/>
          <w:b/>
          <w:bCs/>
          <w:color w:val="000000" w:themeColor="text1"/>
          <w:lang w:val="hy-AM" w:eastAsia="ru-RU"/>
        </w:rPr>
        <w:t>«Հողերի պահպանման և օգտագործման  նկատմամբ</w:t>
      </w:r>
    </w:p>
    <w:p w:rsidR="008B00F7" w:rsidRPr="00D67DE4" w:rsidRDefault="008B00F7" w:rsidP="008B00F7">
      <w:pPr>
        <w:tabs>
          <w:tab w:val="left" w:pos="8970"/>
        </w:tabs>
        <w:spacing w:line="276" w:lineRule="auto"/>
        <w:jc w:val="right"/>
        <w:rPr>
          <w:rFonts w:eastAsia="Times New Roman" w:cs="Sylfaen"/>
          <w:b/>
          <w:bCs/>
          <w:color w:val="000000" w:themeColor="text1"/>
          <w:lang w:val="hy-AM" w:eastAsia="ru-RU"/>
        </w:rPr>
      </w:pPr>
      <w:r w:rsidRPr="00D67DE4">
        <w:rPr>
          <w:rFonts w:eastAsia="Times New Roman" w:cs="Sylfaen"/>
          <w:b/>
          <w:bCs/>
          <w:color w:val="000000" w:themeColor="text1"/>
          <w:lang w:val="hy-AM" w:eastAsia="ru-RU"/>
        </w:rPr>
        <w:t>վերահսկողության մասին» օրենքի</w:t>
      </w:r>
    </w:p>
    <w:p w:rsidR="008B00F7" w:rsidRPr="00D67DE4" w:rsidRDefault="008B00F7" w:rsidP="008B00F7">
      <w:pPr>
        <w:spacing w:line="276" w:lineRule="auto"/>
        <w:ind w:firstLine="0"/>
        <w:jc w:val="both"/>
        <w:rPr>
          <w:rFonts w:eastAsia="Times New Roman" w:cs="Sylfaen"/>
          <w:b/>
          <w:bCs/>
          <w:color w:val="000000" w:themeColor="text1"/>
          <w:lang w:val="hy-AM" w:eastAsia="ru-RU"/>
        </w:rPr>
      </w:pPr>
    </w:p>
    <w:p w:rsidR="008B00F7" w:rsidRPr="00D67DE4" w:rsidRDefault="008B00F7" w:rsidP="008B00F7">
      <w:pPr>
        <w:spacing w:after="120" w:line="276" w:lineRule="auto"/>
        <w:ind w:firstLine="0"/>
        <w:jc w:val="center"/>
        <w:rPr>
          <w:rFonts w:eastAsia="Times New Roman" w:cs="Sylfaen"/>
          <w:b/>
          <w:bCs/>
          <w:color w:val="000000" w:themeColor="text1"/>
          <w:lang w:val="hy-AM" w:eastAsia="ru-RU"/>
        </w:rPr>
      </w:pPr>
    </w:p>
    <w:p w:rsidR="008B00F7" w:rsidRPr="00D67DE4" w:rsidRDefault="008B00F7" w:rsidP="008B00F7">
      <w:pPr>
        <w:spacing w:after="120" w:line="276" w:lineRule="auto"/>
        <w:ind w:firstLine="0"/>
        <w:jc w:val="center"/>
        <w:outlineLvl w:val="0"/>
        <w:rPr>
          <w:rFonts w:eastAsia="Times New Roman" w:cs="Sylfaen"/>
          <w:b/>
          <w:bCs/>
          <w:color w:val="000000" w:themeColor="text1"/>
          <w:lang w:val="hy-AM" w:eastAsia="ru-RU"/>
        </w:rPr>
      </w:pPr>
      <w:r w:rsidRPr="00D67DE4">
        <w:rPr>
          <w:rFonts w:eastAsia="Times New Roman" w:cs="Sylfaen"/>
          <w:b/>
          <w:bCs/>
          <w:color w:val="000000" w:themeColor="text1"/>
          <w:lang w:val="hy-AM" w:eastAsia="ru-RU"/>
        </w:rPr>
        <w:t>ԿԱՐԳ</w:t>
      </w:r>
    </w:p>
    <w:p w:rsidR="008B00F7" w:rsidRPr="00D67DE4" w:rsidRDefault="008B00F7" w:rsidP="008B00F7">
      <w:pPr>
        <w:spacing w:line="276" w:lineRule="auto"/>
        <w:ind w:firstLine="0"/>
        <w:jc w:val="center"/>
        <w:rPr>
          <w:rFonts w:eastAsia="Times New Roman" w:cs="Sylfaen"/>
          <w:b/>
          <w:bCs/>
          <w:color w:val="000000" w:themeColor="text1"/>
          <w:lang w:val="hy-AM" w:eastAsia="ru-RU"/>
        </w:rPr>
      </w:pPr>
      <w:r w:rsidRPr="00D67DE4">
        <w:rPr>
          <w:rFonts w:eastAsia="Times New Roman" w:cs="Sylfaen"/>
          <w:b/>
          <w:color w:val="000000" w:themeColor="text1"/>
          <w:lang w:val="hy-AM" w:eastAsia="ru-RU"/>
        </w:rPr>
        <w:t>ԳՅՈՒՂԱՏՆՏԵՍԱԿԱՆ ՆՇԱՆԱԿՈՒԹՅԱՆ ՉՕԳՏԱԳՈՐԾՎՈՂ ՀՈՂԵՐԻ ԲԱՑԱՀԱՅՏՄԱՆ ՆՊԱՏԱԿՈՎ ԻՐԱԿԱՆԱՑՎՈՂ ԴԻՏԱՐԿՄԱՆ</w:t>
      </w:r>
    </w:p>
    <w:p w:rsidR="008B00F7" w:rsidRPr="00D67DE4" w:rsidRDefault="008B00F7" w:rsidP="008B00F7">
      <w:pPr>
        <w:spacing w:line="276" w:lineRule="auto"/>
        <w:ind w:firstLine="0"/>
        <w:jc w:val="center"/>
        <w:rPr>
          <w:rFonts w:eastAsia="Times New Roman" w:cs="Sylfaen"/>
          <w:b/>
          <w:bCs/>
          <w:color w:val="000000" w:themeColor="text1"/>
          <w:lang w:val="hy-AM" w:eastAsia="ru-RU"/>
        </w:rPr>
      </w:pPr>
    </w:p>
    <w:p w:rsidR="008B00F7" w:rsidRPr="00D67DE4" w:rsidRDefault="008B00F7" w:rsidP="008B00F7">
      <w:pPr>
        <w:numPr>
          <w:ilvl w:val="0"/>
          <w:numId w:val="1"/>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 xml:space="preserve">Յուրաքանչյուր տարի առնվազն մեկ անգամ գյուղատնտեսության բնագավառի քաղաքականությունը մշակող լիազոր մարմինն իրականացնում է </w:t>
      </w:r>
      <w:r w:rsidRPr="00D67DE4">
        <w:rPr>
          <w:rFonts w:eastAsia="Times New Roman" w:cs="Times New Roman"/>
          <w:color w:val="000000" w:themeColor="text1"/>
          <w:lang w:val="hy-AM" w:eastAsia="ru-RU"/>
        </w:rPr>
        <w:t xml:space="preserve">գյուղատնտեսական նշանակության </w:t>
      </w:r>
      <w:r w:rsidRPr="00D67DE4">
        <w:rPr>
          <w:rFonts w:eastAsia="Times New Roman" w:cs="Sylfaen"/>
          <w:color w:val="000000" w:themeColor="text1"/>
          <w:shd w:val="clear" w:color="auto" w:fill="FFFFFF"/>
          <w:lang w:val="hy-AM" w:eastAsia="ru-RU"/>
        </w:rPr>
        <w:t xml:space="preserve">չօգտագործվող հողերի դիտարկում: Դիտարկումն իրականացվում է համայնքի վարչական սահմաններում համայնքի ղեկավարի, Երևան քաղաքում՝ Երևանի քաղաքապետի, իսկ </w:t>
      </w:r>
      <w:r w:rsidRPr="00CF7573">
        <w:rPr>
          <w:rFonts w:eastAsia="Times New Roman" w:cs="Sylfaen"/>
          <w:color w:val="000000" w:themeColor="text1"/>
          <w:shd w:val="clear" w:color="auto" w:fill="FFFFFF"/>
          <w:lang w:val="hy-AM" w:eastAsia="ru-RU"/>
        </w:rPr>
        <w:t xml:space="preserve">համայնքի վարչական սահմանից դուրս՝ մարզպետի կամ նրանց կողմից նշանակված ներկայացուցչի </w:t>
      </w:r>
      <w:r w:rsidRPr="00D67DE4">
        <w:rPr>
          <w:rFonts w:eastAsia="Times New Roman" w:cs="Sylfaen"/>
          <w:color w:val="000000" w:themeColor="text1"/>
          <w:shd w:val="clear" w:color="auto" w:fill="FFFFFF"/>
          <w:lang w:val="hy-AM" w:eastAsia="ru-RU"/>
        </w:rPr>
        <w:t>մասնակցությամբ։</w:t>
      </w:r>
    </w:p>
    <w:p w:rsidR="008B00F7" w:rsidRPr="00D67DE4" w:rsidRDefault="008B00F7" w:rsidP="008B00F7">
      <w:pPr>
        <w:numPr>
          <w:ilvl w:val="0"/>
          <w:numId w:val="1"/>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Դիտարկումն իրականացվում է գյուղատնտեսության բնագավառի քաղաքականությունը մշակող լիազոր մարմնի կողմից ընդունված դիտարկումների ժամանակացույցին համապատասխան, որը հրապարակվում է գյուղատնտեսության բնագավառի քաղաքականությունը մշակող լիազոր մարմնի պաշտոնական կայքում, ինչպես նաև փակցվում է համապատասխան համայնքի աշխատակազմի կամ մարզպետարանի վարչական շենքում՝ յուրաքանչյուր անձի համար տեսանելի հատվածում:</w:t>
      </w:r>
    </w:p>
    <w:p w:rsidR="008B00F7" w:rsidRPr="00D67DE4" w:rsidRDefault="008B00F7" w:rsidP="008B00F7">
      <w:pPr>
        <w:numPr>
          <w:ilvl w:val="0"/>
          <w:numId w:val="1"/>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Յուրաքանչյուր տարվա դիտարկումների ժամանակացույցը հրապարակվում է մինչև տվյալ տարվա հունվարի 20-ը:</w:t>
      </w:r>
    </w:p>
    <w:p w:rsidR="008B00F7" w:rsidRPr="00D67DE4" w:rsidRDefault="008B00F7" w:rsidP="008B00F7">
      <w:pPr>
        <w:numPr>
          <w:ilvl w:val="0"/>
          <w:numId w:val="1"/>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Դիտարկման ժամանակացույցի հրապարակումը համարվում է պատշաճ ծանուցում հողամասի սեփականատերերի</w:t>
      </w:r>
      <w:r>
        <w:rPr>
          <w:rFonts w:eastAsia="Times New Roman" w:cs="Sylfaen"/>
          <w:color w:val="000000" w:themeColor="text1"/>
          <w:shd w:val="clear" w:color="auto" w:fill="FFFFFF"/>
          <w:lang w:val="hy-AM" w:eastAsia="ru-RU"/>
        </w:rPr>
        <w:t xml:space="preserve"> </w:t>
      </w:r>
      <w:r w:rsidRPr="00D67DE4">
        <w:rPr>
          <w:rFonts w:eastAsia="Times New Roman" w:cs="Sylfaen"/>
          <w:color w:val="000000" w:themeColor="text1"/>
          <w:shd w:val="clear" w:color="auto" w:fill="FFFFFF"/>
          <w:lang w:val="hy-AM" w:eastAsia="ru-RU"/>
        </w:rPr>
        <w:t>համար: Հողամասի սեփականատերերը համարվում են պատշաճ ծանուցված դիտարկման ժամանակացույցի հրապարակումից հետո 5-րդ օրը:</w:t>
      </w:r>
    </w:p>
    <w:p w:rsidR="008B00F7" w:rsidRPr="00D67DE4" w:rsidRDefault="008B00F7" w:rsidP="008B00F7">
      <w:pPr>
        <w:numPr>
          <w:ilvl w:val="0"/>
          <w:numId w:val="1"/>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Դիտարկումը փաստացի կարող է սկսվել հողամասի սեփականատերերի</w:t>
      </w:r>
      <w:r>
        <w:rPr>
          <w:rFonts w:eastAsia="Times New Roman" w:cs="Sylfaen"/>
          <w:color w:val="000000" w:themeColor="text1"/>
          <w:shd w:val="clear" w:color="auto" w:fill="FFFFFF"/>
          <w:lang w:val="hy-AM" w:eastAsia="ru-RU"/>
        </w:rPr>
        <w:t xml:space="preserve"> </w:t>
      </w:r>
      <w:r w:rsidRPr="00196C3A">
        <w:rPr>
          <w:rFonts w:eastAsia="Times New Roman" w:cs="Sylfaen"/>
          <w:color w:val="000000" w:themeColor="text1"/>
          <w:shd w:val="clear" w:color="auto" w:fill="FFFFFF"/>
          <w:lang w:val="hy-AM" w:eastAsia="ru-RU"/>
        </w:rPr>
        <w:t>(</w:t>
      </w:r>
      <w:r>
        <w:rPr>
          <w:rFonts w:eastAsia="Times New Roman" w:cs="Sylfaen"/>
          <w:color w:val="000000" w:themeColor="text1"/>
          <w:shd w:val="clear" w:color="auto" w:fill="FFFFFF"/>
          <w:lang w:val="hy-AM" w:eastAsia="ru-RU"/>
        </w:rPr>
        <w:t>օգտագործողների</w:t>
      </w:r>
      <w:r w:rsidRPr="00196C3A">
        <w:rPr>
          <w:rFonts w:eastAsia="Times New Roman" w:cs="Sylfaen"/>
          <w:color w:val="000000" w:themeColor="text1"/>
          <w:shd w:val="clear" w:color="auto" w:fill="FFFFFF"/>
          <w:lang w:val="hy-AM" w:eastAsia="ru-RU"/>
        </w:rPr>
        <w:t>)</w:t>
      </w:r>
      <w:r w:rsidRPr="00D67DE4">
        <w:rPr>
          <w:rFonts w:eastAsia="Times New Roman" w:cs="Sylfaen"/>
          <w:color w:val="000000" w:themeColor="text1"/>
          <w:shd w:val="clear" w:color="auto" w:fill="FFFFFF"/>
          <w:lang w:val="hy-AM" w:eastAsia="ru-RU"/>
        </w:rPr>
        <w:t xml:space="preserve"> պատշաճ ծանուցումն ապահովելուց առնվազն 5 օր հետո:</w:t>
      </w:r>
    </w:p>
    <w:p w:rsidR="008B00F7" w:rsidRPr="00D67DE4" w:rsidRDefault="008B00F7" w:rsidP="008B00F7">
      <w:pPr>
        <w:numPr>
          <w:ilvl w:val="0"/>
          <w:numId w:val="1"/>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Դիտարկումն իրականացվում է հողամասը դրա գտնվելու վայրում փաստացի դիտելու, իսկ անհրաժեշտության դեպքում հողից նմուշառում կատարելու, հողամասը լուսանկարահանելու, տեսանկարահանելու, չափագրումներ իրականացնելու</w:t>
      </w:r>
      <w:r w:rsidRPr="0023494B">
        <w:rPr>
          <w:rFonts w:eastAsia="Times New Roman" w:cs="Sylfaen"/>
          <w:color w:val="000000" w:themeColor="text1"/>
          <w:shd w:val="clear" w:color="auto" w:fill="FFFFFF"/>
          <w:lang w:val="hy-AM" w:eastAsia="ru-RU"/>
        </w:rPr>
        <w:t xml:space="preserve"> և</w:t>
      </w:r>
      <w:r w:rsidRPr="00A12790">
        <w:rPr>
          <w:rFonts w:eastAsia="Times New Roman" w:cs="Sylfaen"/>
          <w:color w:val="000000" w:themeColor="text1"/>
          <w:shd w:val="clear" w:color="auto" w:fill="FFFFFF"/>
          <w:lang w:val="hy-AM" w:eastAsia="ru-RU"/>
        </w:rPr>
        <w:t>/կամ</w:t>
      </w:r>
      <w:r w:rsidRPr="00D67DE4">
        <w:rPr>
          <w:rFonts w:eastAsia="Times New Roman" w:cs="Sylfaen"/>
          <w:color w:val="000000" w:themeColor="text1"/>
          <w:shd w:val="clear" w:color="auto" w:fill="FFFFFF"/>
          <w:lang w:val="hy-AM" w:eastAsia="ru-RU"/>
        </w:rPr>
        <w:t xml:space="preserve"> փաստաթղթեր վերցնելու միջոցով:</w:t>
      </w:r>
    </w:p>
    <w:p w:rsidR="008B00F7" w:rsidRPr="00D67DE4" w:rsidRDefault="008B00F7" w:rsidP="008B00F7">
      <w:pPr>
        <w:numPr>
          <w:ilvl w:val="0"/>
          <w:numId w:val="1"/>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Դիտարկումն իրականացվում է հողամասի սեփականատիրոջ</w:t>
      </w:r>
      <w:r>
        <w:rPr>
          <w:rFonts w:eastAsia="Times New Roman" w:cs="Sylfaen"/>
          <w:color w:val="000000" w:themeColor="text1"/>
          <w:shd w:val="clear" w:color="auto" w:fill="FFFFFF"/>
          <w:lang w:val="hy-AM" w:eastAsia="ru-RU"/>
        </w:rPr>
        <w:t xml:space="preserve"> </w:t>
      </w:r>
      <w:r w:rsidRPr="00D67DE4">
        <w:rPr>
          <w:rFonts w:eastAsia="Times New Roman" w:cs="Sylfaen"/>
          <w:color w:val="000000" w:themeColor="text1"/>
          <w:shd w:val="clear" w:color="auto" w:fill="FFFFFF"/>
          <w:lang w:val="hy-AM" w:eastAsia="ru-RU"/>
        </w:rPr>
        <w:t>կամ նրա կողմից լիազորված անձի մասնակցությամբ՝ բացառությամբ սույն կարգի 8-րդ մասով նախատեսված դեպքերի:</w:t>
      </w:r>
    </w:p>
    <w:p w:rsidR="008B00F7" w:rsidRPr="00D67DE4" w:rsidRDefault="008B00F7" w:rsidP="008B00F7">
      <w:pPr>
        <w:numPr>
          <w:ilvl w:val="0"/>
          <w:numId w:val="1"/>
        </w:numPr>
        <w:tabs>
          <w:tab w:val="left" w:pos="851"/>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lastRenderedPageBreak/>
        <w:t>Եթե հողամասի սեփականատերը բացակայում է Հայաստանի Հանրապետությունից, հողամասի սեփականատերն անհայտ է կամ այլ պատճառով չի կարող մասնակցել դիտարկմանը և չունի ներկայացուցիչ, ապա դիտարկումն իրականացվում է առանց սեփականատիրոջ մասնակցության:</w:t>
      </w:r>
    </w:p>
    <w:p w:rsidR="008B00F7" w:rsidRPr="00D67DE4" w:rsidRDefault="008B00F7" w:rsidP="008B00F7">
      <w:pPr>
        <w:numPr>
          <w:ilvl w:val="0"/>
          <w:numId w:val="1"/>
        </w:numPr>
        <w:tabs>
          <w:tab w:val="left" w:pos="851"/>
          <w:tab w:val="left" w:pos="990"/>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Հողամասի սեփականատերն օգտվում է սույն օրենքով սահմանված ստուգվող անձի իրավունքներից և ունի նրա համար սահմանված պարտականություններ։</w:t>
      </w:r>
    </w:p>
    <w:p w:rsidR="008B00F7" w:rsidRPr="00D67DE4" w:rsidRDefault="008B00F7" w:rsidP="008B00F7">
      <w:pPr>
        <w:numPr>
          <w:ilvl w:val="0"/>
          <w:numId w:val="1"/>
        </w:numPr>
        <w:tabs>
          <w:tab w:val="left" w:pos="993"/>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Դիտարկում իրականացնող անձինք օգտվում են սույն օրենքով սահմանված ստուգող անձանց իրավունքներից և ունեն նրանց համար սահմանված պարտականություններ։</w:t>
      </w:r>
    </w:p>
    <w:p w:rsidR="008B00F7" w:rsidRPr="00D67DE4" w:rsidRDefault="008B00F7" w:rsidP="008B00F7">
      <w:pPr>
        <w:tabs>
          <w:tab w:val="left" w:pos="993"/>
        </w:tabs>
        <w:spacing w:line="276" w:lineRule="auto"/>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12. Դիտարկումը պետք է իրականացվի այնպես, որ չխոչընդոտի հողամասի բնականոն օգտագործմանը:</w:t>
      </w:r>
    </w:p>
    <w:p w:rsidR="008B00F7" w:rsidRPr="00D67DE4" w:rsidRDefault="008B00F7" w:rsidP="008B00F7">
      <w:pPr>
        <w:tabs>
          <w:tab w:val="left" w:pos="993"/>
        </w:tabs>
        <w:spacing w:line="276" w:lineRule="auto"/>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13</w:t>
      </w:r>
      <w:r w:rsidRPr="00E810B4">
        <w:rPr>
          <w:rFonts w:ascii="Cambria Math" w:eastAsia="Times New Roman" w:hAnsi="Cambria Math" w:cs="Cambria Math"/>
          <w:color w:val="000000" w:themeColor="text1"/>
          <w:shd w:val="clear" w:color="auto" w:fill="FFFFFF"/>
          <w:lang w:val="hy-AM" w:eastAsia="ru-RU"/>
        </w:rPr>
        <w:t>.</w:t>
      </w:r>
      <w:r w:rsidRPr="00E810B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Դիտարկման</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իրա</w:t>
      </w:r>
      <w:r w:rsidRPr="00D67DE4">
        <w:rPr>
          <w:rFonts w:eastAsia="Times New Roman" w:cs="Sylfaen"/>
          <w:color w:val="000000" w:themeColor="text1"/>
          <w:shd w:val="clear" w:color="auto" w:fill="FFFFFF"/>
          <w:lang w:val="hy-AM" w:eastAsia="ru-RU"/>
        </w:rPr>
        <w:t>կանացման արդյունքներով կազմվում է արձանագրություն, որտեղ նշվում են դիտարկում իրականացնող անձանց անունները և պաշտոնը, հողամասի սեփականատիրոջ</w:t>
      </w:r>
      <w:r w:rsidRPr="00E810B4">
        <w:rPr>
          <w:rFonts w:eastAsia="Times New Roman" w:cs="Sylfaen"/>
          <w:color w:val="000000" w:themeColor="text1"/>
          <w:shd w:val="clear" w:color="auto" w:fill="FFFFFF"/>
          <w:lang w:val="hy-AM" w:eastAsia="ru-RU"/>
        </w:rPr>
        <w:t xml:space="preserve"> </w:t>
      </w:r>
      <w:r w:rsidRPr="00196C3A">
        <w:rPr>
          <w:rFonts w:eastAsia="Times New Roman" w:cs="Sylfaen"/>
          <w:color w:val="000000" w:themeColor="text1"/>
          <w:shd w:val="clear" w:color="auto" w:fill="FFFFFF"/>
          <w:lang w:val="hy-AM" w:eastAsia="ru-RU"/>
        </w:rPr>
        <w:t>(</w:t>
      </w:r>
      <w:r>
        <w:rPr>
          <w:rFonts w:eastAsia="Times New Roman" w:cs="Sylfaen"/>
          <w:color w:val="000000" w:themeColor="text1"/>
          <w:shd w:val="clear" w:color="auto" w:fill="FFFFFF"/>
          <w:lang w:val="hy-AM" w:eastAsia="ru-RU"/>
        </w:rPr>
        <w:t>օգտագործողի</w:t>
      </w:r>
      <w:r w:rsidRPr="00196C3A">
        <w:rPr>
          <w:rFonts w:eastAsia="Times New Roman" w:cs="Sylfaen"/>
          <w:color w:val="000000" w:themeColor="text1"/>
          <w:shd w:val="clear" w:color="auto" w:fill="FFFFFF"/>
          <w:lang w:val="hy-AM" w:eastAsia="ru-RU"/>
        </w:rPr>
        <w:t>)</w:t>
      </w:r>
      <w:r w:rsidRPr="00D67DE4">
        <w:rPr>
          <w:rFonts w:eastAsia="Times New Roman" w:cs="Sylfaen"/>
          <w:color w:val="000000" w:themeColor="text1"/>
          <w:shd w:val="clear" w:color="auto" w:fill="FFFFFF"/>
          <w:lang w:val="hy-AM" w:eastAsia="ru-RU"/>
        </w:rPr>
        <w:t xml:space="preserve">  անունը (անվանումը), դիտարկմանը մասնակցած անձանց անունները, դիտարկման իրականացման ժամանակը և վայրը, դիտարկման արդյունքները:</w:t>
      </w:r>
    </w:p>
    <w:p w:rsidR="008B00F7" w:rsidRPr="00D67DE4" w:rsidRDefault="008B00F7" w:rsidP="008B00F7">
      <w:pPr>
        <w:tabs>
          <w:tab w:val="left" w:pos="993"/>
        </w:tabs>
        <w:spacing w:line="276" w:lineRule="auto"/>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14</w:t>
      </w:r>
      <w:r w:rsidRPr="00E810B4">
        <w:rPr>
          <w:rFonts w:ascii="Cambria Math" w:eastAsia="Times New Roman" w:hAnsi="Cambria Math" w:cs="Cambria Math"/>
          <w:color w:val="000000" w:themeColor="text1"/>
          <w:shd w:val="clear" w:color="auto" w:fill="FFFFFF"/>
          <w:lang w:val="hy-AM" w:eastAsia="ru-RU"/>
        </w:rPr>
        <w:t>.</w:t>
      </w:r>
      <w:r w:rsidRPr="00D67DE4">
        <w:rPr>
          <w:rFonts w:eastAsia="Times New Roman" w:cs="GHEA Grapalat"/>
          <w:color w:val="000000" w:themeColor="text1"/>
          <w:shd w:val="clear" w:color="auto" w:fill="FFFFFF"/>
          <w:lang w:val="hy-AM" w:eastAsia="ru-RU"/>
        </w:rPr>
        <w:t>Դիտարկման</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արձանագրությունը</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ստորագրում</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են</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դիտարկում</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իրականացրած</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պաշտոնատար</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անձինք</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հողամասի</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սեփականատերը</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կամ</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նրա</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ներկայացուցիչը</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իսկ</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եթե</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հողամասի</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սեփականատերը</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կան</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նրա</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ներկայացուցիչը</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չի</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մասնակցել</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հողամասի</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դիտարկմանը</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ապա</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դրա</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մասին</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նշում</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է</w:t>
      </w:r>
      <w:r w:rsidRPr="00D67DE4">
        <w:rPr>
          <w:rFonts w:eastAsia="Times New Roman" w:cs="Sylfaen"/>
          <w:color w:val="000000" w:themeColor="text1"/>
          <w:shd w:val="clear" w:color="auto" w:fill="FFFFFF"/>
          <w:lang w:val="hy-AM" w:eastAsia="ru-RU"/>
        </w:rPr>
        <w:t xml:space="preserve"> </w:t>
      </w:r>
      <w:r w:rsidRPr="00D67DE4">
        <w:rPr>
          <w:rFonts w:eastAsia="Times New Roman" w:cs="GHEA Grapalat"/>
          <w:color w:val="000000" w:themeColor="text1"/>
          <w:shd w:val="clear" w:color="auto" w:fill="FFFFFF"/>
          <w:lang w:val="hy-AM" w:eastAsia="ru-RU"/>
        </w:rPr>
        <w:t>կատարվում</w:t>
      </w:r>
      <w:r w:rsidRPr="00D67DE4">
        <w:rPr>
          <w:rFonts w:eastAsia="Times New Roman" w:cs="Sylfaen"/>
          <w:color w:val="000000" w:themeColor="text1"/>
          <w:shd w:val="clear" w:color="auto" w:fill="FFFFFF"/>
          <w:lang w:val="hy-AM" w:eastAsia="ru-RU"/>
        </w:rPr>
        <w:t xml:space="preserve"> արձանագրության մեջ՝ նշելով նրանց բացակայության պատճառները, եթե դրանք հայտնի են դիտարկում իրականացնող անձանց:</w:t>
      </w:r>
    </w:p>
    <w:p w:rsidR="008B00F7" w:rsidRPr="00D67DE4" w:rsidRDefault="008B00F7" w:rsidP="008B00F7">
      <w:pPr>
        <w:numPr>
          <w:ilvl w:val="0"/>
          <w:numId w:val="2"/>
        </w:numPr>
        <w:tabs>
          <w:tab w:val="left" w:pos="993"/>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Դիտարկման արձանագրությանը կարող են կցվե</w:t>
      </w:r>
      <w:r>
        <w:rPr>
          <w:rFonts w:eastAsia="Times New Roman" w:cs="Sylfaen"/>
          <w:color w:val="000000" w:themeColor="text1"/>
          <w:shd w:val="clear" w:color="auto" w:fill="FFFFFF"/>
          <w:lang w:val="hy-AM" w:eastAsia="ru-RU"/>
        </w:rPr>
        <w:t>լ լուսանկարներ, տեսաժապավեններ</w:t>
      </w:r>
      <w:r w:rsidRPr="0023494B">
        <w:rPr>
          <w:rFonts w:eastAsia="Times New Roman" w:cs="Sylfaen"/>
          <w:color w:val="000000" w:themeColor="text1"/>
          <w:shd w:val="clear" w:color="auto" w:fill="FFFFFF"/>
          <w:lang w:val="hy-AM" w:eastAsia="ru-RU"/>
        </w:rPr>
        <w:t xml:space="preserve"> և</w:t>
      </w:r>
      <w:r w:rsidRPr="00A12790">
        <w:rPr>
          <w:rFonts w:eastAsia="Times New Roman" w:cs="Sylfaen"/>
          <w:color w:val="000000" w:themeColor="text1"/>
          <w:shd w:val="clear" w:color="auto" w:fill="FFFFFF"/>
          <w:lang w:val="hy-AM" w:eastAsia="ru-RU"/>
        </w:rPr>
        <w:t>/կամ</w:t>
      </w:r>
      <w:r w:rsidRPr="0023494B">
        <w:rPr>
          <w:rFonts w:eastAsia="Times New Roman" w:cs="Sylfaen"/>
          <w:color w:val="000000" w:themeColor="text1"/>
          <w:shd w:val="clear" w:color="auto" w:fill="FFFFFF"/>
          <w:lang w:val="hy-AM" w:eastAsia="ru-RU"/>
        </w:rPr>
        <w:t xml:space="preserve"> </w:t>
      </w:r>
      <w:r w:rsidRPr="00D67DE4">
        <w:rPr>
          <w:rFonts w:eastAsia="Times New Roman" w:cs="Sylfaen"/>
          <w:color w:val="000000" w:themeColor="text1"/>
          <w:shd w:val="clear" w:color="auto" w:fill="FFFFFF"/>
          <w:lang w:val="hy-AM" w:eastAsia="ru-RU"/>
        </w:rPr>
        <w:t>փաստաթղթեր:</w:t>
      </w:r>
    </w:p>
    <w:p w:rsidR="008B00F7" w:rsidRPr="00D67DE4" w:rsidRDefault="008B00F7" w:rsidP="008B00F7">
      <w:pPr>
        <w:numPr>
          <w:ilvl w:val="0"/>
          <w:numId w:val="2"/>
        </w:numPr>
        <w:tabs>
          <w:tab w:val="left" w:pos="993"/>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Դիտարկման արդյունքներն ամփոփելուց հետո ոչ ուշ, քան մեկ ամսվա ընթացքում գյուղատնտեսության բնագավառի քաղաքականությունը մշակող լիազոր մարմինը որոշում է ընդունում գյուղատնտեսական նշանակության հողամասը որպես չօգտագործվող հաշվառելու վերաբերյալ, եթե առկա են համապատասխան չափանիշները:</w:t>
      </w:r>
    </w:p>
    <w:p w:rsidR="008B00F7" w:rsidRPr="00D67DE4" w:rsidRDefault="008B00F7" w:rsidP="008B00F7">
      <w:pPr>
        <w:numPr>
          <w:ilvl w:val="0"/>
          <w:numId w:val="2"/>
        </w:numPr>
        <w:tabs>
          <w:tab w:val="left" w:pos="993"/>
        </w:tabs>
        <w:spacing w:line="276" w:lineRule="auto"/>
        <w:ind w:left="0" w:firstLine="567"/>
        <w:contextualSpacing/>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 xml:space="preserve"> Որոշումը հողամասի սեփականատիրոջն է ուղարկվում նրա հաշվառման (գտնվելու) վայրի հասցեով</w:t>
      </w:r>
      <w:r w:rsidRPr="007E6389">
        <w:rPr>
          <w:rFonts w:eastAsia="Times New Roman" w:cs="Sylfaen"/>
          <w:color w:val="000000" w:themeColor="text1"/>
          <w:shd w:val="clear" w:color="auto" w:fill="FFFFFF"/>
          <w:lang w:val="hy-AM" w:eastAsia="ru-RU"/>
        </w:rPr>
        <w:t>՝</w:t>
      </w:r>
      <w:r w:rsidRPr="00D67DE4">
        <w:rPr>
          <w:rFonts w:eastAsia="Times New Roman" w:cs="Sylfaen"/>
          <w:color w:val="000000" w:themeColor="text1"/>
          <w:shd w:val="clear" w:color="auto" w:fill="FFFFFF"/>
          <w:lang w:val="hy-AM" w:eastAsia="ru-RU"/>
        </w:rPr>
        <w:t xml:space="preserve"> ընդունվելուց հետո 5 աշխատանքային օրվա ընթացքում՝ փոստային առաքման կամ առձեռն հանձնելու միջոցով, եթե որոշման հասցեատերը ծանուցման այլ ձևի վերաբերյալ գրավոր չի հայտնել: Եթե հողամասի սեփականատերը կամ նրա գտնվելու վայրն անհայտ է կամ որոշումը մեկ անգամ չի ստացվել որոշման հասցեատիրոջ հաշվառման (գտնվելու) վայրի հասցեով, ապա որոշումն ուղարկվում է նրա վերջին հայտնի բնակության (գտնվելու) վայրի հասցեով և հրապարակվում է հրապարակային ծանուցումների պաշտոնական ինտերնետային կայքում։</w:t>
      </w:r>
    </w:p>
    <w:p w:rsidR="008B00F7" w:rsidRPr="00D67DE4" w:rsidRDefault="008B00F7" w:rsidP="008B00F7">
      <w:pPr>
        <w:tabs>
          <w:tab w:val="left" w:pos="993"/>
        </w:tabs>
        <w:spacing w:line="276" w:lineRule="auto"/>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18</w:t>
      </w:r>
      <w:r w:rsidRPr="009C72E3">
        <w:rPr>
          <w:rFonts w:ascii="Cambria Math" w:eastAsia="Times New Roman" w:hAnsi="Cambria Math" w:cs="Cambria Math"/>
          <w:color w:val="000000" w:themeColor="text1"/>
          <w:shd w:val="clear" w:color="auto" w:fill="FFFFFF"/>
          <w:lang w:val="hy-AM" w:eastAsia="ru-RU"/>
        </w:rPr>
        <w:t>.</w:t>
      </w:r>
      <w:r w:rsidRPr="00D67DE4">
        <w:rPr>
          <w:rFonts w:ascii="Cambria Math" w:eastAsia="Times New Roman" w:hAnsi="Cambria Math" w:cs="Cambria Math"/>
          <w:color w:val="000000" w:themeColor="text1"/>
          <w:shd w:val="clear" w:color="auto" w:fill="FFFFFF"/>
          <w:lang w:val="hy-AM" w:eastAsia="ru-RU"/>
        </w:rPr>
        <w:t xml:space="preserve"> </w:t>
      </w:r>
      <w:r w:rsidRPr="00D67DE4">
        <w:rPr>
          <w:rFonts w:eastAsia="Times New Roman" w:cs="Sylfaen"/>
          <w:color w:val="000000" w:themeColor="text1"/>
          <w:shd w:val="clear" w:color="auto" w:fill="FFFFFF"/>
          <w:lang w:val="hy-AM" w:eastAsia="ru-RU"/>
        </w:rPr>
        <w:t>Որոշումը կարող է բողոքարկվել վարչա</w:t>
      </w:r>
      <w:r>
        <w:rPr>
          <w:rFonts w:eastAsia="Times New Roman" w:cs="Sylfaen"/>
          <w:color w:val="000000" w:themeColor="text1"/>
          <w:shd w:val="clear" w:color="auto" w:fill="FFFFFF"/>
          <w:lang w:val="hy-AM" w:eastAsia="ru-RU"/>
        </w:rPr>
        <w:t xml:space="preserve">կան կարգով կամ դատարան՝ </w:t>
      </w:r>
      <w:r w:rsidRPr="00D67DE4">
        <w:rPr>
          <w:rFonts w:eastAsia="Times New Roman" w:cs="Sylfaen"/>
          <w:color w:val="000000" w:themeColor="text1"/>
          <w:shd w:val="clear" w:color="auto" w:fill="FFFFFF"/>
          <w:lang w:val="hy-AM" w:eastAsia="ru-RU"/>
        </w:rPr>
        <w:t>սահմանված կարգով և ժամկետներում։</w:t>
      </w:r>
    </w:p>
    <w:p w:rsidR="008B00F7" w:rsidRPr="00D67DE4" w:rsidRDefault="008B00F7" w:rsidP="008B00F7">
      <w:pPr>
        <w:tabs>
          <w:tab w:val="left" w:pos="993"/>
        </w:tabs>
        <w:spacing w:line="276" w:lineRule="auto"/>
        <w:jc w:val="both"/>
        <w:rPr>
          <w:rFonts w:eastAsia="Times New Roman" w:cs="Sylfaen"/>
          <w:color w:val="000000" w:themeColor="text1"/>
          <w:shd w:val="clear" w:color="auto" w:fill="FFFFFF"/>
          <w:lang w:val="hy-AM" w:eastAsia="ru-RU"/>
        </w:rPr>
      </w:pPr>
      <w:r w:rsidRPr="00D67DE4">
        <w:rPr>
          <w:rFonts w:eastAsia="Times New Roman" w:cs="Sylfaen"/>
          <w:color w:val="000000" w:themeColor="text1"/>
          <w:shd w:val="clear" w:color="auto" w:fill="FFFFFF"/>
          <w:lang w:val="hy-AM" w:eastAsia="ru-RU"/>
        </w:rPr>
        <w:t>19. Որոշումն ուժի մեջ մտնելուց հետո հողամասի սեփականատերը կարող է ներկայացնել ապացույցներ, որոնք հիմնավորում են որոշումն ուժի մեջ մտնելուց հետո ընկած ժամանակահատվածում հողամասն օգտագործելու փաստը, ինչպես նաև դիմել գյուղատնտեսության բնագավառի քաղաքականությունը մշակող լիազոր մարմնին այդ նպատակով դիտարկում իրականացնելու համար։ Սույն  կետում նշված դիտարկման վրա տարածվում են սույն հավելվածով սահմանված կարգավորումները՝ բացառությամբ հողամասի սեփականատիրոջը ծանուցելու վերաբերյալ դրույթների։</w:t>
      </w:r>
      <w:r w:rsidRPr="00CF7573">
        <w:rPr>
          <w:rFonts w:eastAsia="Times New Roman" w:cs="Sylfaen"/>
          <w:color w:val="000000" w:themeColor="text1"/>
          <w:shd w:val="clear" w:color="auto" w:fill="FFFFFF"/>
          <w:lang w:val="hy-AM" w:eastAsia="ru-RU"/>
        </w:rPr>
        <w:t>»</w:t>
      </w:r>
    </w:p>
    <w:p w:rsidR="000247AD" w:rsidRDefault="008B00F7">
      <w:bookmarkStart w:id="0" w:name="_GoBack"/>
      <w:bookmarkEnd w:id="0"/>
    </w:p>
    <w:sectPr w:rsidR="000247AD">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BBF"/>
    <w:multiLevelType w:val="hybridMultilevel"/>
    <w:tmpl w:val="8D48A24E"/>
    <w:lvl w:ilvl="0" w:tplc="D61803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4FF26DB"/>
    <w:multiLevelType w:val="hybridMultilevel"/>
    <w:tmpl w:val="E02207EC"/>
    <w:lvl w:ilvl="0" w:tplc="1E7CC3E6">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comment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0F7"/>
    <w:rsid w:val="00210637"/>
    <w:rsid w:val="007C0146"/>
    <w:rsid w:val="008B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0F7"/>
    <w:pPr>
      <w:spacing w:after="0" w:line="360" w:lineRule="auto"/>
      <w:ind w:firstLine="567"/>
    </w:pPr>
    <w:rPr>
      <w:rFonts w:ascii="GHEA Grapalat" w:hAnsi="GHEA Grapala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0F7"/>
    <w:pPr>
      <w:spacing w:after="0" w:line="360" w:lineRule="auto"/>
      <w:ind w:firstLine="567"/>
    </w:pPr>
    <w:rPr>
      <w:rFonts w:ascii="GHEA Grapalat" w:hAnsi="GHEA Grapala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 Khachatryan</dc:creator>
  <cp:lastModifiedBy>Ekaterina Khachatryan</cp:lastModifiedBy>
  <cp:revision>1</cp:revision>
  <dcterms:created xsi:type="dcterms:W3CDTF">2019-09-24T08:09:00Z</dcterms:created>
  <dcterms:modified xsi:type="dcterms:W3CDTF">2019-09-24T08:09:00Z</dcterms:modified>
</cp:coreProperties>
</file>