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56" w:rsidRPr="00066A84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bCs/>
          <w:color w:val="000000"/>
          <w:lang w:val="hy-AM"/>
        </w:rPr>
      </w:pPr>
    </w:p>
    <w:p w:rsidR="00A64056" w:rsidRPr="00066A84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066A84">
        <w:rPr>
          <w:rFonts w:ascii="GHEA Grapalat" w:hAnsi="GHEA Grapalat"/>
          <w:b/>
          <w:bCs/>
          <w:color w:val="000000"/>
          <w:lang w:val="hy-AM"/>
        </w:rPr>
        <w:t>ՀԱՅԱՍՏԱՆԻ ՀԱՆՐԱՊԵՏՈՒԹՅԱՆ ԿԱՌԱՎԱՐՈՒԹՅՈՒՆ</w:t>
      </w:r>
    </w:p>
    <w:p w:rsidR="00A64056" w:rsidRPr="00066A84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066A84">
        <w:rPr>
          <w:rFonts w:ascii="Calibri" w:hAnsi="Calibri" w:cs="Calibri"/>
          <w:b/>
          <w:color w:val="000000"/>
          <w:lang w:val="hy-AM"/>
        </w:rPr>
        <w:t> </w:t>
      </w:r>
    </w:p>
    <w:p w:rsidR="00A64056" w:rsidRPr="00066A84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066A84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:rsidR="00A64056" w:rsidRPr="00066A84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/>
        </w:rPr>
      </w:pPr>
      <w:r w:rsidRPr="00066A84">
        <w:rPr>
          <w:rFonts w:ascii="Calibri" w:hAnsi="Calibri" w:cs="Calibri"/>
          <w:color w:val="000000"/>
          <w:lang w:val="hy-AM"/>
        </w:rPr>
        <w:t> </w:t>
      </w:r>
    </w:p>
    <w:p w:rsidR="00A64056" w:rsidRPr="00114CB4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/>
        </w:rPr>
      </w:pPr>
      <w:r w:rsidRPr="00066A84">
        <w:rPr>
          <w:rFonts w:ascii="GHEA Grapalat" w:hAnsi="GHEA Grapalat"/>
          <w:color w:val="000000"/>
          <w:lang w:val="hy-AM"/>
        </w:rPr>
        <w:t>«</w:t>
      </w:r>
      <w:r w:rsidRPr="00066A84">
        <w:rPr>
          <w:rFonts w:ascii="GHEA Grapalat" w:hAnsi="GHEA Grapalat"/>
          <w:lang w:val="hy-AM"/>
        </w:rPr>
        <w:t>----</w:t>
      </w:r>
      <w:r w:rsidRPr="00066A84">
        <w:rPr>
          <w:rFonts w:ascii="GHEA Grapalat" w:hAnsi="GHEA Grapalat"/>
          <w:color w:val="000000"/>
          <w:lang w:val="hy-AM"/>
        </w:rPr>
        <w:t>»</w:t>
      </w:r>
      <w:r w:rsidRPr="00066A84">
        <w:rPr>
          <w:rFonts w:ascii="GHEA Grapalat" w:hAnsi="GHEA Grapalat"/>
          <w:lang w:val="hy-AM"/>
        </w:rPr>
        <w:t xml:space="preserve"> -------------- </w:t>
      </w:r>
      <w:r w:rsidRPr="00066A84">
        <w:rPr>
          <w:rFonts w:ascii="GHEA Grapalat" w:hAnsi="GHEA Grapalat"/>
          <w:color w:val="000000"/>
          <w:lang w:val="hy-AM"/>
        </w:rPr>
        <w:t xml:space="preserve"> 2019 թվականի N ------  -Ն</w:t>
      </w:r>
    </w:p>
    <w:p w:rsidR="00A64056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/>
        </w:rPr>
      </w:pPr>
    </w:p>
    <w:p w:rsidR="00A64056" w:rsidRPr="00B93418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9341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ՌԱԶՄԱՎԱՐԱԿԱՆ ԷԿՈԼՈԳԻԱԿԱՆ ԳՆԱՀԱՏՄԱՆ ԿԱՐԳԸ ՍԱՀՄԱՆԵԼՈՒ </w:t>
      </w:r>
    </w:p>
    <w:p w:rsidR="00A64056" w:rsidRPr="00B93418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93418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</w:p>
    <w:p w:rsidR="00A64056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/>
        </w:rPr>
      </w:pPr>
    </w:p>
    <w:p w:rsidR="00A64056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/>
        </w:rPr>
      </w:pPr>
    </w:p>
    <w:p w:rsidR="00A64056" w:rsidRPr="00B93418" w:rsidRDefault="00A64056" w:rsidP="00A64056">
      <w:pPr>
        <w:shd w:val="clear" w:color="auto" w:fill="FFFFFF"/>
        <w:spacing w:line="276" w:lineRule="auto"/>
        <w:ind w:right="900" w:firstLine="36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B93418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«Շրջակա միջավայրի վրա ազդեցության գնահատման և փորձաքննության մասին» օրենքի 24-րդ հոդվածի 3-րդ մասը՝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93418">
        <w:rPr>
          <w:rFonts w:ascii="GHEA Grapalat" w:hAnsi="GHEA Grapalat"/>
          <w:color w:val="000000"/>
          <w:sz w:val="24"/>
          <w:szCs w:val="24"/>
          <w:lang w:val="hy-AM"/>
        </w:rPr>
        <w:t>Կառավարությունը որոշում է</w:t>
      </w:r>
      <w:r w:rsidRPr="00B93418">
        <w:rPr>
          <w:rFonts w:ascii="GHEA Grapalat" w:eastAsia="MS Mincho" w:hAnsi="MS Mincho" w:cs="MS Mincho"/>
          <w:color w:val="000000"/>
          <w:sz w:val="24"/>
          <w:szCs w:val="24"/>
          <w:lang w:val="hy-AM"/>
        </w:rPr>
        <w:t>․</w:t>
      </w:r>
    </w:p>
    <w:p w:rsidR="00A64056" w:rsidRDefault="00A64056" w:rsidP="00A64056">
      <w:pPr>
        <w:pStyle w:val="ListParagraph"/>
        <w:numPr>
          <w:ilvl w:val="0"/>
          <w:numId w:val="1"/>
        </w:numPr>
        <w:shd w:val="clear" w:color="auto" w:fill="FFFFFF"/>
        <w:ind w:right="90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</w:pPr>
      <w:r w:rsidRPr="00B93418"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  <w:t xml:space="preserve">Սահմանել 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  <w:t>ռազմավարական էկոլոգիական գնահատման կարգը՝ համաձայն հավելվածի։</w:t>
      </w:r>
    </w:p>
    <w:p w:rsidR="00A64056" w:rsidRPr="00B93418" w:rsidRDefault="00A64056" w:rsidP="00A64056">
      <w:pPr>
        <w:pStyle w:val="ListParagraph"/>
        <w:numPr>
          <w:ilvl w:val="0"/>
          <w:numId w:val="1"/>
        </w:numPr>
        <w:shd w:val="clear" w:color="auto" w:fill="FFFFFF"/>
        <w:ind w:right="90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  <w:t>Սույն որոշումն ուժի մեջ է մտնում «Շրջակա միջավայրի վրա ազդեցության գնահատման և փորձաքննության մասին» օրենքում փոփոխություն կատարելու մասին» օրենքը ուժի մեջ մտնելու պահից։</w:t>
      </w:r>
    </w:p>
    <w:p w:rsidR="00A64056" w:rsidRDefault="00A64056" w:rsidP="00A64056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Pr="009D5EEA" w:rsidRDefault="00A64056" w:rsidP="00A64056">
      <w:pPr>
        <w:pStyle w:val="mechtex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9D5EEA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</w:p>
    <w:p w:rsidR="00A64056" w:rsidRPr="009D5EEA" w:rsidRDefault="00A64056" w:rsidP="00A64056">
      <w:pPr>
        <w:pStyle w:val="mechtex"/>
        <w:ind w:left="5040"/>
        <w:jc w:val="right"/>
        <w:rPr>
          <w:rFonts w:ascii="GHEA Grapalat" w:hAnsi="GHEA Grapalat"/>
          <w:spacing w:val="4"/>
          <w:sz w:val="24"/>
          <w:szCs w:val="24"/>
          <w:lang w:val="hy-AM"/>
        </w:rPr>
      </w:pPr>
      <w:r>
        <w:rPr>
          <w:rFonts w:ascii="GHEA Grapalat" w:hAnsi="GHEA Grapalat"/>
          <w:spacing w:val="4"/>
          <w:sz w:val="24"/>
          <w:szCs w:val="24"/>
          <w:lang w:val="hy-AM"/>
        </w:rPr>
        <w:t>Կ</w:t>
      </w:r>
      <w:r w:rsidRPr="009D5EEA">
        <w:rPr>
          <w:rFonts w:ascii="GHEA Grapalat" w:hAnsi="GHEA Grapalat"/>
          <w:spacing w:val="4"/>
          <w:sz w:val="24"/>
          <w:szCs w:val="24"/>
          <w:lang w:val="hy-AM"/>
        </w:rPr>
        <w:t xml:space="preserve">առավարության </w:t>
      </w:r>
      <w:r>
        <w:rPr>
          <w:rFonts w:ascii="GHEA Grapalat" w:hAnsi="GHEA Grapalat"/>
          <w:spacing w:val="4"/>
          <w:sz w:val="24"/>
          <w:szCs w:val="24"/>
          <w:lang w:val="hy-AM"/>
        </w:rPr>
        <w:t>2019</w:t>
      </w:r>
      <w:r w:rsidRPr="009D5EEA">
        <w:rPr>
          <w:rFonts w:ascii="GHEA Grapalat" w:hAnsi="GHEA Grapalat"/>
          <w:spacing w:val="4"/>
          <w:sz w:val="24"/>
          <w:szCs w:val="24"/>
          <w:lang w:val="hy-AM"/>
        </w:rPr>
        <w:t xml:space="preserve">  թվականի</w:t>
      </w:r>
    </w:p>
    <w:p w:rsidR="00A64056" w:rsidRPr="009D5EEA" w:rsidRDefault="00A64056" w:rsidP="00A64056">
      <w:pPr>
        <w:spacing w:line="360" w:lineRule="auto"/>
        <w:jc w:val="right"/>
        <w:rPr>
          <w:rFonts w:ascii="GHEA Grapalat" w:hAnsi="GHEA Grapalat"/>
          <w:spacing w:val="-2"/>
          <w:sz w:val="24"/>
          <w:szCs w:val="24"/>
          <w:lang w:val="hy-AM"/>
        </w:rPr>
      </w:pP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--------- </w:t>
      </w:r>
      <w:r w:rsidRPr="00D67FBB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   ------- -ի</w:t>
      </w:r>
      <w:r w:rsidRPr="00D67FBB">
        <w:rPr>
          <w:rFonts w:ascii="GHEA Grapalat" w:hAnsi="GHEA Grapalat"/>
          <w:spacing w:val="-2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N   -  Ն </w:t>
      </w:r>
      <w:r w:rsidRPr="009D5EEA">
        <w:rPr>
          <w:rFonts w:ascii="GHEA Grapalat" w:hAnsi="GHEA Grapalat"/>
          <w:spacing w:val="-2"/>
          <w:sz w:val="24"/>
          <w:szCs w:val="24"/>
          <w:lang w:val="hy-AM"/>
        </w:rPr>
        <w:t>որոշման</w:t>
      </w:r>
    </w:p>
    <w:p w:rsidR="00A64056" w:rsidRPr="009D5EEA" w:rsidRDefault="00A64056" w:rsidP="00A64056">
      <w:pPr>
        <w:spacing w:line="360" w:lineRule="auto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A64056" w:rsidRPr="009D5EEA" w:rsidRDefault="00A64056" w:rsidP="00A64056">
      <w:pPr>
        <w:spacing w:line="360" w:lineRule="auto"/>
        <w:ind w:right="450"/>
        <w:jc w:val="center"/>
        <w:rPr>
          <w:rFonts w:ascii="GHEA Grapalat" w:hAnsi="GHEA Grapalat"/>
          <w:b/>
          <w:spacing w:val="-2"/>
          <w:sz w:val="24"/>
          <w:szCs w:val="24"/>
          <w:lang w:val="hy-AM"/>
        </w:rPr>
      </w:pPr>
      <w:r w:rsidRPr="009D5EEA">
        <w:rPr>
          <w:rFonts w:ascii="GHEA Grapalat" w:hAnsi="GHEA Grapalat" w:cs="Tahoma"/>
          <w:b/>
          <w:sz w:val="24"/>
          <w:szCs w:val="24"/>
          <w:lang w:val="hy-AM"/>
        </w:rPr>
        <w:t>Կ Ա Ր Գ</w:t>
      </w:r>
    </w:p>
    <w:p w:rsidR="00A64056" w:rsidRPr="009D5EEA" w:rsidRDefault="00A64056" w:rsidP="00A64056">
      <w:pPr>
        <w:pStyle w:val="mechtex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9D5EEA">
        <w:rPr>
          <w:rFonts w:ascii="GHEA Grapalat" w:hAnsi="GHEA Grapalat"/>
          <w:b/>
          <w:sz w:val="24"/>
          <w:szCs w:val="24"/>
          <w:lang w:val="hy-AM"/>
        </w:rPr>
        <w:t xml:space="preserve">ՌԱԶՄԱՎԱՐԱԿԱՆ ԷԿՈԼՈԳԻԱԿԱՆ ԳՆԱՀԱՏՄԱՆ  </w:t>
      </w:r>
    </w:p>
    <w:p w:rsidR="00A64056" w:rsidRPr="009D5EEA" w:rsidRDefault="00A64056" w:rsidP="00A64056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64056" w:rsidRPr="009D5EEA" w:rsidRDefault="00A64056" w:rsidP="00A64056">
      <w:pPr>
        <w:pStyle w:val="mechtex"/>
        <w:numPr>
          <w:ilvl w:val="0"/>
          <w:numId w:val="3"/>
        </w:numPr>
        <w:rPr>
          <w:rFonts w:ascii="GHEA Grapalat" w:hAnsi="GHEA Grapalat"/>
          <w:b/>
          <w:sz w:val="24"/>
          <w:szCs w:val="24"/>
          <w:lang w:val="hy-AM"/>
        </w:rPr>
      </w:pPr>
      <w:r w:rsidRPr="009D5EEA">
        <w:rPr>
          <w:rFonts w:ascii="GHEA Grapalat" w:hAnsi="GHEA Grapalat" w:cs="Tahoma"/>
          <w:b/>
          <w:sz w:val="24"/>
          <w:szCs w:val="24"/>
          <w:lang w:val="hy-AM"/>
        </w:rPr>
        <w:t>ԸՆԴՀԱՆՈՒՐ</w:t>
      </w:r>
      <w:r w:rsidRPr="009D5EEA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b/>
          <w:sz w:val="24"/>
          <w:szCs w:val="24"/>
          <w:lang w:val="hy-AM"/>
        </w:rPr>
        <w:t>ԴՐՈՒՅԹՆԵՐ</w:t>
      </w:r>
    </w:p>
    <w:p w:rsidR="00A64056" w:rsidRPr="009D5EEA" w:rsidRDefault="00A64056" w:rsidP="00A64056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  <w:r w:rsidRPr="009D5EEA">
        <w:rPr>
          <w:rFonts w:ascii="GHEA Grapalat" w:hAnsi="GHEA Grapalat" w:cs="Tahoma"/>
          <w:sz w:val="24"/>
          <w:szCs w:val="24"/>
          <w:lang w:val="hy-AM"/>
        </w:rPr>
        <w:t>Սույն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կարգ</w:t>
      </w:r>
      <w:r>
        <w:rPr>
          <w:rFonts w:ascii="GHEA Grapalat" w:hAnsi="GHEA Grapalat" w:cs="Tahoma"/>
          <w:sz w:val="24"/>
          <w:szCs w:val="24"/>
          <w:lang w:val="hy-AM"/>
        </w:rPr>
        <w:t>ը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կարգավորում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9D5EEA">
        <w:rPr>
          <w:rFonts w:ascii="GHEA Grapalat" w:hAnsi="GHEA Grapalat" w:cs="Tahoma"/>
          <w:sz w:val="24"/>
          <w:szCs w:val="24"/>
          <w:lang w:val="hy-AM"/>
        </w:rPr>
        <w:t>հիմնադրութային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փաստաթղթի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ռազմավարական էկոլոգիական գնահատման (</w:t>
      </w:r>
      <w:r w:rsidRPr="009D5EEA">
        <w:rPr>
          <w:rFonts w:ascii="GHEA Grapalat" w:hAnsi="GHEA Grapalat" w:cs="Tahoma"/>
          <w:sz w:val="24"/>
          <w:szCs w:val="24"/>
          <w:lang w:val="hy-AM"/>
        </w:rPr>
        <w:t>այսու</w:t>
      </w:r>
      <w:r w:rsidRPr="009D5EEA">
        <w:rPr>
          <w:rFonts w:ascii="GHEA Grapalat" w:hAnsi="GHEA Grapalat" w:cs="Tahoma"/>
          <w:sz w:val="24"/>
          <w:szCs w:val="24"/>
          <w:lang w:val="hy-AM"/>
        </w:rPr>
        <w:softHyphen/>
        <w:t>հետ՝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ՌԷԳ) </w:t>
      </w:r>
      <w:r w:rsidRPr="009D5EEA">
        <w:rPr>
          <w:rFonts w:ascii="GHEA Grapalat" w:hAnsi="GHEA Grapalat" w:cs="Tahoma"/>
          <w:sz w:val="24"/>
          <w:szCs w:val="24"/>
          <w:lang w:val="hy-AM"/>
        </w:rPr>
        <w:t>հարաբերությունները</w:t>
      </w:r>
      <w:r w:rsidRPr="009D5EEA">
        <w:rPr>
          <w:rFonts w:ascii="GHEA Grapalat" w:hAnsi="GHEA Grapalat"/>
          <w:sz w:val="24"/>
          <w:szCs w:val="24"/>
          <w:lang w:val="hy-AM"/>
        </w:rPr>
        <w:t>: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  <w:r w:rsidRPr="009D5EEA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9D5EEA">
        <w:rPr>
          <w:rFonts w:ascii="GHEA Grapalat" w:hAnsi="GHEA Grapalat" w:cs="Tahoma"/>
          <w:sz w:val="24"/>
          <w:szCs w:val="24"/>
          <w:lang w:val="hy-AM"/>
        </w:rPr>
        <w:t>Շրջակա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միջավայրի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վրա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ազդեցության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գնահատման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և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փորձաքննության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9D5EEA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օրենքի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D5EEA">
        <w:rPr>
          <w:rFonts w:ascii="GHEA Grapalat" w:hAnsi="GHEA Grapalat" w:cs="Tahoma"/>
          <w:sz w:val="24"/>
          <w:szCs w:val="24"/>
          <w:lang w:val="hy-AM"/>
        </w:rPr>
        <w:t>այսուհետ`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Tahoma"/>
          <w:sz w:val="24"/>
          <w:szCs w:val="24"/>
          <w:lang w:val="hy-AM"/>
        </w:rPr>
        <w:t>օրենք</w:t>
      </w:r>
      <w:r w:rsidRPr="00580659">
        <w:rPr>
          <w:rFonts w:ascii="GHEA Grapalat" w:hAnsi="GHEA Grapalat" w:cs="Tahoma"/>
          <w:sz w:val="24"/>
          <w:szCs w:val="24"/>
          <w:lang w:val="hy-AM"/>
        </w:rPr>
        <w:t xml:space="preserve">)  </w:t>
      </w:r>
      <w:r>
        <w:rPr>
          <w:rFonts w:ascii="GHEA Grapalat" w:hAnsi="GHEA Grapalat" w:cs="Tahoma"/>
          <w:sz w:val="24"/>
          <w:szCs w:val="24"/>
          <w:lang w:val="hy-AM"/>
        </w:rPr>
        <w:t>22-</w:t>
      </w:r>
      <w:r w:rsidRPr="00580659">
        <w:rPr>
          <w:rFonts w:ascii="GHEA Grapalat" w:hAnsi="GHEA Grapalat" w:cs="Tahoma"/>
          <w:sz w:val="24"/>
          <w:szCs w:val="24"/>
          <w:lang w:val="hy-AM"/>
        </w:rPr>
        <w:t>րդ</w:t>
      </w:r>
      <w:r w:rsidRPr="009D5EEA">
        <w:rPr>
          <w:rFonts w:ascii="GHEA Grapalat" w:hAnsi="GHEA Grapalat" w:cs="Tahoma"/>
          <w:sz w:val="24"/>
          <w:szCs w:val="24"/>
          <w:lang w:val="hy-AM"/>
        </w:rPr>
        <w:t xml:space="preserve"> հոդվածով սահմանված դեպքերում ձեռնարկողն իրականացնում է ՌԷԳ: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  <w:r w:rsidRPr="009D5EEA">
        <w:rPr>
          <w:rFonts w:ascii="GHEA Grapalat" w:hAnsi="GHEA Grapalat"/>
          <w:sz w:val="24"/>
          <w:szCs w:val="24"/>
          <w:lang w:val="hy-AM"/>
        </w:rPr>
        <w:t xml:space="preserve">ՌԷԳ իրականացման համար պատասխանատու է ձեռնարկողը՝ </w:t>
      </w:r>
      <w:r w:rsidRPr="009D5EEA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9D5EE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9D5EE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9D5EE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9D5EE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 w:cs="Sylfaen"/>
          <w:sz w:val="24"/>
          <w:szCs w:val="24"/>
          <w:lang w:val="hy-AM"/>
        </w:rPr>
        <w:t>մշակող</w:t>
      </w:r>
      <w:r w:rsidRPr="009D5EEA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9D5EEA">
        <w:rPr>
          <w:rFonts w:ascii="GHEA Grapalat" w:hAnsi="GHEA Grapalat" w:cs="Sylfaen"/>
          <w:sz w:val="24"/>
          <w:szCs w:val="24"/>
          <w:lang w:val="hy-AM"/>
        </w:rPr>
        <w:t>հաստատող, ընդունող</w:t>
      </w:r>
      <w:r w:rsidRPr="00552F15">
        <w:rPr>
          <w:rFonts w:ascii="GHEA Grapalat" w:hAnsi="GHEA Grapalat"/>
          <w:sz w:val="24"/>
          <w:szCs w:val="24"/>
          <w:lang w:val="hy-AM"/>
        </w:rPr>
        <w:t>,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 ՌԷԳ իրականացման համար պատասխանատու պետական կառավարման կամ տեղական ինքնակառավարման մարմինը</w:t>
      </w:r>
      <w:r w:rsidRPr="009D5EEA">
        <w:rPr>
          <w:rFonts w:ascii="GHEA Grapalat" w:hAnsi="GHEA Grapalat"/>
          <w:sz w:val="24"/>
          <w:szCs w:val="24"/>
          <w:lang w:val="hy-AM"/>
        </w:rPr>
        <w:t>: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  <w:r w:rsidRPr="009D5EEA">
        <w:rPr>
          <w:rFonts w:ascii="GHEA Grapalat" w:hAnsi="GHEA Grapalat"/>
          <w:sz w:val="24"/>
          <w:szCs w:val="24"/>
          <w:lang w:val="hy-AM"/>
        </w:rPr>
        <w:t xml:space="preserve">Ձեռնարկողը կարող է ՌԷԳ բոլոր փուլերում  խորհրդակցությունների համար գրավոր կամ բանավոր դիմել 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շրջակա միջավայրի</w:t>
      </w:r>
      <w:r w:rsidRPr="005D6C63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և առողջապահության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ոլորտի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լիազոր մարմիններին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, առնչվող պետական կառավարման և տեղական ինքնակառավարման մարմիններին: 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  <w:r w:rsidRPr="009D5EEA">
        <w:rPr>
          <w:rFonts w:ascii="GHEA Grapalat" w:hAnsi="GHEA Grapalat"/>
          <w:sz w:val="24"/>
          <w:szCs w:val="24"/>
          <w:lang w:val="hy-AM"/>
        </w:rPr>
        <w:t xml:space="preserve">Ձեռնարկողը ՌԷԳ գործընթացում, իսկ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շրջակա միջավայրիոլորտի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լիազոր մարմինը </w:t>
      </w:r>
      <w:r w:rsidRPr="001A3471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5D6C63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/>
          <w:sz w:val="24"/>
          <w:szCs w:val="24"/>
          <w:lang w:val="hy-AM"/>
        </w:rPr>
        <w:t>լիազոր մարմին</w:t>
      </w:r>
      <w:r w:rsidRPr="001A3471">
        <w:rPr>
          <w:rFonts w:ascii="GHEA Grapalat" w:hAnsi="GHEA Grapalat"/>
          <w:sz w:val="24"/>
          <w:szCs w:val="24"/>
          <w:lang w:val="hy-AM"/>
        </w:rPr>
        <w:t>)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փորձաքննության գործընթացում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ծանուցում են հանրությանը, հրապարակում են համապատասխան  փաստաթղթերի՝ թղթային և էլեկտրոնային տարբերակները: </w:t>
      </w:r>
    </w:p>
    <w:p w:rsidR="00A64056" w:rsidRPr="009D5EEA" w:rsidRDefault="00A64056" w:rsidP="00A64056">
      <w:pPr>
        <w:pStyle w:val="ListParagraph"/>
        <w:numPr>
          <w:ilvl w:val="0"/>
          <w:numId w:val="2"/>
        </w:numPr>
        <w:spacing w:after="0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/>
          <w:sz w:val="24"/>
          <w:szCs w:val="24"/>
          <w:lang w:val="hy-AM"/>
        </w:rPr>
        <w:t>ՌԷԳ գործընթացում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 հանրային ծանուցումն իրականացնում է ձեռնարկողը՝ մարզպետի կամ ազդակիր համայնքի ղեկավարի,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իսկ 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Երևան քաղաքում՝ Երևանի քաղաքապետի աջակցությամբ, </w:t>
      </w:r>
      <w:r w:rsidRPr="009D5EEA">
        <w:rPr>
          <w:rFonts w:ascii="GHEA Grapalat" w:hAnsi="GHEA Grapalat"/>
          <w:sz w:val="24"/>
          <w:szCs w:val="24"/>
          <w:lang w:val="hy-AM"/>
        </w:rPr>
        <w:t>փորձաքննության գործընթացում՝ լիազոր պետական մարմինը</w:t>
      </w:r>
      <w:r w:rsidRPr="009D5EE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  <w:r w:rsidRPr="009D5EEA">
        <w:rPr>
          <w:rFonts w:ascii="GHEA Grapalat" w:hAnsi="GHEA Grapalat"/>
          <w:sz w:val="24"/>
          <w:szCs w:val="24"/>
          <w:lang w:val="hy-AM"/>
        </w:rPr>
        <w:t>Հիմնադրութային փաստաթղթում հաշվի են առնվում ՌԷԳ  հաշվետվության եզրակացությունները, հաշվետվությունում նախատեսված շրջակա միջավայրի վրա ազդեցության կանխարգելմանը, նվազեցմանն ուղղված միջոցառումները, հիմնադրութային փաստաթղթում նախատեսված այլընտրանքները,  հանրության առաջարկությունները, քննարկումների արդյունքները,  անդրսահմանային ազդեցությունների դեպքում` խորհրդակցությունների արդյունքերը: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  <w:r w:rsidRPr="009D5EEA">
        <w:rPr>
          <w:rFonts w:ascii="GHEA Grapalat" w:hAnsi="GHEA Grapalat"/>
          <w:sz w:val="24"/>
          <w:szCs w:val="24"/>
          <w:lang w:val="hy-AM"/>
        </w:rPr>
        <w:lastRenderedPageBreak/>
        <w:t xml:space="preserve">Անդրսահմանային ազդեցությունների դեպքում ՌԷԳ-ի  և փորձաքննության գործընթացները իրականացվում են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9D5EEA">
        <w:rPr>
          <w:rFonts w:ascii="GHEA Grapalat" w:hAnsi="GHEA Grapalat"/>
          <w:sz w:val="24"/>
          <w:szCs w:val="24"/>
          <w:lang w:val="hy-AM"/>
        </w:rPr>
        <w:t>րենքի</w:t>
      </w:r>
      <w:r w:rsidRPr="00580659">
        <w:rPr>
          <w:rFonts w:ascii="GHEA Grapalat" w:hAnsi="GHEA Grapalat"/>
          <w:sz w:val="24"/>
          <w:szCs w:val="24"/>
          <w:lang w:val="hy-AM"/>
        </w:rPr>
        <w:t xml:space="preserve"> 6-րդ գլխով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սահմանված կարգով: 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  <w:r w:rsidRPr="009D5EEA">
        <w:rPr>
          <w:rFonts w:ascii="GHEA Grapalat" w:hAnsi="GHEA Grapalat"/>
          <w:sz w:val="24"/>
          <w:szCs w:val="24"/>
          <w:lang w:val="hy-AM"/>
        </w:rPr>
        <w:t xml:space="preserve">Սույն կարգում կիրառելի են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9D5EEA">
        <w:rPr>
          <w:rFonts w:ascii="GHEA Grapalat" w:hAnsi="GHEA Grapalat"/>
          <w:sz w:val="24"/>
          <w:szCs w:val="24"/>
          <w:lang w:val="hy-AM"/>
        </w:rPr>
        <w:t>րենքում ընդունված հասկացությունները:</w:t>
      </w:r>
    </w:p>
    <w:p w:rsidR="00A64056" w:rsidRPr="009D5EEA" w:rsidRDefault="00A64056" w:rsidP="00A64056">
      <w:pPr>
        <w:pStyle w:val="norm"/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</w:p>
    <w:p w:rsidR="00A64056" w:rsidRPr="009D5EEA" w:rsidRDefault="00A64056" w:rsidP="00A64056">
      <w:pPr>
        <w:pStyle w:val="norm"/>
        <w:spacing w:line="240" w:lineRule="auto"/>
        <w:ind w:left="709" w:hanging="709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A64056" w:rsidRPr="009D5EEA" w:rsidRDefault="00A64056" w:rsidP="00A64056">
      <w:pPr>
        <w:pStyle w:val="norm"/>
        <w:spacing w:line="240" w:lineRule="auto"/>
        <w:ind w:left="709" w:hanging="709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A64056" w:rsidRPr="00A33A38" w:rsidRDefault="00A64056" w:rsidP="00A64056">
      <w:pPr>
        <w:pStyle w:val="norm"/>
        <w:numPr>
          <w:ilvl w:val="0"/>
          <w:numId w:val="3"/>
        </w:numPr>
        <w:spacing w:line="240" w:lineRule="auto"/>
        <w:ind w:left="709" w:hanging="709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A33A38">
        <w:rPr>
          <w:rFonts w:ascii="GHEA Grapalat" w:hAnsi="GHEA Grapalat"/>
          <w:b/>
          <w:color w:val="FF0000"/>
          <w:spacing w:val="-4"/>
          <w:sz w:val="24"/>
          <w:szCs w:val="24"/>
          <w:lang w:val="hy-AM"/>
        </w:rPr>
        <w:t xml:space="preserve">Նախնական գնահատման իրականացում </w:t>
      </w:r>
    </w:p>
    <w:p w:rsidR="00A64056" w:rsidRPr="009D5EEA" w:rsidRDefault="00A64056" w:rsidP="00A64056">
      <w:pPr>
        <w:pStyle w:val="norm"/>
        <w:spacing w:line="240" w:lineRule="auto"/>
        <w:ind w:left="709" w:hanging="709"/>
        <w:rPr>
          <w:rFonts w:ascii="GHEA Grapalat" w:hAnsi="GHEA Grapalat"/>
          <w:sz w:val="24"/>
          <w:szCs w:val="24"/>
          <w:lang w:val="hy-AM"/>
        </w:rPr>
      </w:pP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D5E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ՌԷԳ նախնական գնահատման ենթակա չեն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7B482B">
        <w:rPr>
          <w:rFonts w:ascii="GHEA Grapalat" w:eastAsia="Times New Roman" w:hAnsi="GHEA Grapalat" w:cs="Sylfaen"/>
          <w:sz w:val="24"/>
          <w:szCs w:val="24"/>
          <w:lang w:val="hy-AM"/>
        </w:rPr>
        <w:t>րենքի  22-րդ   հոդվածի 1-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9D5E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մասում նախատեսված հիմնադրութային փաստաթղթերը:  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D5E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ՌԷԳ նախնական գնահատման ենթակա են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9D5EEA">
        <w:rPr>
          <w:rFonts w:ascii="GHEA Grapalat" w:eastAsia="Times New Roman" w:hAnsi="GHEA Grapalat" w:cs="Sylfaen"/>
          <w:sz w:val="24"/>
          <w:szCs w:val="24"/>
          <w:lang w:val="hy-AM"/>
        </w:rPr>
        <w:t>րենքի  2</w:t>
      </w:r>
      <w:r w:rsidRPr="007B482B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9D5E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  հոդվածի 2-րդ և 3-րդ մասերում նախատեսված հիմնադրութային փաստաթղթերը: </w:t>
      </w:r>
    </w:p>
    <w:p w:rsidR="00A64056" w:rsidRPr="009D5EEA" w:rsidRDefault="00A64056" w:rsidP="00A64056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Նախնական գնահատման փուլում ձ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եռնարկողը խորհրդակցություններ է անցկացնում լիազոր մարմնի,  առողջապահության նախարարության, առնչվող պետական կառավարման և տեղական ինքնակառավարման մարմինների հետ և ծանուցում է հանրությանը: 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 w:cs="Sylfaen"/>
          <w:sz w:val="24"/>
          <w:szCs w:val="24"/>
          <w:lang w:val="hy-AM"/>
        </w:rPr>
        <w:t>Ձեռնարկողը`</w:t>
      </w:r>
      <w:r w:rsidRPr="009D5EEA" w:rsidDel="00486D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EEA">
        <w:rPr>
          <w:rFonts w:ascii="GHEA Grapalat" w:eastAsia="Times New Roman" w:hAnsi="GHEA Grapalat" w:cs="Sylfaen"/>
          <w:sz w:val="24"/>
          <w:szCs w:val="24"/>
          <w:lang w:val="hy-AM"/>
        </w:rPr>
        <w:t>խորհրդակցությունների ապահովման նպատակով, պարտավոր է  ներկայացնել հետևյալ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փաստաթղթերը և տեղեկատվությունը՝</w:t>
      </w:r>
    </w:p>
    <w:p w:rsidR="00A64056" w:rsidRDefault="00A64056" w:rsidP="00A64056">
      <w:pPr>
        <w:pStyle w:val="norm"/>
        <w:numPr>
          <w:ilvl w:val="0"/>
          <w:numId w:val="4"/>
        </w:numPr>
        <w:spacing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ձ</w:t>
      </w:r>
      <w:r w:rsidRPr="009D5EEA">
        <w:rPr>
          <w:rFonts w:ascii="GHEA Grapalat" w:eastAsia="Times New Roman" w:hAnsi="GHEA Grapalat" w:cs="Sylfaen"/>
          <w:sz w:val="24"/>
          <w:szCs w:val="24"/>
          <w:lang w:val="hy-AM"/>
        </w:rPr>
        <w:t>եռնարկողի, այդ թվում հիմնադրութային փաստաթուղթ պլանավորող, մշակող  և</w:t>
      </w:r>
    </w:p>
    <w:p w:rsidR="00A64056" w:rsidRPr="009D5EEA" w:rsidRDefault="00A64056" w:rsidP="00A64056">
      <w:pPr>
        <w:pStyle w:val="norm"/>
        <w:spacing w:line="240" w:lineRule="auto"/>
        <w:ind w:left="450" w:firstLine="0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D5E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9D5EEA">
        <w:rPr>
          <w:rFonts w:ascii="GHEA Grapalat" w:eastAsia="Times New Roman" w:hAnsi="GHEA Grapalat" w:cs="Sylfaen"/>
          <w:sz w:val="24"/>
          <w:szCs w:val="24"/>
          <w:lang w:val="hy-AM"/>
        </w:rPr>
        <w:t>հաստատող մարմնի կոնտակտային տվյալները,</w:t>
      </w:r>
    </w:p>
    <w:p w:rsidR="00A64056" w:rsidRPr="009D5EEA" w:rsidRDefault="00A64056" w:rsidP="00A64056">
      <w:pPr>
        <w:pStyle w:val="norm"/>
        <w:numPr>
          <w:ilvl w:val="0"/>
          <w:numId w:val="4"/>
        </w:numPr>
        <w:spacing w:line="240" w:lineRule="auto"/>
        <w:ind w:left="709" w:hanging="709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9D5EEA">
        <w:rPr>
          <w:rFonts w:ascii="GHEA Grapalat" w:hAnsi="GHEA Grapalat" w:cs="Sylfaen"/>
          <w:sz w:val="24"/>
          <w:szCs w:val="24"/>
          <w:lang w:val="hy-AM"/>
        </w:rPr>
        <w:t>իմնադրութային փաստաթղթի հայեցակարգը կամ հիմնադրութային փաստաթղթի նախագիծը, ներառյալ հակիրճ տեղեկատվություն դրա նպատակի, խնդիրների, միջոցառումների,  իրականացման վայրի վերաբերյալ:</w:t>
      </w:r>
    </w:p>
    <w:p w:rsidR="00A64056" w:rsidRPr="009D5EEA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Ձեռնարկողի կողմից սույն կարգի 11-րդ կետով սահմանված դեպքերում,  12-րդ կետում  նշված սուբյեկտներին դիմելու դեպքում,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15 աշխատանքային օրվա  ընթացքում </w:t>
      </w:r>
      <w:r w:rsidRPr="009D5EEA">
        <w:rPr>
          <w:rFonts w:ascii="GHEA Grapalat" w:hAnsi="GHEA Grapalat" w:cs="Sylfaen"/>
          <w:sz w:val="24"/>
          <w:szCs w:val="24"/>
          <w:lang w:val="hy-AM"/>
        </w:rPr>
        <w:t>վերջիններս  ձեռնարկողին են  ներկայացնում իրենց նկատառումները հիմնադրութային փաստաթղթի  և դրա՝  ՌԷԳ –ի ենթակա լինելու կամ չլինելու վերաբերյալ:</w:t>
      </w:r>
    </w:p>
    <w:p w:rsidR="00A64056" w:rsidRPr="009D5EEA" w:rsidRDefault="00A64056" w:rsidP="00A64056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Համաձայն օ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րենքի   </w:t>
      </w:r>
      <w:r w:rsidRPr="00580659">
        <w:rPr>
          <w:rFonts w:ascii="GHEA Grapalat" w:hAnsi="GHEA Grapalat" w:cs="Sylfaen"/>
          <w:sz w:val="24"/>
          <w:szCs w:val="24"/>
          <w:lang w:val="hy-AM"/>
        </w:rPr>
        <w:t>29-րդ հոդվածի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ձ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եռնարկողը կազմում և իրականացնում է հանրության ծանուցում: Ձեռնարկողը ծանուցումը տեղադրում է իր պաշտոնական էլեկտրոնային կայքում, տպագրում է թերթում, փակցնում է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տեղական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ինքնակառավարման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և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տարածքային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կառավարման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մարմինների</w:t>
      </w:r>
      <w:r w:rsidRPr="00A33A38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, 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հանրային նշանակության շենքերի՝ հայտարարությունների համար առանձնացված ցուցատախտակների վրա: </w:t>
      </w:r>
    </w:p>
    <w:p w:rsidR="00A64056" w:rsidRPr="009D5EEA" w:rsidRDefault="00A64056" w:rsidP="00A64056">
      <w:pPr>
        <w:pStyle w:val="norm"/>
        <w:numPr>
          <w:ilvl w:val="0"/>
          <w:numId w:val="2"/>
        </w:numPr>
        <w:spacing w:line="240" w:lineRule="auto"/>
        <w:ind w:left="709" w:hanging="709"/>
        <w:rPr>
          <w:rFonts w:ascii="GHEA Grapalat" w:hAnsi="GHEA Grapalat"/>
          <w:spacing w:val="-4"/>
          <w:sz w:val="24"/>
          <w:szCs w:val="24"/>
          <w:lang w:val="hy-AM"/>
        </w:rPr>
      </w:pPr>
      <w:r w:rsidRPr="009D5EEA">
        <w:rPr>
          <w:rFonts w:ascii="GHEA Grapalat" w:hAnsi="GHEA Grapalat"/>
          <w:spacing w:val="-4"/>
          <w:sz w:val="24"/>
          <w:szCs w:val="24"/>
          <w:lang w:val="hy-AM"/>
        </w:rPr>
        <w:t>Հանրությունը գրավոր</w:t>
      </w:r>
      <w:r w:rsidRPr="00F7275E">
        <w:rPr>
          <w:rFonts w:ascii="GHEA Grapalat" w:hAnsi="GHEA Grapalat"/>
          <w:spacing w:val="-4"/>
          <w:sz w:val="24"/>
          <w:szCs w:val="24"/>
          <w:lang w:val="hy-AM"/>
        </w:rPr>
        <w:t xml:space="preserve">` փաստաթղթային </w:t>
      </w:r>
      <w:r w:rsidRPr="009D5EEA">
        <w:rPr>
          <w:rFonts w:ascii="GHEA Grapalat" w:hAnsi="GHEA Grapalat"/>
          <w:spacing w:val="-4"/>
          <w:sz w:val="24"/>
          <w:szCs w:val="24"/>
          <w:lang w:val="hy-AM"/>
        </w:rPr>
        <w:t>կամ էլեկտրոնային կարծիքներ</w:t>
      </w:r>
      <w:r w:rsidRPr="00F7275E">
        <w:rPr>
          <w:rFonts w:ascii="GHEA Grapalat" w:hAnsi="GHEA Grapalat"/>
          <w:spacing w:val="-4"/>
          <w:sz w:val="24"/>
          <w:szCs w:val="24"/>
          <w:lang w:val="hy-AM"/>
        </w:rPr>
        <w:t xml:space="preserve"> ու</w:t>
      </w:r>
      <w:r w:rsidRPr="009D5EEA">
        <w:rPr>
          <w:rFonts w:ascii="GHEA Grapalat" w:hAnsi="GHEA Grapalat"/>
          <w:spacing w:val="-4"/>
          <w:sz w:val="24"/>
          <w:szCs w:val="24"/>
          <w:lang w:val="hy-AM"/>
        </w:rPr>
        <w:t xml:space="preserve"> առաջարկություններ կարող է ներկայացնել  ծանուցումից հետո 18- աշխատանքային օրվա ընթացքում: </w:t>
      </w:r>
    </w:p>
    <w:p w:rsidR="00A64056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/>
          <w:sz w:val="24"/>
          <w:szCs w:val="24"/>
          <w:lang w:val="hy-AM"/>
        </w:rPr>
      </w:pP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Ձեռնարկողը  խորհրդակցության արդյունքները՝ գրավոր հիմնավորումներով ներկայացնում է լիազոր մարմին, որը 20-աշխատանքային օրվա ընթացքում </w:t>
      </w:r>
      <w:r w:rsidRPr="009D5EEA">
        <w:rPr>
          <w:rFonts w:ascii="GHEA Grapalat" w:hAnsi="GHEA Grapalat" w:cs="Sylfaen"/>
          <w:sz w:val="24"/>
          <w:szCs w:val="24"/>
          <w:lang w:val="hy-AM"/>
        </w:rPr>
        <w:lastRenderedPageBreak/>
        <w:t>ձեռնարկողին գրավոր՝ համապատասխան հիմնավորումներով, տեղեկացնում է  ՌԷԳ ենթակա լինելու կամ ՌԷԳ ենթակա</w:t>
      </w:r>
      <w:r w:rsidRPr="009D5EEA">
        <w:rPr>
          <w:rFonts w:ascii="GHEA Grapalat" w:hAnsi="GHEA Grapalat"/>
          <w:sz w:val="24"/>
          <w:szCs w:val="24"/>
          <w:lang w:val="hy-AM"/>
        </w:rPr>
        <w:t xml:space="preserve"> չլինելու վերաբերյալ: </w:t>
      </w:r>
    </w:p>
    <w:p w:rsidR="00A64056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Եթե թվարկված կանոնների հիման վրա ձեռնարկողը գալիս է եզրահանգման, որ ՌԷԳ-ն անհրաժեշտ է, ապա նախնական գնահատման ընթացակարգ չի կիրառվում։</w:t>
      </w:r>
    </w:p>
    <w:p w:rsidR="00A64056" w:rsidRPr="00F7275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Լիազոր մարմնի կողմից ՌԷԳ ենթակա լինելու կամ ՌԷԳ ենթակա </w:t>
      </w:r>
      <w:r>
        <w:rPr>
          <w:rFonts w:ascii="GHEA Grapalat" w:hAnsi="GHEA Grapalat" w:cs="Sylfaen"/>
          <w:sz w:val="24"/>
          <w:szCs w:val="24"/>
          <w:lang w:val="hy-AM"/>
        </w:rPr>
        <w:t>չլինելու վերաբերյալ ձ</w:t>
      </w:r>
      <w:r w:rsidRPr="009D5EEA">
        <w:rPr>
          <w:rFonts w:ascii="GHEA Grapalat" w:hAnsi="GHEA Grapalat" w:cs="Sylfaen"/>
          <w:sz w:val="24"/>
          <w:szCs w:val="24"/>
          <w:lang w:val="hy-AM"/>
        </w:rPr>
        <w:t>եռնարկողին տրամադրվող գրությունը պետք է պարունակի սույն կարգի  13-րդ կետում նշված տեղեկատվության համառոտ նկարագիրը: Ձեռանարկողը պետք է նշված գրության էլեկտրոնային և թղթային տարբերակները հասանելի դարձնի հանրությանը:</w:t>
      </w:r>
    </w:p>
    <w:p w:rsidR="00A64056" w:rsidRPr="00A64056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ՌԷԳ նախնական գնահատման փուլում  շրջակա միջավայրի՝ ներառյալ մարդու առողջության վրա հնարավոր ազդեցությունները որոշելու չափորոշիչներն են. </w:t>
      </w:r>
    </w:p>
    <w:p w:rsidR="00A64056" w:rsidRPr="00A64056" w:rsidRDefault="00A64056" w:rsidP="00A64056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4056">
        <w:rPr>
          <w:rFonts w:ascii="GHEA Grapalat" w:hAnsi="GHEA Grapalat" w:cs="Sylfaen"/>
          <w:sz w:val="24"/>
          <w:szCs w:val="24"/>
          <w:lang w:val="hy-AM"/>
        </w:rPr>
        <w:t xml:space="preserve">հիմնադրութային փաստաթղթի  արդիականության, կարևորության հիմնավորումները՝ </w:t>
      </w:r>
    </w:p>
    <w:p w:rsidR="00A64056" w:rsidRDefault="00A64056" w:rsidP="00A64056">
      <w:pPr>
        <w:pStyle w:val="ListParagraph"/>
        <w:spacing w:line="259" w:lineRule="auto"/>
        <w:ind w:left="5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4056">
        <w:rPr>
          <w:rFonts w:ascii="GHEA Grapalat" w:hAnsi="GHEA Grapalat" w:cs="Sylfaen"/>
          <w:sz w:val="24"/>
          <w:szCs w:val="24"/>
          <w:lang w:val="hy-AM"/>
        </w:rPr>
        <w:t>հաշվի առնելով  շրջակա միջավայրին,  ներառյալ՝ մարդու առողջությանը վերաբերող  հիմնահարցերը,</w:t>
      </w:r>
    </w:p>
    <w:p w:rsidR="00A64056" w:rsidRDefault="00A64056" w:rsidP="00A64056">
      <w:pPr>
        <w:pStyle w:val="ListParagraph"/>
        <w:spacing w:line="259" w:lineRule="auto"/>
        <w:ind w:left="5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9D5EEA">
        <w:rPr>
          <w:rFonts w:ascii="GHEA Grapalat" w:hAnsi="GHEA Grapalat" w:cs="Sylfaen"/>
          <w:sz w:val="24"/>
          <w:szCs w:val="24"/>
          <w:lang w:val="hy-AM"/>
        </w:rPr>
        <w:t>)  հիմնադրութային փաստաթղթի սահմանած հիմքերը ենթածրագրերի կամ նախատեսվող գործունեությունների համար՝ տեղադիրքի, բնույթի, չափսերի, հզորությունների, գործելու պայմանների, ռեսուրսների բաշխման տեսանկյունից,</w:t>
      </w:r>
    </w:p>
    <w:p w:rsidR="00A64056" w:rsidRDefault="00A64056" w:rsidP="00A64056">
      <w:pPr>
        <w:pStyle w:val="ListParagraph"/>
        <w:spacing w:line="259" w:lineRule="auto"/>
        <w:ind w:left="5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9D5EEA">
        <w:rPr>
          <w:rFonts w:ascii="GHEA Grapalat" w:hAnsi="GHEA Grapalat" w:cs="Sylfaen"/>
          <w:sz w:val="24"/>
          <w:szCs w:val="24"/>
          <w:lang w:val="hy-AM"/>
        </w:rPr>
        <w:t>)  հիմնադրութային փաստաթղթերի ազդեցությունը և կապը այլ ծրագրային փաստաթղթերի, ներառյալ ծրագրի շրջանակներում իրականացվելիք ենթածրագրերի վրա,</w:t>
      </w:r>
    </w:p>
    <w:p w:rsidR="00A64056" w:rsidRDefault="00A64056" w:rsidP="00A64056">
      <w:pPr>
        <w:pStyle w:val="ListParagraph"/>
        <w:spacing w:line="259" w:lineRule="auto"/>
        <w:ind w:left="5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) հիմնադրութային փաստաթղթին վերաբերող շրջակա միջավայրին՝ ներառյալ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մարդու </w:t>
      </w:r>
      <w:r w:rsidRPr="009D5EEA">
        <w:rPr>
          <w:rFonts w:ascii="GHEA Grapalat" w:hAnsi="GHEA Grapalat" w:cs="Sylfaen"/>
          <w:sz w:val="24"/>
          <w:szCs w:val="24"/>
          <w:lang w:val="hy-AM"/>
        </w:rPr>
        <w:t>առողջությանը առընչվող խնդիրները,</w:t>
      </w:r>
    </w:p>
    <w:p w:rsidR="00A64056" w:rsidRDefault="00A64056" w:rsidP="00A64056">
      <w:pPr>
        <w:pStyle w:val="ListParagraph"/>
        <w:spacing w:line="259" w:lineRule="auto"/>
        <w:ind w:left="5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) շրջակա միջավայրի՝ ներառյալ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մարդու </w:t>
      </w:r>
      <w:r w:rsidRPr="009D5EEA">
        <w:rPr>
          <w:rFonts w:ascii="GHEA Grapalat" w:hAnsi="GHEA Grapalat" w:cs="Sylfaen"/>
          <w:sz w:val="24"/>
          <w:szCs w:val="24"/>
          <w:lang w:val="hy-AM"/>
        </w:rPr>
        <w:t>առողջության վրա հնարավոր ազդեցությունների բնույթը, հավանականությունը, տևողությունը, հաճախականությունը, հակադարձելիությունը, ծավալը, հնարավոր ազդեցության ենթակա տարածքի չափը, ազդեցության ենթակա բնակչության թվաքանակը,</w:t>
      </w:r>
    </w:p>
    <w:p w:rsidR="00A64056" w:rsidRDefault="00A64056" w:rsidP="00A64056">
      <w:pPr>
        <w:pStyle w:val="ListParagraph"/>
        <w:spacing w:line="259" w:lineRule="auto"/>
        <w:ind w:left="57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 w:rsidRPr="009D5EEA">
        <w:rPr>
          <w:rFonts w:ascii="GHEA Grapalat" w:hAnsi="GHEA Grapalat" w:cs="Sylfaen"/>
          <w:sz w:val="24"/>
          <w:szCs w:val="24"/>
          <w:lang w:val="hy-AM"/>
        </w:rPr>
        <w:t>) շրջակա միջավայրի</w:t>
      </w:r>
      <w:r w:rsidRPr="009D5EEA">
        <w:rPr>
          <w:rFonts w:ascii="Courier New" w:hAnsi="Courier New" w:cs="Courier New"/>
          <w:sz w:val="24"/>
          <w:szCs w:val="24"/>
          <w:lang w:val="hy-AM"/>
        </w:rPr>
        <w:t> </w:t>
      </w:r>
      <w:r w:rsidRPr="009D5EEA">
        <w:rPr>
          <w:rFonts w:ascii="GHEA Grapalat" w:hAnsi="GHEA Grapalat" w:cs="GHEA Grapalat"/>
          <w:sz w:val="24"/>
          <w:szCs w:val="24"/>
          <w:lang w:val="hy-AM"/>
        </w:rPr>
        <w:t>պահպանության՝ ներառյալ մարդու առողջության հետ կապվա հնարավոր ռիսկերը,</w:t>
      </w:r>
    </w:p>
    <w:p w:rsidR="00A64056" w:rsidRDefault="00A64056" w:rsidP="00A64056">
      <w:pPr>
        <w:pStyle w:val="ListParagraph"/>
        <w:spacing w:line="259" w:lineRule="auto"/>
        <w:ind w:left="5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7</w:t>
      </w:r>
      <w:r w:rsidRPr="009D5EEA">
        <w:rPr>
          <w:rFonts w:ascii="GHEA Grapalat" w:hAnsi="GHEA Grapalat" w:cs="Sylfaen"/>
          <w:sz w:val="24"/>
          <w:szCs w:val="24"/>
          <w:lang w:val="hy-AM"/>
        </w:rPr>
        <w:t>)  ազդեցությունների անդրսահմանային բնույթը,</w:t>
      </w:r>
    </w:p>
    <w:p w:rsidR="00A64056" w:rsidRPr="00552F15" w:rsidRDefault="00A64056" w:rsidP="00A64056">
      <w:pPr>
        <w:pStyle w:val="ListParagraph"/>
        <w:spacing w:line="259" w:lineRule="auto"/>
        <w:ind w:left="5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8</w:t>
      </w:r>
      <w:r w:rsidRPr="009D5EEA">
        <w:rPr>
          <w:rFonts w:ascii="GHEA Grapalat" w:hAnsi="GHEA Grapalat" w:cs="Sylfaen"/>
          <w:sz w:val="24"/>
          <w:szCs w:val="24"/>
          <w:lang w:val="hy-AM"/>
        </w:rPr>
        <w:t>) հիմնադրութային փաստաթղթի դրույթների իրականացման դեպքում հնարավոր ազդեցությունը հատուկ պահպանվող տարածքների, ներառյալ ազգային և միջազգային պահպանության լանդշաֆտները:</w:t>
      </w:r>
    </w:p>
    <w:p w:rsidR="00A64056" w:rsidRPr="00552F15" w:rsidRDefault="00A64056" w:rsidP="00A64056">
      <w:pPr>
        <w:pStyle w:val="norm"/>
        <w:spacing w:line="240" w:lineRule="auto"/>
        <w:ind w:left="708" w:firstLine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64056" w:rsidRPr="009D5EEA" w:rsidRDefault="00A64056" w:rsidP="00A64056">
      <w:pPr>
        <w:pStyle w:val="norm"/>
        <w:numPr>
          <w:ilvl w:val="0"/>
          <w:numId w:val="3"/>
        </w:numPr>
        <w:pBdr>
          <w:bar w:val="single" w:sz="4" w:color="auto"/>
        </w:pBdr>
        <w:spacing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9D5EEA">
        <w:rPr>
          <w:rFonts w:ascii="GHEA Grapalat" w:eastAsia="Times New Roman" w:hAnsi="GHEA Grapalat" w:cs="Sylfaen"/>
          <w:b/>
          <w:sz w:val="24"/>
          <w:szCs w:val="24"/>
          <w:lang w:val="hy-AM"/>
        </w:rPr>
        <w:t>ՌԷԳ շրջանակի որոշում</w:t>
      </w:r>
    </w:p>
    <w:p w:rsidR="00A64056" w:rsidRPr="00F7275E" w:rsidRDefault="00A64056" w:rsidP="00A64056">
      <w:pPr>
        <w:pStyle w:val="norm"/>
        <w:spacing w:line="240" w:lineRule="auto"/>
        <w:ind w:left="708" w:firstLine="0"/>
        <w:rPr>
          <w:rFonts w:ascii="GHEA Grapalat" w:eastAsia="Times New Roman" w:hAnsi="GHEA Grapalat" w:cs="Sylfaen"/>
          <w:sz w:val="24"/>
          <w:szCs w:val="24"/>
          <w:lang w:val="en-GB"/>
        </w:rPr>
      </w:pPr>
    </w:p>
    <w:p w:rsidR="00A64056" w:rsidRPr="00F7275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lastRenderedPageBreak/>
        <w:t>Օրենքի  2</w:t>
      </w:r>
      <w:r>
        <w:rPr>
          <w:rFonts w:ascii="GHEA Grapalat" w:hAnsi="GHEA Grapalat" w:cs="Sylfaen"/>
          <w:sz w:val="24"/>
          <w:szCs w:val="24"/>
        </w:rPr>
        <w:t>2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-րդ   հոդվածի 1-ին մասում նախատեսված հիմնադրութային փաստաթղթերի և սույն կարգի 17-րդ կետին համապատասխան ՌԷԳ ենթակա հիմանդրութային փասատթղթերի համար սահմանվում է ՌԷԳ շրջանակ: </w:t>
      </w:r>
    </w:p>
    <w:p w:rsidR="00A64056" w:rsidRPr="00F7275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ՌԷԳ շրջանակի որոշման նպատակներն են. </w:t>
      </w:r>
    </w:p>
    <w:p w:rsidR="00A64056" w:rsidRPr="009D5EEA" w:rsidRDefault="00A64056" w:rsidP="00A64056">
      <w:pPr>
        <w:pStyle w:val="ListParagraph"/>
        <w:numPr>
          <w:ilvl w:val="0"/>
          <w:numId w:val="5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վեր հանել շրջակա միջավայրի և մարդու առողջության վրա հիմնադրութային փաստաթղթի դրույթների հնարավոր ազդեցության մասշտաբները, </w:t>
      </w:r>
    </w:p>
    <w:p w:rsidR="00A64056" w:rsidRPr="009D5EEA" w:rsidRDefault="00A64056" w:rsidP="00A64056">
      <w:pPr>
        <w:pStyle w:val="ListParagraph"/>
        <w:numPr>
          <w:ilvl w:val="0"/>
          <w:numId w:val="5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ելնելով շրջակա միջավայրի և մարդու առողջության վրա ազդեցությունից՝ որոշել հիմնադրութային փաստաթղթի դրույթների այլընտրանքնեը, </w:t>
      </w:r>
    </w:p>
    <w:p w:rsidR="00A64056" w:rsidRPr="009D5EEA" w:rsidRDefault="00A64056" w:rsidP="00A64056">
      <w:pPr>
        <w:pStyle w:val="ListParagraph"/>
        <w:numPr>
          <w:ilvl w:val="0"/>
          <w:numId w:val="5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 w:cs="Sylfaen"/>
          <w:sz w:val="24"/>
          <w:szCs w:val="24"/>
          <w:lang w:val="hy-AM"/>
        </w:rPr>
        <w:t>իրազեկել հանրությանը հիմնադրութային փաստաթղթի, դրա այլընտրանքային տարբերակների</w:t>
      </w:r>
      <w:r w:rsidRPr="00D67F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վերաբերյալ,</w:t>
      </w:r>
    </w:p>
    <w:p w:rsidR="00A64056" w:rsidRPr="009D5EEA" w:rsidRDefault="00A64056" w:rsidP="00A64056">
      <w:pPr>
        <w:pStyle w:val="ListParagraph"/>
        <w:numPr>
          <w:ilvl w:val="0"/>
          <w:numId w:val="5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հնարավորություն ընձեռել ձեռնարկողին ձեռք բերել ՌԷԳ հաշվետվության կազմման համար  անհրաժեշտ, այդ թվում՝ շրջակա միջավայրին վերաբերող տեղեկատվություն, </w:t>
      </w:r>
    </w:p>
    <w:p w:rsidR="00A64056" w:rsidRPr="00F7275E" w:rsidRDefault="00A64056" w:rsidP="00A64056">
      <w:pPr>
        <w:pStyle w:val="ListParagraph"/>
        <w:numPr>
          <w:ilvl w:val="0"/>
          <w:numId w:val="5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 w:cs="Sylfaen"/>
          <w:sz w:val="24"/>
          <w:szCs w:val="24"/>
          <w:lang w:val="hy-AM"/>
        </w:rPr>
        <w:t xml:space="preserve">վեր հանել ազդեցությունները շրջակա միջավայրի  հատուկ պահպանվող տարածքների, լանդշաֆտների վրա:  </w:t>
      </w:r>
    </w:p>
    <w:p w:rsidR="00A64056" w:rsidRPr="00F7275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337D5">
        <w:rPr>
          <w:rFonts w:ascii="GHEA Grapalat" w:hAnsi="GHEA Grapalat"/>
          <w:sz w:val="24"/>
          <w:szCs w:val="24"/>
          <w:lang w:val="hy-AM"/>
        </w:rPr>
        <w:t>Ս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ույն կարգի 20-րդ կետում նախատեսված դեպքերում, </w:t>
      </w:r>
      <w:r>
        <w:rPr>
          <w:rFonts w:ascii="GHEA Grapalat" w:hAnsi="GHEA Grapalat" w:cs="Sylfaen"/>
          <w:sz w:val="24"/>
          <w:szCs w:val="24"/>
          <w:lang w:val="hy-AM"/>
        </w:rPr>
        <w:t>ձ</w:t>
      </w:r>
      <w:r w:rsidRPr="00F7275E">
        <w:rPr>
          <w:rFonts w:ascii="GHEA Grapalat" w:hAnsi="GHEA Grapalat" w:cs="Sylfaen"/>
          <w:sz w:val="24"/>
          <w:szCs w:val="24"/>
          <w:lang w:val="hy-AM"/>
        </w:rPr>
        <w:t>եռնարկողը տեղեկատվություն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 ամփոփում է </w:t>
      </w:r>
      <w:r w:rsidRPr="00473DE5">
        <w:rPr>
          <w:rFonts w:ascii="GHEA Grapalat" w:hAnsi="GHEA Grapalat" w:cs="Sylfaen"/>
          <w:color w:val="FF0000"/>
          <w:sz w:val="24"/>
          <w:szCs w:val="24"/>
          <w:lang w:val="hy-AM"/>
        </w:rPr>
        <w:t>նախնական գնահատման հայտում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 և այն ներկայացնում է ՀՀ առողջապահության նախարարությանը, առնչվող պետական կառավարման և տեղական ինքնակառավարման մարմիններին` խորհրդակցությունների իրականացման  և համատեղ ՌԷԳ շրջանակները որոշելու նպատակով:  </w:t>
      </w:r>
    </w:p>
    <w:p w:rsidR="00A64056" w:rsidRPr="00F7275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Սույն կարգի 22-րդ կետում նշված սուբյեկտները գրավոր հիմնավորմամբ </w:t>
      </w:r>
      <w:r>
        <w:rPr>
          <w:rFonts w:ascii="GHEA Grapalat" w:hAnsi="GHEA Grapalat" w:cs="Sylfaen"/>
          <w:sz w:val="24"/>
          <w:szCs w:val="24"/>
          <w:lang w:val="hy-AM"/>
        </w:rPr>
        <w:t>փաստաթղթերը ստանալուց հետո 20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 աշխատանքային օր</w:t>
      </w:r>
      <w:r>
        <w:rPr>
          <w:rFonts w:ascii="GHEA Grapalat" w:hAnsi="GHEA Grapalat" w:cs="Sylfaen"/>
          <w:sz w:val="24"/>
          <w:szCs w:val="24"/>
          <w:lang w:val="hy-AM"/>
        </w:rPr>
        <w:t>վա ընթացքում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 ձեռնարկողին են տրամադրում ՌԷԳ շրջանակների վերաբերյալ  իրենց </w:t>
      </w:r>
      <w:r w:rsidRPr="00473DE5">
        <w:rPr>
          <w:rFonts w:ascii="GHEA Grapalat" w:hAnsi="GHEA Grapalat" w:cs="Sylfaen"/>
          <w:color w:val="FF0000"/>
          <w:sz w:val="24"/>
          <w:szCs w:val="24"/>
          <w:lang w:val="hy-AM"/>
        </w:rPr>
        <w:t>կարծիքը 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առաջարկությունները: </w:t>
      </w:r>
    </w:p>
    <w:p w:rsidR="00A64056" w:rsidRPr="00F7275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Ձեռնարկողը </w:t>
      </w:r>
      <w:r w:rsidRPr="00473DE5">
        <w:rPr>
          <w:rFonts w:ascii="GHEA Grapalat" w:hAnsi="GHEA Grapalat" w:cs="Sylfaen"/>
          <w:color w:val="FF0000"/>
          <w:sz w:val="24"/>
          <w:szCs w:val="24"/>
          <w:lang w:val="hy-AM"/>
        </w:rPr>
        <w:t>նախնական գնահատման հայտը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՝  համապատասխան  հիմնավորումներով, սույն կարգի </w:t>
      </w:r>
      <w:r w:rsidRPr="00473DE5">
        <w:rPr>
          <w:rFonts w:ascii="GHEA Grapalat" w:hAnsi="GHEA Grapalat" w:cs="Sylfaen"/>
          <w:strike/>
          <w:sz w:val="24"/>
          <w:szCs w:val="24"/>
          <w:lang w:val="hy-AM"/>
        </w:rPr>
        <w:t>23</w:t>
      </w:r>
      <w:r w:rsidRPr="00473DE5">
        <w:rPr>
          <w:rFonts w:ascii="GHEA Grapalat" w:hAnsi="GHEA Grapalat" w:cs="Sylfaen"/>
          <w:color w:val="FF0000"/>
          <w:sz w:val="24"/>
          <w:szCs w:val="24"/>
          <w:lang w:val="hy-AM"/>
        </w:rPr>
        <w:t>24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-րդ կետում սահմանված  առաջարկություններով ներկայացնում է լիազոր մարմնին՝ ՌԷԳ շրջանակները որոշելու նպատակով: </w:t>
      </w:r>
    </w:p>
    <w:p w:rsidR="00A64056" w:rsidRPr="00F7275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Ձեռնարկողի կողմից ՌԷԳ շրջանակները որոշելու դիմումին կից  ներկայացվում է </w:t>
      </w:r>
      <w:r w:rsidRPr="00473DE5">
        <w:rPr>
          <w:rFonts w:ascii="GHEA Grapalat" w:hAnsi="GHEA Grapalat" w:cs="Sylfaen"/>
          <w:color w:val="FF0000"/>
          <w:sz w:val="24"/>
          <w:szCs w:val="24"/>
          <w:lang w:val="hy-AM"/>
        </w:rPr>
        <w:t>նախնական գնահատման հայտը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, որը պարունակում է. </w:t>
      </w:r>
    </w:p>
    <w:p w:rsidR="00A64056" w:rsidRPr="00F7275E" w:rsidRDefault="00A64056" w:rsidP="00A64056">
      <w:pPr>
        <w:ind w:left="7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473DE5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 ձեռնարկողի անվանումը, </w:t>
      </w:r>
    </w:p>
    <w:p w:rsidR="00A64056" w:rsidRPr="00F7275E" w:rsidRDefault="00A64056" w:rsidP="00A64056">
      <w:pPr>
        <w:ind w:left="7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473DE5">
        <w:rPr>
          <w:rFonts w:ascii="GHEA Grapalat" w:hAnsi="GHEA Grapalat" w:cs="Sylfaen"/>
          <w:sz w:val="24"/>
          <w:szCs w:val="24"/>
          <w:lang w:val="hy-AM"/>
        </w:rPr>
        <w:t>)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 հիմնադրութային փաստաթղթի անվանումը, ամփոփ նկարագիրը,  </w:t>
      </w:r>
    </w:p>
    <w:p w:rsidR="00A64056" w:rsidRPr="00F7275E" w:rsidRDefault="00A64056" w:rsidP="00A64056">
      <w:pPr>
        <w:ind w:left="7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3DE5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նպատակը, կապը այլ հիմնադրութային փաստաթղթերի հետ, </w:t>
      </w:r>
    </w:p>
    <w:p w:rsidR="00A64056" w:rsidRPr="00F7275E" w:rsidRDefault="00A64056" w:rsidP="00A64056">
      <w:pPr>
        <w:ind w:left="7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տեղեկատվություն շրջակա միջավայրի և մարդու առողջության վրա </w:t>
      </w:r>
    </w:p>
    <w:p w:rsidR="00A64056" w:rsidRPr="00F7275E" w:rsidRDefault="00A64056" w:rsidP="00A64056">
      <w:pPr>
        <w:ind w:left="7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հնարավոր ազդեցությունների վերաբերյալ, այդ թվում՝ անդրսահմանային </w:t>
      </w:r>
    </w:p>
    <w:p w:rsidR="00A64056" w:rsidRPr="00F7275E" w:rsidRDefault="00A64056" w:rsidP="00A64056">
      <w:pPr>
        <w:ind w:left="7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ազդեցությունների, </w:t>
      </w:r>
    </w:p>
    <w:p w:rsidR="00A64056" w:rsidRPr="00A33A38" w:rsidRDefault="00A64056" w:rsidP="00A64056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3DE5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հիմնադրութային փաստաթղթի իրականացման այլընտրանքները, այդ թվում զրոյական տարբերակները, </w:t>
      </w:r>
    </w:p>
    <w:p w:rsidR="00A64056" w:rsidRPr="00A33A38" w:rsidRDefault="00A64056" w:rsidP="00A64056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3A38">
        <w:rPr>
          <w:rFonts w:ascii="GHEA Grapalat" w:hAnsi="GHEA Grapalat" w:cs="Sylfaen"/>
          <w:sz w:val="24"/>
          <w:szCs w:val="24"/>
          <w:lang w:val="hy-AM"/>
        </w:rPr>
        <w:t xml:space="preserve">ՌԷԳ իրականացման համար նախատեսվող ուսումնասիրությունները, մեթոդները, չափորոշիչները, </w:t>
      </w:r>
    </w:p>
    <w:p w:rsidR="00A64056" w:rsidRPr="00A33A38" w:rsidRDefault="00A64056" w:rsidP="00A64056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3A38">
        <w:rPr>
          <w:rFonts w:ascii="GHEA Grapalat" w:hAnsi="GHEA Grapalat" w:cs="Sylfaen"/>
          <w:sz w:val="24"/>
          <w:szCs w:val="24"/>
          <w:lang w:val="hy-AM"/>
        </w:rPr>
        <w:t xml:space="preserve"> հիմնադրութային փաստաթղթի դրույթների իրականացման հնարավոր ազդեցությունների կանխարգելմանն ու նվազեցմանն ուղղված նախատեսվող միջոցառումների վերաբերյալ նախնական առաջարկություններ, </w:t>
      </w:r>
    </w:p>
    <w:p w:rsidR="00A64056" w:rsidRPr="00A33A38" w:rsidRDefault="00A64056" w:rsidP="00A64056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3A38">
        <w:rPr>
          <w:rFonts w:ascii="GHEA Grapalat" w:hAnsi="GHEA Grapalat" w:cs="Sylfaen"/>
          <w:sz w:val="24"/>
          <w:szCs w:val="24"/>
          <w:lang w:val="hy-AM"/>
        </w:rPr>
        <w:t>առաջարկություն ՌԷԳ հաշվետվության բովանդակության վերաբերյալ,</w:t>
      </w:r>
    </w:p>
    <w:p w:rsidR="00A64056" w:rsidRPr="00A33A38" w:rsidRDefault="00A64056" w:rsidP="00A64056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3A38">
        <w:rPr>
          <w:rFonts w:ascii="GHEA Grapalat" w:hAnsi="GHEA Grapalat" w:cs="Sylfaen"/>
          <w:sz w:val="24"/>
          <w:szCs w:val="24"/>
          <w:lang w:val="hy-AM"/>
        </w:rPr>
        <w:t xml:space="preserve">տեղեկություն ազդակիր համայնքների վերաբերյալ, </w:t>
      </w:r>
    </w:p>
    <w:p w:rsidR="00A64056" w:rsidRPr="00A33A38" w:rsidRDefault="00A64056" w:rsidP="00A64056">
      <w:pPr>
        <w:pStyle w:val="ListParagraph"/>
        <w:numPr>
          <w:ilvl w:val="0"/>
          <w:numId w:val="6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3A38">
        <w:rPr>
          <w:rFonts w:ascii="GHEA Grapalat" w:hAnsi="GHEA Grapalat" w:cs="Sylfaen"/>
          <w:sz w:val="24"/>
          <w:szCs w:val="24"/>
          <w:lang w:val="hy-AM"/>
        </w:rPr>
        <w:t xml:space="preserve">գործընթացի մասնակիցների առաջարկությունների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Pr="00A33A38">
        <w:rPr>
          <w:rFonts w:ascii="GHEA Grapalat" w:hAnsi="GHEA Grapalat" w:cs="Sylfaen"/>
          <w:sz w:val="24"/>
          <w:szCs w:val="24"/>
          <w:lang w:val="hy-AM"/>
        </w:rPr>
        <w:t xml:space="preserve">և այլ առնչվող լրացուցիչ տեղեկատվություն:  </w:t>
      </w:r>
    </w:p>
    <w:p w:rsidR="00A64056" w:rsidRPr="00F7275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Ձեռնարկողը ՌԷԳ շրջանակները որոշելու դիմումը լիազոր մարմին ներկայացնելուն զուգահեռ իրականացնում է հանրային ծանուցում: </w:t>
      </w:r>
      <w:r w:rsidRPr="00F7275E">
        <w:rPr>
          <w:rFonts w:ascii="Sylfaen" w:hAnsi="Sylfaen" w:cs="Sylfaen"/>
          <w:lang w:val="hy-AM"/>
        </w:rPr>
        <w:t xml:space="preserve"> </w:t>
      </w:r>
    </w:p>
    <w:p w:rsidR="00A64056" w:rsidRPr="00A33A38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3A38">
        <w:rPr>
          <w:rFonts w:ascii="GHEA Grapalat" w:hAnsi="GHEA Grapalat" w:cs="Sylfaen"/>
          <w:sz w:val="24"/>
          <w:szCs w:val="24"/>
          <w:lang w:val="hy-AM"/>
        </w:rPr>
        <w:t xml:space="preserve">Ծանուցումը կազմվում  և իրականացվում է համաձայն օրենքի   29-րդ հոդվածի, այն տպագրվում է թերթում, փակցվում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տեղական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ինքնակառավարման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և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տարածքային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կառավարման</w:t>
      </w:r>
      <w:r w:rsidRPr="00A33A3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A33A38">
        <w:rPr>
          <w:rFonts w:ascii="GHEA Grapalat" w:hAnsi="GHEA Grapalat" w:cs="Sylfaen"/>
          <w:color w:val="FF0000"/>
          <w:sz w:val="24"/>
          <w:szCs w:val="24"/>
          <w:lang w:val="de-CH"/>
        </w:rPr>
        <w:t>մարմինների</w:t>
      </w:r>
      <w:r w:rsidRPr="00A33A38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, </w:t>
      </w:r>
      <w:r w:rsidRPr="00A33A38">
        <w:rPr>
          <w:rFonts w:ascii="GHEA Grapalat" w:hAnsi="GHEA Grapalat" w:cs="Sylfaen"/>
          <w:sz w:val="24"/>
          <w:szCs w:val="24"/>
          <w:lang w:val="hy-AM"/>
        </w:rPr>
        <w:t>հանրային նշանակության շենքերի՝ հայտարարությունների համար առանձնացված ցուցատախտակի վրա, տեղադրվում է ձեռնարկողի պաշտոնական կայք էջում, իսկ  փորձաքննության ներկայացնելուց հետո տեղադրվում է նաև լիազոր մարմնի պաշտոնական կայք էջում:</w:t>
      </w:r>
    </w:p>
    <w:p w:rsidR="00A64056" w:rsidRPr="00F7275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>Ծանուցումը  պարունակում է տեղեկատվություն հիմնադրութային փաստաթղթի դրույթների վերաբերյալ, փաստաթղթերին /էլեկտրոնային, թղթային/ ծանոթանալու և տեղեկատվության ստացման հնարավորությունը, վայրը, առաջարկությունների ներկայացման համար նախատեսված հասցեն  և ժամկետները: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Հանրությունը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ծանուցումից հետ </w:t>
      </w:r>
      <w:r w:rsidRPr="00A33A38">
        <w:rPr>
          <w:rFonts w:ascii="GHEA Grapalat" w:hAnsi="GHEA Grapalat" w:cs="Sylfaen"/>
          <w:color w:val="FF0000"/>
          <w:sz w:val="24"/>
          <w:szCs w:val="24"/>
          <w:lang w:val="hy-AM"/>
        </w:rPr>
        <w:t>20 աշխատանքային օրվա ընթացքում</w:t>
      </w:r>
      <w:r w:rsidRPr="00F7275E">
        <w:rPr>
          <w:rFonts w:ascii="GHEA Grapalat" w:hAnsi="GHEA Grapalat" w:cs="Sylfaen"/>
          <w:sz w:val="24"/>
          <w:szCs w:val="24"/>
          <w:lang w:val="hy-AM"/>
        </w:rPr>
        <w:t xml:space="preserve"> կարող  է լիազոր մարմին ներկայացնել իր առաջարկությունները, դիտողությունները և կարծիքները:  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>Լիազոր մարմինը, մինչև ՌԷԳ շրջանակների որոշումը, կարող է դիմել առնչվող պետական մարմինների, մասնագիտացված կազմակերպություններին կամ  փորձագետի  անհրաժեշտ տեղեկատվություն, կարծիք կամ եզրակացություն  ստանալու հիմնավորմամբ: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ՌԷԳ շրջանակները որոշելու դիմումը ստանալուց հետո </w:t>
      </w:r>
      <w:r>
        <w:rPr>
          <w:rFonts w:ascii="GHEA Grapalat" w:hAnsi="GHEA Grapalat" w:cs="Sylfaen"/>
          <w:sz w:val="24"/>
          <w:szCs w:val="24"/>
          <w:lang w:val="hy-AM"/>
        </w:rPr>
        <w:t xml:space="preserve">30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աշխատանքային օր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վա 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 լիազոր մարմինը՝ հաշվի առնելով խորհրդակցությունների արդյունքները և հանրություն</w:t>
      </w:r>
      <w:r>
        <w:rPr>
          <w:rFonts w:ascii="GHEA Grapalat" w:hAnsi="GHEA Grapalat" w:cs="Sylfaen"/>
          <w:sz w:val="24"/>
          <w:szCs w:val="24"/>
          <w:lang w:val="hy-AM"/>
        </w:rPr>
        <w:t>ից ստացված առաջարկությունները  ձ</w:t>
      </w:r>
      <w:r w:rsidRPr="0009633E">
        <w:rPr>
          <w:rFonts w:ascii="GHEA Grapalat" w:hAnsi="GHEA Grapalat" w:cs="Sylfaen"/>
          <w:sz w:val="24"/>
          <w:szCs w:val="24"/>
          <w:lang w:val="hy-AM"/>
        </w:rPr>
        <w:t>եռնարկողին է տրամադրում  ՌԷԳ շրջանակները սահմանող գրություն` ներառելով և ամփոփելով ստացված կարծիքներն ու եզրակացությունները:</w:t>
      </w:r>
    </w:p>
    <w:p w:rsidR="00A64056" w:rsidRPr="00A33A38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lastRenderedPageBreak/>
        <w:t>ՌԷԳ շրջանակները սահմանող գրությունը ներառում է</w:t>
      </w:r>
      <w:r w:rsidRPr="00A33A38">
        <w:rPr>
          <w:rFonts w:ascii="GHEA Grapalat" w:hAnsi="GHEA Grapalat" w:cs="Sylfaen"/>
          <w:sz w:val="24"/>
          <w:szCs w:val="24"/>
          <w:lang w:val="hy-AM"/>
        </w:rPr>
        <w:t xml:space="preserve"> ՌԷԳ  տեղեկատվությանը և հաշվետվությունում դրա ներկայացմանը վերաբերող համապատասխան առաջադրանք: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Լիազոր մարմինն ու ձեռնարկողն ապահովում են ՌԷԳ շրջանակը սահմանող գրության մատչելիությունն իրենց պաշտոնական էլեկտրոնային կայքերի միջոցով: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>Հինգ տարվա ընթացքում հիմնադրութային փաստաթուղթը՝ ՌէԳ հաշվետվությամբ, փորձաքննության չներկայացնելու դեպքում Ձեռնարկողը նորից իրականացնում է ՌԷԳ շրջանակները որոշող գործընթաց:</w:t>
      </w:r>
    </w:p>
    <w:p w:rsidR="00A64056" w:rsidRPr="00552F15" w:rsidRDefault="00A64056" w:rsidP="00A64056">
      <w:pPr>
        <w:pStyle w:val="mechtex"/>
        <w:ind w:left="1070"/>
        <w:jc w:val="lef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A64056" w:rsidRPr="00A33A38" w:rsidRDefault="00A64056" w:rsidP="00A64056">
      <w:pPr>
        <w:pStyle w:val="mechtex"/>
        <w:ind w:left="1070"/>
        <w:jc w:val="left"/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</w:pPr>
      <w:r w:rsidRPr="009D5EE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IV. Ռազմավարական էկոլոգիական գնահատման </w:t>
      </w:r>
      <w:r w:rsidRPr="00A33A38"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  <w:t xml:space="preserve">հիմնական  փուլը </w:t>
      </w:r>
    </w:p>
    <w:p w:rsidR="00A64056" w:rsidRPr="0009633E" w:rsidRDefault="00A64056" w:rsidP="00A64056">
      <w:pPr>
        <w:pStyle w:val="ListParagraph"/>
        <w:spacing w:after="0" w:line="259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Ռազմավարական էկոլոգիական գնահատման հիմնական փուլում ՌԷԳ շրջանակների համաձայն </w:t>
      </w:r>
      <w:r w:rsidRPr="00A33A38">
        <w:rPr>
          <w:rFonts w:ascii="GHEA Grapalat" w:hAnsi="GHEA Grapalat" w:cs="Sylfaen"/>
          <w:sz w:val="24"/>
          <w:szCs w:val="24"/>
          <w:lang w:val="hy-AM"/>
        </w:rPr>
        <w:t>4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եռնարկողի կողմից կազմվում է ՌԷԳ հաշվետվություն: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Հաշվետվությունը կազմելիս հաշվի են առնվում նախորդող փուլերի խորհրդակցությունների արդյունքները, հանրության կարծիքներն ու առաջարկությունները: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>ՌԷԳ հաշվետվությունը հիմնադրութային փաստաթղթի մաս է կազմում և ենթակա է շրջակա միջավայրի վրա ազդեցության փորձաքննության: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` ՌԷԳ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հաշվետվությունը պետք է ներառի՝</w:t>
      </w:r>
    </w:p>
    <w:p w:rsidR="00A64056" w:rsidRPr="0009633E" w:rsidRDefault="00A64056" w:rsidP="00A64056">
      <w:pPr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համառոտ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կապը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և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9633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այլ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փաստաթղթին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պայմանագրերը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և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այլ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ակտերը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3) հնարավոր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տարածքին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շրջակա միջավայրի, ներառյալ բնակչության առողջության ներկա վիճակը, դրա հավանական փոփոխությունների միտումները առանց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փ</w:t>
      </w:r>
      <w:r>
        <w:rPr>
          <w:rFonts w:ascii="GHEA Grapalat" w:hAnsi="GHEA Grapalat" w:cs="Sylfaen"/>
          <w:sz w:val="24"/>
          <w:szCs w:val="24"/>
          <w:lang w:val="hy-AM"/>
        </w:rPr>
        <w:t>աստաթղթի դրույթների իրականացման,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B92035">
        <w:rPr>
          <w:rFonts w:ascii="GHEA Grapalat" w:hAnsi="GHEA Grapalat"/>
          <w:sz w:val="24"/>
          <w:szCs w:val="24"/>
          <w:lang w:val="hy-AM"/>
        </w:rPr>
        <w:t>h</w:t>
      </w:r>
      <w:r w:rsidRPr="0009633E">
        <w:rPr>
          <w:rFonts w:ascii="GHEA Grapalat" w:hAnsi="GHEA Grapalat" w:cs="Sylfaen"/>
          <w:sz w:val="24"/>
          <w:szCs w:val="24"/>
          <w:lang w:val="hy-AM"/>
        </w:rPr>
        <w:t>իմնադրութային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փաստաթղթի դրույթների իրականացման տարածքների շրջակա միջավայրի, ներառյալ բնակչության ա</w:t>
      </w:r>
      <w:r>
        <w:rPr>
          <w:rFonts w:ascii="GHEA Grapalat" w:hAnsi="GHEA Grapalat"/>
          <w:sz w:val="24"/>
          <w:szCs w:val="24"/>
          <w:lang w:val="hy-AM"/>
        </w:rPr>
        <w:t>ռողջության հետ կապված խնդիրները,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5)  </w:t>
      </w:r>
      <w:r>
        <w:rPr>
          <w:rFonts w:ascii="GHEA Grapalat" w:hAnsi="GHEA Grapalat"/>
          <w:sz w:val="24"/>
          <w:szCs w:val="24"/>
          <w:lang w:val="hy-AM"/>
        </w:rPr>
        <w:t>շ</w:t>
      </w:r>
      <w:r w:rsidRPr="0009633E">
        <w:rPr>
          <w:rFonts w:ascii="GHEA Grapalat" w:hAnsi="GHEA Grapalat"/>
          <w:sz w:val="24"/>
          <w:szCs w:val="24"/>
          <w:lang w:val="hy-AM"/>
        </w:rPr>
        <w:t>րջակա միջավայրին, ներառյալ բնակչության առողջությանը վերաբերվող միջազգային, ազգային և այլ մակարդակներում սահմանված նպատակները, որոնք վերաբերում են հիմնադրութային փաստաթղթին և այն ուղիները, նկատառումները, որոնք հաշվի են առնվել հիմն</w:t>
      </w:r>
      <w:r>
        <w:rPr>
          <w:rFonts w:ascii="GHEA Grapalat" w:hAnsi="GHEA Grapalat"/>
          <w:sz w:val="24"/>
          <w:szCs w:val="24"/>
          <w:lang w:val="hy-AM"/>
        </w:rPr>
        <w:t>ադրութային փաստաթղթերը մշակելիս,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փաստաթղթի դրույթների իրականացման դեպքում 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շրջակա միջավայրի, ներառյալ բնակչության առողջության վրա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հնարավոր ազդեցությու</w:t>
      </w:r>
      <w:r>
        <w:rPr>
          <w:rFonts w:ascii="GHEA Grapalat" w:hAnsi="GHEA Grapalat" w:cs="Sylfaen"/>
          <w:sz w:val="24"/>
          <w:szCs w:val="24"/>
          <w:lang w:val="hy-AM"/>
        </w:rPr>
        <w:t>նները, այդ թվում անդրսահմանային,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lastRenderedPageBreak/>
        <w:t xml:space="preserve">7)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մոտեցումների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այլընտրանքային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տարբերակների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այդ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զրոյական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համեմատությունը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և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նախընտրելի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տարբերակի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հիմնավորումը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և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ուժեղացման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բացառման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և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միջավայրին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հասցվող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վնասի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հատուցման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արդյունավետությունը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բավարարություն</w:t>
      </w:r>
      <w:r>
        <w:rPr>
          <w:rFonts w:ascii="GHEA Grapalat" w:hAnsi="GHEA Grapalat" w:cs="Sylfaen"/>
          <w:sz w:val="24"/>
          <w:szCs w:val="24"/>
          <w:lang w:val="hy-AM"/>
        </w:rPr>
        <w:t>ը,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մշտադիտարկման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9633E">
        <w:rPr>
          <w:rFonts w:ascii="GHEA Grapalat" w:hAnsi="GHEA Grapalat" w:cs="Sylfaen"/>
          <w:sz w:val="24"/>
          <w:szCs w:val="24"/>
          <w:lang w:val="hy-AM"/>
        </w:rPr>
        <w:t>մոնիթորինգի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և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հետնախագծային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ծրագիրը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10)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հայտ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եկած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խոչընդոտների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դժվարությունների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11)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հաշվետվությունում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ներառված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աղբյուրների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12) </w:t>
      </w:r>
      <w:r w:rsidRPr="0009633E">
        <w:rPr>
          <w:rFonts w:ascii="GHEA Grapalat" w:hAnsi="GHEA Grapalat"/>
          <w:spacing w:val="-6"/>
          <w:sz w:val="24"/>
          <w:szCs w:val="24"/>
          <w:lang w:val="hy-AM"/>
        </w:rPr>
        <w:t>տեղեկատվություն հանրության ծանուցման, քննարկումների արդյունքների, գրավոր կամ բանավոր ներկայացված դիտողությունների և առաջարկությունների, դրանց ընդունման կամ չընդունման  հիմնավորումների վերաբերյալ համապատասխան տեղեկատվություն</w:t>
      </w:r>
      <w:r>
        <w:rPr>
          <w:rFonts w:ascii="GHEA Grapalat" w:hAnsi="GHEA Grapalat"/>
          <w:spacing w:val="-6"/>
          <w:sz w:val="24"/>
          <w:szCs w:val="24"/>
          <w:lang w:val="hy-AM"/>
        </w:rPr>
        <w:t>,</w:t>
      </w:r>
    </w:p>
    <w:p w:rsidR="00A64056" w:rsidRPr="0009633E" w:rsidRDefault="00A64056" w:rsidP="00A64056">
      <w:pPr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13)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հաշվետվության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ամփոփ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բովանդակությունը. որը ներառում է հիմնադրութային փաստաթղթի ոչ տեխնիկական նկարագիրը, շրջակա միջավայրի վրա ազդեցությունների և դրանց մեղմման միջոցառումների   հանրամատչելի, համառոտ նկարագիրը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>Ձեռնարկողը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ՌԷԳ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հաշվետվությունը 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և հիմնադրութային փասթաթուղթը 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ներկայացնում է  առողջապահության նախարարություն,  առնչվող պետական կառավարման և տեղական ինքնակառավարման մարմիններ: Վերջիններս պարտավոր են ՌԷԳ հաշվետվության և  հիմնադրութային փասատաթղթի վերաբերյալ </w:t>
      </w:r>
      <w:r w:rsidRPr="0009633E">
        <w:rPr>
          <w:rFonts w:ascii="GHEA Grapalat" w:hAnsi="GHEA Grapalat"/>
          <w:sz w:val="24"/>
          <w:szCs w:val="24"/>
          <w:lang w:val="hy-AM"/>
        </w:rPr>
        <w:t>իրենց գրավոր՝ թղթային կամ էլեկտրոնային,</w:t>
      </w:r>
      <w:r>
        <w:rPr>
          <w:rFonts w:ascii="GHEA Grapalat" w:hAnsi="GHEA Grapalat"/>
          <w:sz w:val="24"/>
          <w:szCs w:val="24"/>
          <w:lang w:val="hy-AM"/>
        </w:rPr>
        <w:t xml:space="preserve"> առաջարկությունները 20 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աշխատանքային օրվա ընթացքում ներկայացնել ձեռնարկողին: 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>Սույն կարգի 39-րդ կետում նախատեսված սուբյեկտներին դիմելուն զուգահեռ ձեռնարկողը ՌԷԳ հաշվետվությունը և  հիմնադրութային փասատաթուղթը տեղադրում է  իր պաշտոնական կայք էջում: Ձեռնարկողն ապահովում է նաև ՌԷԳ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հաշվետվության </w:t>
      </w:r>
      <w:r w:rsidRPr="0009633E">
        <w:rPr>
          <w:rFonts w:ascii="GHEA Grapalat" w:hAnsi="GHEA Grapalat"/>
          <w:sz w:val="24"/>
          <w:szCs w:val="24"/>
          <w:lang w:val="hy-AM"/>
        </w:rPr>
        <w:t>և հիմնադրութային փաստաթղթի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 թղթային տարբերակի հասանելիությունը հանրության համար: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ՌԷԳ հաշվետվությունը և  հիմնադրութային փասատաթուղթը ձեռնարկողի պաշտոնական կայք էջում հրապարակելուց </w:t>
      </w:r>
      <w:r w:rsidRPr="0009633E">
        <w:rPr>
          <w:rFonts w:ascii="GHEA Grapalat" w:hAnsi="GHEA Grapalat"/>
          <w:sz w:val="24"/>
          <w:szCs w:val="24"/>
          <w:lang w:val="hy-AM"/>
        </w:rPr>
        <w:t>հետո 20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/>
          <w:sz w:val="24"/>
          <w:szCs w:val="24"/>
          <w:lang w:val="hy-AM"/>
        </w:rPr>
        <w:t>աշխատանքային օրվա ընթացքում հանրությունը կարող է իր դիտողություններն, առաջարկություններն ու կարծիքները գրավոր՝ թղթային կամ էլեկտրոնային ձևով ներկայացնել ձեռնարկողին: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lastRenderedPageBreak/>
        <w:t>ՌԷԳ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հաշվետվությունը </w:t>
      </w:r>
      <w:r w:rsidRPr="0009633E">
        <w:rPr>
          <w:rFonts w:ascii="GHEA Grapalat" w:hAnsi="GHEA Grapalat"/>
          <w:sz w:val="24"/>
          <w:szCs w:val="24"/>
          <w:lang w:val="hy-AM"/>
        </w:rPr>
        <w:t>և հիմնադրութային փասթաթուղթը, ներառյալ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 առողջապահության նախարարության,  առնչվող պետական կառավարման և տեղական ինքնակառավարման մարմիններ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ի եզրակացություններն ու կարծիքները, հանրության առաջարկությունները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6EE1">
        <w:rPr>
          <w:rFonts w:ascii="GHEA Grapalat" w:hAnsi="GHEA Grapalat"/>
          <w:sz w:val="24"/>
          <w:szCs w:val="24"/>
          <w:highlight w:val="yellow"/>
          <w:lang w:val="hy-AM"/>
        </w:rPr>
        <w:t>30-րդ հոդվածի 3-րդ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6EE1">
        <w:rPr>
          <w:rFonts w:ascii="GHEA Grapalat" w:hAnsi="GHEA Grapalat"/>
          <w:sz w:val="24"/>
          <w:szCs w:val="24"/>
          <w:lang w:val="hy-AM"/>
        </w:rPr>
        <w:t xml:space="preserve">մասի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ձ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եռնարկողը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է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լիազոր մարմնին</w:t>
      </w:r>
      <w:r w:rsidRPr="0009633E">
        <w:rPr>
          <w:rFonts w:ascii="GHEA Grapalat" w:hAnsi="GHEA Grapalat" w:cs="Sylfaen"/>
          <w:sz w:val="24"/>
          <w:szCs w:val="24"/>
          <w:lang w:val="hy-AM"/>
        </w:rPr>
        <w:t>՝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վրա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09633E">
        <w:rPr>
          <w:rFonts w:ascii="GHEA Grapalat" w:hAnsi="GHEA Grapalat"/>
          <w:sz w:val="24"/>
          <w:szCs w:val="24"/>
          <w:lang w:val="hy-AM"/>
        </w:rPr>
        <w:t>: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>Փորձաքննությունն իրականացվում է օրենքով սահմանված կարգով և     ժամկետներում:</w:t>
      </w:r>
    </w:p>
    <w:p w:rsidR="00A64056" w:rsidRPr="00062B58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 w:cs="Sylfaen"/>
          <w:sz w:val="24"/>
          <w:szCs w:val="24"/>
          <w:lang w:val="hy-AM"/>
        </w:rPr>
        <w:t>ՌԷԳ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հաշվետվությունը </w:t>
      </w:r>
      <w:r w:rsidRPr="0009633E">
        <w:rPr>
          <w:rFonts w:ascii="GHEA Grapalat" w:hAnsi="GHEA Grapalat"/>
          <w:sz w:val="24"/>
          <w:szCs w:val="24"/>
          <w:lang w:val="hy-AM"/>
        </w:rPr>
        <w:t>և հիմնադրութային փասթաթուղթը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 փորձաքն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նության ներկայացնելուց հետո՝ հինգ </w:t>
      </w:r>
      <w:r w:rsidRPr="0009633E">
        <w:rPr>
          <w:rFonts w:ascii="GHEA Grapalat" w:hAnsi="GHEA Grapalat" w:cs="Sylfaen"/>
          <w:sz w:val="24"/>
          <w:szCs w:val="24"/>
          <w:lang w:val="hy-AM"/>
        </w:rPr>
        <w:t>աշխատանքային օր</w:t>
      </w:r>
      <w:r>
        <w:rPr>
          <w:rFonts w:ascii="GHEA Grapalat" w:hAnsi="GHEA Grapalat" w:cs="Sylfaen"/>
          <w:sz w:val="24"/>
          <w:szCs w:val="24"/>
          <w:lang w:val="hy-AM"/>
        </w:rPr>
        <w:t>վա ընթացքում</w:t>
      </w:r>
      <w:r w:rsidRPr="0009633E">
        <w:rPr>
          <w:rFonts w:ascii="GHEA Grapalat" w:hAnsi="GHEA Grapalat" w:cs="Sylfaen"/>
          <w:sz w:val="24"/>
          <w:szCs w:val="24"/>
          <w:lang w:val="hy-AM"/>
        </w:rPr>
        <w:t xml:space="preserve"> լիազոր մարմինը դրանք տեղադրում է  իր պաշտոնական կայք էջում: Ձեռնարկողը փորձաքննության դիմելուց 18- աշխատանքային օր  հետո կազմակերպում և իրականացնում է հանրային քննարկում</w:t>
      </w:r>
      <w:r w:rsidRPr="0009633E">
        <w:rPr>
          <w:rFonts w:ascii="GHEA Grapalat" w:hAnsi="GHEA Grapalat"/>
          <w:sz w:val="24"/>
          <w:szCs w:val="24"/>
          <w:lang w:val="hy-AM"/>
        </w:rPr>
        <w:t>:</w:t>
      </w:r>
      <w:r w:rsidRPr="00DC3796">
        <w:rPr>
          <w:rFonts w:ascii="GHEA Grapalat" w:hAnsi="GHEA Grapalat"/>
          <w:sz w:val="24"/>
          <w:szCs w:val="24"/>
          <w:lang w:val="hy-AM"/>
        </w:rPr>
        <w:t xml:space="preserve"> Հանրային քննարկումների վերաբերյալ ծանուցումը տպագրվում է </w:t>
      </w:r>
      <w:r w:rsidRPr="00062B58">
        <w:rPr>
          <w:rFonts w:ascii="GHEA Grapalat" w:hAnsi="GHEA Grapalat" w:cs="Sylfaen"/>
          <w:sz w:val="24"/>
          <w:szCs w:val="24"/>
          <w:lang w:val="hy-AM"/>
        </w:rPr>
        <w:t xml:space="preserve">թերթում, </w:t>
      </w:r>
      <w:r w:rsidRPr="00062B58">
        <w:rPr>
          <w:rFonts w:ascii="GHEA Grapalat" w:hAnsi="GHEA Grapalat" w:cs="Sylfaen"/>
          <w:color w:val="FF0000"/>
          <w:sz w:val="24"/>
          <w:szCs w:val="24"/>
          <w:lang w:val="hy-AM"/>
        </w:rPr>
        <w:t>փակցվում</w:t>
      </w:r>
      <w:r w:rsidRPr="00062B58">
        <w:rPr>
          <w:rFonts w:ascii="GHEA Grapalat" w:hAnsi="GHEA Grapalat" w:cs="Sylfaen"/>
          <w:color w:val="FF0000"/>
          <w:sz w:val="24"/>
          <w:szCs w:val="24"/>
          <w:lang w:val="de-CH"/>
        </w:rPr>
        <w:t xml:space="preserve"> տեղական</w:t>
      </w:r>
      <w:r w:rsidRPr="00062B5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062B58">
        <w:rPr>
          <w:rFonts w:ascii="GHEA Grapalat" w:hAnsi="GHEA Grapalat" w:cs="Sylfaen"/>
          <w:color w:val="FF0000"/>
          <w:sz w:val="24"/>
          <w:szCs w:val="24"/>
          <w:lang w:val="de-CH"/>
        </w:rPr>
        <w:t>ինքնակառավարման</w:t>
      </w:r>
      <w:r w:rsidRPr="00062B5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062B58">
        <w:rPr>
          <w:rFonts w:ascii="GHEA Grapalat" w:hAnsi="GHEA Grapalat" w:cs="Sylfaen"/>
          <w:color w:val="FF0000"/>
          <w:sz w:val="24"/>
          <w:szCs w:val="24"/>
          <w:lang w:val="de-CH"/>
        </w:rPr>
        <w:t>և</w:t>
      </w:r>
      <w:r w:rsidRPr="00062B5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062B58">
        <w:rPr>
          <w:rFonts w:ascii="GHEA Grapalat" w:hAnsi="GHEA Grapalat" w:cs="Sylfaen"/>
          <w:color w:val="FF0000"/>
          <w:sz w:val="24"/>
          <w:szCs w:val="24"/>
          <w:lang w:val="de-CH"/>
        </w:rPr>
        <w:t>տարածքային</w:t>
      </w:r>
      <w:r w:rsidRPr="00062B5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062B58">
        <w:rPr>
          <w:rFonts w:ascii="GHEA Grapalat" w:hAnsi="GHEA Grapalat" w:cs="Sylfaen"/>
          <w:color w:val="FF0000"/>
          <w:sz w:val="24"/>
          <w:szCs w:val="24"/>
          <w:lang w:val="de-CH"/>
        </w:rPr>
        <w:t>կառավարման</w:t>
      </w:r>
      <w:r w:rsidRPr="00062B58">
        <w:rPr>
          <w:rFonts w:ascii="GHEA Grapalat" w:hAnsi="GHEA Grapalat"/>
          <w:color w:val="FF0000"/>
          <w:sz w:val="24"/>
          <w:szCs w:val="24"/>
          <w:lang w:val="de-CH"/>
        </w:rPr>
        <w:t xml:space="preserve"> </w:t>
      </w:r>
      <w:r w:rsidRPr="00062B58">
        <w:rPr>
          <w:rFonts w:ascii="GHEA Grapalat" w:hAnsi="GHEA Grapalat" w:cs="Sylfaen"/>
          <w:color w:val="FF0000"/>
          <w:sz w:val="24"/>
          <w:szCs w:val="24"/>
          <w:lang w:val="de-CH"/>
        </w:rPr>
        <w:t>մարմինների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de-CH"/>
        </w:rPr>
        <w:t>,</w:t>
      </w:r>
      <w:r w:rsidRPr="00062B58">
        <w:rPr>
          <w:rFonts w:ascii="GHEA Grapalat" w:hAnsi="GHEA Grapalat" w:cs="Sylfaen"/>
          <w:sz w:val="24"/>
          <w:szCs w:val="24"/>
          <w:lang w:val="hy-AM"/>
        </w:rPr>
        <w:t xml:space="preserve"> հանրային նշանակության </w:t>
      </w:r>
      <w:r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062B58">
        <w:rPr>
          <w:rFonts w:ascii="GHEA Grapalat" w:hAnsi="GHEA Grapalat" w:cs="Sylfaen"/>
          <w:sz w:val="24"/>
          <w:szCs w:val="24"/>
          <w:lang w:val="hy-AM"/>
        </w:rPr>
        <w:t xml:space="preserve"> հայտարարությունների համար առանձնացված ցուցատախտակների վրա: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>Հանրային քննարկումն իրականացվում է այն համայնքի վարչական տարածքում, որին վերաբերում է հիմնադրութային փաստաթուղթը: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>Մեկից ավելի համայնքներին վերաբերելու դեպքում   քննարկումները իրականացվում են մարզպետարանում</w:t>
      </w:r>
      <w:r w:rsidRPr="00770ED5">
        <w:rPr>
          <w:rFonts w:ascii="GHEA Grapalat" w:hAnsi="GHEA Grapalat"/>
          <w:sz w:val="24"/>
          <w:szCs w:val="24"/>
          <w:lang w:val="hy-AM"/>
        </w:rPr>
        <w:t>՝</w:t>
      </w:r>
      <w:r w:rsidRPr="0009633E">
        <w:rPr>
          <w:rFonts w:ascii="GHEA Grapalat" w:hAnsi="GHEA Grapalat"/>
          <w:sz w:val="24"/>
          <w:szCs w:val="24"/>
          <w:lang w:val="hy-AM"/>
        </w:rPr>
        <w:t xml:space="preserve"> ներգրա</w:t>
      </w:r>
      <w:r>
        <w:rPr>
          <w:rFonts w:ascii="GHEA Grapalat" w:hAnsi="GHEA Grapalat"/>
          <w:sz w:val="24"/>
          <w:szCs w:val="24"/>
          <w:lang w:val="hy-AM"/>
        </w:rPr>
        <w:t>վելով բոլոր ազդակիր համայնքներ</w:t>
      </w:r>
      <w:r w:rsidRPr="00770ED5">
        <w:rPr>
          <w:rFonts w:ascii="GHEA Grapalat" w:hAnsi="GHEA Grapalat"/>
          <w:sz w:val="24"/>
          <w:szCs w:val="24"/>
          <w:lang w:val="hy-AM"/>
        </w:rPr>
        <w:t>ին</w:t>
      </w:r>
      <w:r w:rsidRPr="0009633E">
        <w:rPr>
          <w:rFonts w:ascii="GHEA Grapalat" w:hAnsi="GHEA Grapalat"/>
          <w:sz w:val="24"/>
          <w:szCs w:val="24"/>
          <w:lang w:val="hy-AM"/>
        </w:rPr>
        <w:t>: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>Մի քանի մարզի վերաբերելու դեպքում, քննարկումները իրականացվում են առավել մեծ ներգրավվածություն ունեցող մարզում, ներգրավելով և ծանուցելով բոլոր ազդակիր համայնքներին: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/>
          <w:sz w:val="24"/>
          <w:szCs w:val="24"/>
          <w:lang w:val="hy-AM"/>
        </w:rPr>
        <w:t xml:space="preserve">Հանրապետության ամբողջ տարածքին վերաբերելու դեպքում քննարկումները իրականացվում են Երևան քաղաքում, այդ մասին  ծանուցելուվ բոլոր ազդակիր համայնքներին: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/>
          <w:bCs/>
          <w:sz w:val="24"/>
          <w:szCs w:val="24"/>
          <w:lang w:val="hy-AM"/>
        </w:rPr>
        <w:t xml:space="preserve">ՌԷԳ հաշվետվության եզրահանգումները, հանրության և գործընթացի մասնակիցների դիտողությունները և առաջարկությունները, անդրսահմանային քննարկումների իրականացման  դեպքում, դրանց արդյունքները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70ED5">
        <w:rPr>
          <w:rFonts w:ascii="GHEA Grapalat" w:hAnsi="GHEA Grapalat"/>
          <w:bCs/>
          <w:sz w:val="24"/>
          <w:szCs w:val="24"/>
          <w:lang w:val="hy-AM"/>
        </w:rPr>
        <w:t>ձ</w:t>
      </w:r>
      <w:r w:rsidRPr="0009633E">
        <w:rPr>
          <w:rFonts w:ascii="GHEA Grapalat" w:hAnsi="GHEA Grapalat"/>
          <w:bCs/>
          <w:sz w:val="24"/>
          <w:szCs w:val="24"/>
          <w:lang w:val="hy-AM"/>
        </w:rPr>
        <w:t xml:space="preserve">եռնարկողը կամ հիմնադրութային փաստաթուղթ հաստատող մարմինը ներառում և հաշվի են առնում հիմնադրութային փաստաթղթում, չներառելու կամ հաշվի չառնելու  դեպքում՝ ներկայացնում են հիմնավոր պատճառաբանություններ: </w:t>
      </w:r>
    </w:p>
    <w:p w:rsidR="00A64056" w:rsidRPr="0009633E" w:rsidRDefault="00A64056" w:rsidP="00A64056">
      <w:pPr>
        <w:pStyle w:val="ListParagraph"/>
        <w:numPr>
          <w:ilvl w:val="0"/>
          <w:numId w:val="2"/>
        </w:numPr>
        <w:spacing w:after="0" w:line="259" w:lineRule="auto"/>
        <w:ind w:left="709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33E">
        <w:rPr>
          <w:rFonts w:ascii="GHEA Grapalat" w:hAnsi="GHEA Grapalat"/>
          <w:bCs/>
          <w:sz w:val="24"/>
          <w:szCs w:val="24"/>
          <w:lang w:val="hy-AM"/>
        </w:rPr>
        <w:t>Հանրության և գործընթացի մասնակիցների դիտողությունների և առաջարկությունների վերաբերյալ համապատասխան մեկնաբանությունները ներառվում են փորձաքննական եզրակացությունում:</w:t>
      </w:r>
    </w:p>
    <w:p w:rsidR="00A64056" w:rsidRPr="006E0C72" w:rsidRDefault="00A64056" w:rsidP="00A64056">
      <w:pPr>
        <w:pStyle w:val="Default"/>
        <w:rPr>
          <w:rFonts w:ascii="GHEA Grapalat" w:hAnsi="GHEA Grapalat"/>
          <w:b/>
          <w:bCs/>
          <w:color w:val="auto"/>
          <w:lang w:val="hy-AM"/>
        </w:rPr>
      </w:pPr>
    </w:p>
    <w:p w:rsidR="00A64056" w:rsidRDefault="00A64056" w:rsidP="00A64056">
      <w:pPr>
        <w:pStyle w:val="Default"/>
        <w:jc w:val="center"/>
        <w:rPr>
          <w:rFonts w:ascii="GHEA Grapalat" w:hAnsi="GHEA Grapalat"/>
          <w:b/>
          <w:bCs/>
          <w:color w:val="auto"/>
          <w:lang w:val="fr-CH"/>
        </w:rPr>
      </w:pPr>
      <w:r w:rsidRPr="009D5EEA">
        <w:rPr>
          <w:rFonts w:ascii="GHEA Grapalat" w:hAnsi="GHEA Grapalat"/>
          <w:b/>
          <w:bCs/>
          <w:color w:val="auto"/>
          <w:lang w:val="hy-AM"/>
        </w:rPr>
        <w:t>V. Մոնիտորինգ և հետնախագծային վերլուծություն</w:t>
      </w:r>
    </w:p>
    <w:p w:rsidR="00A64056" w:rsidRPr="009D5EEA" w:rsidRDefault="00A64056" w:rsidP="00A64056">
      <w:pPr>
        <w:pStyle w:val="mechtex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64056" w:rsidRDefault="00A64056" w:rsidP="00A64056">
      <w:pPr>
        <w:pStyle w:val="mechtex"/>
        <w:numPr>
          <w:ilvl w:val="0"/>
          <w:numId w:val="2"/>
        </w:numPr>
        <w:ind w:left="567" w:hanging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/>
          <w:bCs/>
          <w:sz w:val="24"/>
          <w:szCs w:val="24"/>
          <w:lang w:val="hy-AM"/>
        </w:rPr>
        <w:t xml:space="preserve">Ձեռնարկողը, իր լիազորությունների շրջանակում  </w:t>
      </w:r>
      <w:r w:rsidRPr="00552F15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Pr="009D5EEA">
        <w:rPr>
          <w:rFonts w:ascii="GHEA Grapalat" w:hAnsi="GHEA Grapalat"/>
          <w:bCs/>
          <w:sz w:val="24"/>
          <w:szCs w:val="24"/>
          <w:lang w:val="hy-AM"/>
        </w:rPr>
        <w:t>իրականացնում է մոնի</w:t>
      </w:r>
      <w:r>
        <w:rPr>
          <w:rFonts w:ascii="GHEA Grapalat" w:hAnsi="GHEA Grapalat"/>
          <w:bCs/>
          <w:sz w:val="24"/>
          <w:szCs w:val="24"/>
          <w:lang w:val="hy-AM"/>
        </w:rPr>
        <w:t>թ</w:t>
      </w:r>
      <w:r w:rsidRPr="009D5EEA">
        <w:rPr>
          <w:rFonts w:ascii="GHEA Grapalat" w:hAnsi="GHEA Grapalat"/>
          <w:bCs/>
          <w:sz w:val="24"/>
          <w:szCs w:val="24"/>
          <w:lang w:val="hy-AM"/>
        </w:rPr>
        <w:t xml:space="preserve">որինգ, հիմնադրութային փաստաթղթի իրականացման, և դրա արդյունքում շրջակա միջավայրի վրա ազդեցությունների </w:t>
      </w:r>
      <w:r>
        <w:rPr>
          <w:rFonts w:ascii="GHEA Grapalat" w:hAnsi="GHEA Grapalat"/>
          <w:bCs/>
          <w:sz w:val="24"/>
          <w:szCs w:val="24"/>
          <w:lang w:val="hy-AM"/>
        </w:rPr>
        <w:t>վերաբերյա</w:t>
      </w:r>
      <w:r w:rsidRPr="00D67FBB">
        <w:rPr>
          <w:rFonts w:ascii="GHEA Grapalat" w:hAnsi="GHEA Grapalat"/>
          <w:bCs/>
          <w:sz w:val="24"/>
          <w:szCs w:val="24"/>
          <w:lang w:val="hy-AM"/>
        </w:rPr>
        <w:t>լ:</w:t>
      </w:r>
    </w:p>
    <w:p w:rsidR="00A64056" w:rsidRPr="009D5EEA" w:rsidRDefault="00A64056" w:rsidP="00A64056">
      <w:pPr>
        <w:pStyle w:val="mechtex"/>
        <w:numPr>
          <w:ilvl w:val="0"/>
          <w:numId w:val="2"/>
        </w:numPr>
        <w:ind w:left="709" w:hanging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/>
          <w:bCs/>
          <w:sz w:val="24"/>
          <w:szCs w:val="24"/>
          <w:lang w:val="hy-AM"/>
        </w:rPr>
        <w:t>Շրջակա միջավայրի, այդ թվում մարդու առողջության վրա չնախատեսված ազդեցությունների ի հայտ գալու դեպքում</w:t>
      </w:r>
      <w:r>
        <w:rPr>
          <w:rFonts w:ascii="GHEA Grapalat" w:hAnsi="GHEA Grapalat"/>
          <w:bCs/>
          <w:sz w:val="24"/>
          <w:szCs w:val="24"/>
          <w:lang w:val="hy-AM"/>
        </w:rPr>
        <w:t>,</w:t>
      </w:r>
      <w:r w:rsidRPr="009D5EEA">
        <w:rPr>
          <w:rFonts w:ascii="GHEA Grapalat" w:hAnsi="GHEA Grapalat"/>
          <w:bCs/>
          <w:sz w:val="24"/>
          <w:szCs w:val="24"/>
          <w:lang w:val="hy-AM"/>
        </w:rPr>
        <w:t xml:space="preserve"> ձեռնարկողը նախատեսում և իրականացնում  է շրջակա միջավայրի պահպանությանն ուղղված լրացուցիչ միջոցառումներ: </w:t>
      </w:r>
    </w:p>
    <w:p w:rsidR="00A64056" w:rsidRPr="009D5EEA" w:rsidRDefault="00A64056" w:rsidP="00A64056">
      <w:pPr>
        <w:pStyle w:val="mechtex"/>
        <w:numPr>
          <w:ilvl w:val="0"/>
          <w:numId w:val="2"/>
        </w:numPr>
        <w:ind w:left="709" w:hanging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D5EEA">
        <w:rPr>
          <w:rFonts w:ascii="GHEA Grapalat" w:hAnsi="GHEA Grapalat"/>
          <w:bCs/>
          <w:sz w:val="24"/>
          <w:szCs w:val="24"/>
          <w:lang w:val="hy-AM"/>
        </w:rPr>
        <w:t>Տարին մեկ անգամ մշտադիտարկման արդյունքները հրապարակվում է ձեռնարկողի էլ</w:t>
      </w:r>
      <w:r>
        <w:rPr>
          <w:rFonts w:ascii="GHEA Grapalat" w:hAnsi="GHEA Grapalat"/>
          <w:bCs/>
          <w:sz w:val="24"/>
          <w:szCs w:val="24"/>
          <w:lang w:val="hy-AM"/>
        </w:rPr>
        <w:t>եկտրոնային</w:t>
      </w:r>
      <w:r w:rsidRPr="009D5EE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կ</w:t>
      </w:r>
      <w:r w:rsidRPr="009D5EEA">
        <w:rPr>
          <w:rFonts w:ascii="GHEA Grapalat" w:hAnsi="GHEA Grapalat"/>
          <w:bCs/>
          <w:sz w:val="24"/>
          <w:szCs w:val="24"/>
          <w:lang w:val="hy-AM"/>
        </w:rPr>
        <w:t>այք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էջ</w:t>
      </w:r>
      <w:r w:rsidRPr="009D5EEA">
        <w:rPr>
          <w:rFonts w:ascii="GHEA Grapalat" w:hAnsi="GHEA Grapalat"/>
          <w:bCs/>
          <w:sz w:val="24"/>
          <w:szCs w:val="24"/>
          <w:lang w:val="hy-AM"/>
        </w:rPr>
        <w:t>ում:</w:t>
      </w:r>
    </w:p>
    <w:p w:rsidR="00A64056" w:rsidRPr="009D5EEA" w:rsidRDefault="00A64056" w:rsidP="00A64056">
      <w:pPr>
        <w:pStyle w:val="Default"/>
        <w:ind w:left="709"/>
        <w:jc w:val="both"/>
        <w:rPr>
          <w:rFonts w:ascii="GHEA Grapalat" w:hAnsi="GHEA Grapalat"/>
          <w:color w:val="auto"/>
          <w:lang w:val="hy-AM"/>
        </w:rPr>
      </w:pPr>
      <w:r w:rsidRPr="009D5EEA">
        <w:rPr>
          <w:rFonts w:ascii="GHEA Grapalat" w:hAnsi="GHEA Grapalat"/>
          <w:bCs/>
          <w:color w:val="auto"/>
          <w:lang w:val="hy-AM"/>
        </w:rPr>
        <w:t xml:space="preserve"> </w:t>
      </w:r>
    </w:p>
    <w:p w:rsidR="00A64056" w:rsidRPr="009D5EEA" w:rsidRDefault="00A64056" w:rsidP="00A64056">
      <w:pPr>
        <w:pStyle w:val="mechtex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A64056" w:rsidRPr="009D5EEA" w:rsidRDefault="00A64056" w:rsidP="00A64056">
      <w:pPr>
        <w:pStyle w:val="norm"/>
        <w:spacing w:line="240" w:lineRule="auto"/>
        <w:rPr>
          <w:rFonts w:ascii="GHEA Grapalat" w:hAnsi="GHEA Grapalat"/>
          <w:spacing w:val="-6"/>
          <w:sz w:val="24"/>
          <w:szCs w:val="24"/>
          <w:lang w:val="hy-AM"/>
        </w:rPr>
      </w:pPr>
      <w:r w:rsidRPr="009D5EEA">
        <w:rPr>
          <w:rFonts w:ascii="GHEA Grapalat" w:hAnsi="GHEA Grapalat"/>
          <w:spacing w:val="-6"/>
          <w:sz w:val="24"/>
          <w:szCs w:val="24"/>
          <w:lang w:val="hy-AM"/>
        </w:rPr>
        <w:t xml:space="preserve">  </w:t>
      </w:r>
    </w:p>
    <w:p w:rsidR="00A64056" w:rsidRPr="009D5EEA" w:rsidRDefault="00A64056" w:rsidP="00A64056">
      <w:pPr>
        <w:pStyle w:val="norm"/>
        <w:spacing w:line="240" w:lineRule="auto"/>
        <w:rPr>
          <w:rFonts w:ascii="GHEA Grapalat" w:hAnsi="GHEA Grapalat"/>
          <w:spacing w:val="-6"/>
          <w:sz w:val="24"/>
          <w:szCs w:val="24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Default="00A64056" w:rsidP="00A64056">
      <w:pPr>
        <w:ind w:right="-720"/>
        <w:rPr>
          <w:rFonts w:ascii="Sylfaen" w:hAnsi="Sylfaen"/>
          <w:lang w:val="hy-AM"/>
        </w:rPr>
      </w:pPr>
    </w:p>
    <w:p w:rsidR="00A64056" w:rsidRPr="00A64056" w:rsidRDefault="00A64056" w:rsidP="00A6405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64056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A64056" w:rsidRPr="00A64056" w:rsidRDefault="00A64056" w:rsidP="00A64056">
      <w:pPr>
        <w:jc w:val="both"/>
        <w:rPr>
          <w:sz w:val="24"/>
          <w:szCs w:val="24"/>
          <w:lang w:val="hy-AM"/>
        </w:rPr>
      </w:pPr>
    </w:p>
    <w:p w:rsidR="00A64056" w:rsidRPr="00A64056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64056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«</w:t>
      </w:r>
      <w:r w:rsidRPr="00A64056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 ԷԿՈԼՈԳԻԱԿԱՆ ԳՆԱՀԱՏՄԱՆ ԿԱՐԳԸ ՍԱՀՄԱՆԵԼՈՒ ՄԱՍԻՆ</w:t>
      </w:r>
      <w:r w:rsidRPr="00A64056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»</w:t>
      </w:r>
    </w:p>
    <w:p w:rsidR="00A64056" w:rsidRPr="00A64056" w:rsidRDefault="00A64056" w:rsidP="00A64056">
      <w:pPr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ԿԱՌԱՎԱՐՈՒԹՅԱՆ ՈՐՈՇՄԱՆ ՆԱԽԱԳԾԻ ԸՆԴՈՒՆՄԱՆ</w:t>
      </w:r>
    </w:p>
    <w:p w:rsidR="00A64056" w:rsidRPr="00A64056" w:rsidRDefault="00A64056" w:rsidP="00A64056">
      <w:pPr>
        <w:jc w:val="center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A64056" w:rsidRPr="00A64056" w:rsidRDefault="00A64056" w:rsidP="00A640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A64056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:rsidR="00A64056" w:rsidRPr="00A64056" w:rsidRDefault="00A64056" w:rsidP="00A64056">
      <w:pPr>
        <w:pStyle w:val="ListParagraph"/>
        <w:ind w:left="1335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</w:p>
    <w:p w:rsidR="00A64056" w:rsidRPr="00A64056" w:rsidRDefault="00A64056" w:rsidP="00A64056">
      <w:pPr>
        <w:tabs>
          <w:tab w:val="left" w:pos="1170"/>
          <w:tab w:val="left" w:pos="10800"/>
        </w:tabs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Որոշման նախագծի ընդունումը պայմանավորված է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«Շրջակա միջավայրի վրա ազդեցության գնահատման և փորձաքննության» օրենքում փոփոխություն կատարելու մասին» օրենքի նախագծի 5-րդ </w:t>
      </w:r>
      <w:r w:rsidRPr="00A6405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գլխում  ՌԷԳ-ին վերաբերվող  նոր կարգավորում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ներ </w:t>
      </w:r>
      <w:r w:rsidRPr="00A6405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սահմանվել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 անհրաժեշտությունից,</w:t>
      </w:r>
      <w:r w:rsidRPr="00A6405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որի շրջանակներում կարգավորվում են</w:t>
      </w:r>
      <w:r w:rsidRPr="00A6405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ռազմավարական էկոլոգիական գնահատման</w:t>
      </w:r>
      <w:r w:rsidRPr="00A64056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և</w:t>
      </w:r>
      <w:r w:rsidRPr="00A64056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փորձաքննության</w:t>
      </w:r>
      <w:r w:rsidRPr="00A64056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 </w:t>
      </w:r>
      <w:r w:rsidRPr="00A64056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գործընթացները</w:t>
      </w:r>
      <w:r w:rsidRPr="00A64056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, </w:t>
      </w:r>
      <w:r w:rsidRPr="00A64056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դրանց</w:t>
      </w:r>
      <w:r w:rsidRPr="00A64056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ներկայացվող</w:t>
      </w:r>
      <w:r w:rsidRPr="00A64056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պահանջները</w:t>
      </w:r>
      <w:r w:rsidRPr="00A64056">
        <w:rPr>
          <w:rFonts w:ascii="GHEA Grapalat" w:hAnsi="GHEA Grapalat"/>
          <w:color w:val="000000" w:themeColor="text1"/>
          <w:sz w:val="24"/>
          <w:szCs w:val="24"/>
          <w:lang w:val="hy-AM"/>
        </w:rPr>
        <w:t>, ռազմավարական  էկոլոգիական գնահատման և փորձաքննության ենթակա հիմնադրութային փաստաթղթերի տեսակները։</w:t>
      </w:r>
    </w:p>
    <w:p w:rsidR="00A64056" w:rsidRPr="00A64056" w:rsidRDefault="00A64056" w:rsidP="00A64056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Որոշման նախագիծը </w:t>
      </w:r>
      <w:r w:rsidRPr="00A64056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մշակվել է նպատակ ունենալով համապատասխանեցնել «</w:t>
      </w:r>
      <w:r w:rsidRPr="00A64056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sz w:val="24"/>
          <w:szCs w:val="24"/>
          <w:lang w:val="hy-AM"/>
        </w:rPr>
        <w:t>ենթատեքստում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sz w:val="24"/>
          <w:szCs w:val="24"/>
          <w:lang w:val="hy-AM"/>
        </w:rPr>
        <w:t>վրա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sz w:val="24"/>
          <w:szCs w:val="24"/>
          <w:lang w:val="hy-AM"/>
        </w:rPr>
        <w:t>կոնվենցիա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յի </w:t>
      </w:r>
      <w:r w:rsidRPr="00A6405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ռազմավարական</w:t>
      </w:r>
      <w:r w:rsidRPr="00A6405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405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էկոլոգիական</w:t>
      </w:r>
      <w:r w:rsidRPr="00A6405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405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գնահատման</w:t>
      </w:r>
      <w:r w:rsidRPr="00A6405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405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A6405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6405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արձանագրության» դրույթները</w:t>
      </w:r>
      <w:r w:rsidRPr="00A6405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/>
          <w:sz w:val="24"/>
          <w:szCs w:val="24"/>
          <w:lang w:val="hy-AM"/>
        </w:rPr>
        <w:t>ազգային օրենսդրության դրույթներին, առաջնորդվելով ՌԷԳ արձանագրությամբ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/>
          <w:sz w:val="24"/>
          <w:szCs w:val="24"/>
          <w:lang w:val="hy-AM"/>
        </w:rPr>
        <w:t xml:space="preserve"> ապահովել ազգային փորձի զարգացումը, ՌէԳ ուղեցույցների մշակումը, ՌԷԳ-ի արդյունավետ իրականացումը ՀայաստանիՀանրապետությունում։</w:t>
      </w:r>
    </w:p>
    <w:p w:rsidR="00A64056" w:rsidRPr="00A64056" w:rsidRDefault="00A64056" w:rsidP="00A64056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p w:rsidR="00A64056" w:rsidRPr="00A64056" w:rsidRDefault="00A64056" w:rsidP="00A64056">
      <w:pPr>
        <w:pStyle w:val="ListParagraph"/>
        <w:numPr>
          <w:ilvl w:val="0"/>
          <w:numId w:val="8"/>
        </w:numPr>
        <w:shd w:val="clear" w:color="auto" w:fill="FFFFFF"/>
        <w:spacing w:after="0"/>
        <w:ind w:left="720" w:firstLine="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A64056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Առաջարկվող կարգավորման բնույթը</w:t>
      </w:r>
    </w:p>
    <w:p w:rsidR="00A64056" w:rsidRDefault="00A64056" w:rsidP="00A64056">
      <w:pPr>
        <w:shd w:val="clear" w:color="auto" w:fill="FFFFFF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Որոշման նախագծով ավելի </w:t>
      </w:r>
      <w:r w:rsidRPr="00A64056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մանրամասն </w:t>
      </w: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են </w:t>
      </w:r>
      <w:r w:rsidRPr="00A64056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երկայացվում օրենքի նախագծում ամրագրված կարգավորումները։</w:t>
      </w:r>
    </w:p>
    <w:p w:rsidR="00A64056" w:rsidRDefault="00A64056" w:rsidP="00A64056">
      <w:pPr>
        <w:shd w:val="clear" w:color="auto" w:fill="FFFFFF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:rsidR="00A64056" w:rsidRPr="00A64056" w:rsidRDefault="00A64056" w:rsidP="00A64056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A64056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A64056" w:rsidRPr="00A64056" w:rsidRDefault="00A64056" w:rsidP="00A64056">
      <w:pPr>
        <w:pStyle w:val="ListParagraph"/>
        <w:shd w:val="clear" w:color="auto" w:fill="FFFFFF"/>
        <w:ind w:left="81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</w:p>
    <w:p w:rsidR="00A64056" w:rsidRPr="00A64056" w:rsidRDefault="00A64056" w:rsidP="00A64056">
      <w:pPr>
        <w:spacing w:after="240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Նախագիծը մշակվել է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շրջակա միջավայրի </w:t>
      </w:r>
      <w:r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նախարարության կողմից:</w:t>
      </w:r>
    </w:p>
    <w:p w:rsidR="00A64056" w:rsidRPr="00A64056" w:rsidRDefault="00A64056" w:rsidP="00A64056">
      <w:pPr>
        <w:pStyle w:val="NormalWeb"/>
        <w:numPr>
          <w:ilvl w:val="0"/>
          <w:numId w:val="8"/>
        </w:numPr>
        <w:spacing w:before="0" w:beforeAutospacing="0" w:after="240" w:afterAutospacing="0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A64056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Ակնկալվող արդյունքը</w:t>
      </w:r>
    </w:p>
    <w:p w:rsidR="00A64056" w:rsidRPr="00A64056" w:rsidRDefault="00A64056" w:rsidP="00A64056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Calibri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Ռ</w:t>
      </w:r>
      <w:r w:rsidRPr="00A64056">
        <w:rPr>
          <w:rFonts w:ascii="GHEA Grapalat" w:hAnsi="GHEA Grapalat"/>
          <w:color w:val="000000"/>
          <w:sz w:val="24"/>
          <w:szCs w:val="24"/>
          <w:lang w:val="hy-AM"/>
        </w:rPr>
        <w:t>ազմավարական էկոլոգիական գնահատման կարգը սահմանելու մասին</w:t>
      </w:r>
      <w:r w:rsidRPr="00A64056">
        <w:rPr>
          <w:rFonts w:ascii="GHEA Grapalat" w:hAnsi="GHEA Grapalat" w:cs="Calibri"/>
          <w:color w:val="000000"/>
          <w:sz w:val="24"/>
          <w:szCs w:val="24"/>
          <w:lang w:val="hy-AM"/>
        </w:rPr>
        <w:t>»</w:t>
      </w:r>
    </w:p>
    <w:p w:rsidR="00A64056" w:rsidRPr="00B85823" w:rsidRDefault="00A64056" w:rsidP="00A64056">
      <w:pPr>
        <w:shd w:val="clear" w:color="auto" w:fill="FFFFFF"/>
        <w:spacing w:line="276" w:lineRule="auto"/>
        <w:ind w:left="-90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Կառավարության որոշման նախագծի ընդո</w:t>
      </w:r>
      <w:r w:rsidR="00B8582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ւնումը հնարավորություն կընձեռի ձեռնարկողին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հիմնադրութային փաստաթղթեր</w:t>
      </w:r>
      <w:r w:rsidR="00B8582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ի </w:t>
      </w:r>
      <w:r w:rsidR="00B85823" w:rsidRPr="00B8582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ՌԷԳ-ի և փորձաքննության  ենթակա</w:t>
      </w:r>
      <w:r w:rsidRPr="00B8582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B85823" w:rsidRPr="00B8582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լինելը </w:t>
      </w:r>
      <w:r w:rsidR="00B8582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որոշել առաջնորդվելով որոշման նախագծի դրույթներով, ինչպես նաև լիազոր մարմնի հետ խորհրդակցելով։ </w:t>
      </w:r>
    </w:p>
    <w:p w:rsidR="00A64056" w:rsidRPr="00A64056" w:rsidRDefault="00A64056" w:rsidP="00A64056">
      <w:pP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A64056" w:rsidRPr="00A64056" w:rsidRDefault="00A64056" w:rsidP="00A64056">
      <w:pPr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A64056" w:rsidRPr="00A64056" w:rsidRDefault="00A64056" w:rsidP="00A64056">
      <w:pPr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r w:rsidRPr="00A64056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ՏԵՂԵԿԱՆՔ </w:t>
      </w:r>
    </w:p>
    <w:p w:rsidR="00B85823" w:rsidRPr="00A64056" w:rsidRDefault="00B85823" w:rsidP="00B85823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64056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«</w:t>
      </w:r>
      <w:r w:rsidRPr="00A64056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 ԷԿՈԼՈԳԻԱԿԱՆ ԳՆԱՀԱՏՄԱՆ ԿԱՐԳԸ ՍԱՀՄԱՆԵԼՈՒ ՄԱՍԻՆ</w:t>
      </w:r>
      <w:r w:rsidRPr="00A64056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»</w:t>
      </w:r>
    </w:p>
    <w:p w:rsidR="00B85823" w:rsidRPr="00A64056" w:rsidRDefault="00B85823" w:rsidP="00B85823">
      <w:pPr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ԿԱՌԱՎԱՐՈՒԹՅԱՆ ՈՐՈՇՄԱՆ ՆԱԽԱԳԾԻ ԸՆԴՈՒՆՄԱՆ</w:t>
      </w:r>
    </w:p>
    <w:p w:rsidR="00A64056" w:rsidRDefault="00A64056" w:rsidP="00A64056">
      <w:pPr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B85823" w:rsidRPr="00A64056" w:rsidRDefault="00B85823" w:rsidP="00A64056">
      <w:pPr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af-ZA"/>
        </w:rPr>
      </w:pPr>
    </w:p>
    <w:p w:rsidR="00A64056" w:rsidRPr="00B85823" w:rsidRDefault="00B85823" w:rsidP="00B85823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85823">
        <w:rPr>
          <w:rFonts w:ascii="GHEA Grapalat" w:hAnsi="GHEA Grapalat" w:cs="Calibri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Ռ</w:t>
      </w:r>
      <w:r w:rsidRPr="00B85823">
        <w:rPr>
          <w:rFonts w:ascii="GHEA Grapalat" w:hAnsi="GHEA Grapalat"/>
          <w:color w:val="000000"/>
          <w:sz w:val="24"/>
          <w:szCs w:val="24"/>
          <w:lang w:val="hy-AM"/>
        </w:rPr>
        <w:t>ազմավարական էկոլոգիական գնահատման կարգը սահմանելու մասին</w:t>
      </w:r>
      <w:r w:rsidRPr="00B85823">
        <w:rPr>
          <w:rFonts w:ascii="GHEA Grapalat" w:hAnsi="GHEA Grapalat" w:cs="Calibri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</w:t>
      </w:r>
      <w:r w:rsidRPr="00B8582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առավարության որոշման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</w:t>
      </w:r>
      <w:r w:rsidRPr="00B8582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ախագծի </w:t>
      </w:r>
      <w:r w:rsidR="00A64056" w:rsidRPr="00A64056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>ընդունման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կապակցությամբ այլ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իրավական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ակտերի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ընդունման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անհրաժեշտությունը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բացակայում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է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>:</w:t>
      </w:r>
    </w:p>
    <w:p w:rsidR="00A64056" w:rsidRPr="00A64056" w:rsidRDefault="00A64056" w:rsidP="00B85823">
      <w:pPr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</w:p>
    <w:p w:rsidR="00A64056" w:rsidRPr="00A64056" w:rsidRDefault="00A64056" w:rsidP="00B85823">
      <w:pPr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</w:p>
    <w:p w:rsidR="00A64056" w:rsidRPr="00A64056" w:rsidRDefault="00A64056" w:rsidP="00B85823">
      <w:pPr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</w:p>
    <w:p w:rsidR="00A64056" w:rsidRPr="00A64056" w:rsidRDefault="00A64056" w:rsidP="00A64056">
      <w:pPr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ՏԵՂԵԿԱՆՔ</w:t>
      </w:r>
    </w:p>
    <w:p w:rsidR="00A64056" w:rsidRPr="00A64056" w:rsidRDefault="00A64056" w:rsidP="00A64056">
      <w:pPr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r w:rsidRPr="00A64056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:rsidR="00B85823" w:rsidRPr="00A64056" w:rsidRDefault="00B85823" w:rsidP="00B85823">
      <w:pPr>
        <w:shd w:val="clear" w:color="auto" w:fill="FFFFFF"/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64056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«</w:t>
      </w:r>
      <w:r w:rsidRPr="00A64056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 ԷԿՈԼՈԳԻԱԿԱՆ ԳՆԱՀԱՏՄԱՆ ԿԱՐԳԸ ՍԱՀՄԱՆԵԼՈՒ ՄԱՍԻՆ</w:t>
      </w:r>
      <w:r w:rsidRPr="00A64056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»</w:t>
      </w:r>
    </w:p>
    <w:p w:rsidR="00B85823" w:rsidRPr="00A64056" w:rsidRDefault="00B85823" w:rsidP="00B85823">
      <w:pPr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ԿԱՌԱՎԱՐՈՒԹՅԱՆ ՈՐՈՇՄԱՆ ՆԱԽԱԳԾԻ ԸՆԴՈՒՆՄԱՆ</w:t>
      </w:r>
    </w:p>
    <w:p w:rsidR="00A64056" w:rsidRPr="00A64056" w:rsidRDefault="00A64056" w:rsidP="00B85823">
      <w:pPr>
        <w:pStyle w:val="NoSpacing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ԿԱՊԱԿՑՈՒԹՅԱՄԲ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ՏԵՂԱԿԱՆ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ԻՆՔՆԱԿԱՌԱՎԱՐՄԱՆ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ՄԱՐՄՆԻ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ԲՅՈՒՋԵՈՒՄ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ԾԱԽՍԵՐԻ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ԵԿԱՄՈՒՏՆԵՐԻ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ԱՎԵԼԱՑՄԱՆ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A64056" w:rsidRPr="00A64056" w:rsidRDefault="00A64056" w:rsidP="00A64056">
      <w:pPr>
        <w:pStyle w:val="NoSpacing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ՆՎԱԶԵՑՄԱՆ</w:t>
      </w:r>
      <w:r w:rsidRPr="00A6405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64056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:rsidR="00A64056" w:rsidRPr="00A64056" w:rsidRDefault="00A64056" w:rsidP="00A64056">
      <w:pPr>
        <w:ind w:firstLine="375"/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A64056" w:rsidRPr="00A64056" w:rsidRDefault="00B85823" w:rsidP="00A64056">
      <w:pPr>
        <w:pStyle w:val="BodyText"/>
        <w:spacing w:line="276" w:lineRule="auto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B85823">
        <w:rPr>
          <w:rFonts w:ascii="GHEA Grapalat" w:hAnsi="GHEA Grapalat" w:cs="Calibri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Ռ</w:t>
      </w:r>
      <w:r w:rsidRPr="00B85823">
        <w:rPr>
          <w:rFonts w:ascii="GHEA Grapalat" w:hAnsi="GHEA Grapalat"/>
          <w:color w:val="000000"/>
          <w:sz w:val="24"/>
          <w:szCs w:val="24"/>
          <w:lang w:val="hy-AM"/>
        </w:rPr>
        <w:t>ազմավարական էկոլոգիական գնահատման կարգը սահմանելու մասին</w:t>
      </w:r>
      <w:r w:rsidRPr="00B85823">
        <w:rPr>
          <w:rFonts w:ascii="GHEA Grapalat" w:hAnsi="GHEA Grapalat" w:cs="Calibri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</w:t>
      </w:r>
      <w:r w:rsidRPr="00B8582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առավարության որոշման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</w:t>
      </w:r>
      <w:r w:rsidRPr="00B8582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ախագծի </w:t>
      </w:r>
      <w:r w:rsidRPr="00A64056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>ընդունման</w:t>
      </w:r>
      <w:r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կապակցությամբ պետական կամ տեղական ինքնակառավարման մարմնի</w:t>
      </w:r>
      <w:r w:rsidR="00A64056" w:rsidRPr="00A64056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="00A64056" w:rsidRPr="00A6405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բյուջեում եկամուտների և ծախսերի ավելացում կամ նվազեցում չի նախատեսվում: </w:t>
      </w:r>
    </w:p>
    <w:p w:rsidR="00A64056" w:rsidRPr="00A64056" w:rsidRDefault="00A64056" w:rsidP="00A64056">
      <w:pPr>
        <w:pStyle w:val="mechtex"/>
        <w:spacing w:line="276" w:lineRule="auto"/>
        <w:jc w:val="lef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64056">
        <w:rPr>
          <w:rFonts w:ascii="GHEA Grapalat" w:hAnsi="GHEA Grapalat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19050" t="0" r="3810" b="0"/>
            <wp:wrapNone/>
            <wp:docPr id="1" name="Picture 2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056" w:rsidRPr="00A64056" w:rsidRDefault="00A64056" w:rsidP="00A64056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A64056" w:rsidRPr="00A64056" w:rsidRDefault="00A64056" w:rsidP="00A64056">
      <w:pPr>
        <w:jc w:val="both"/>
        <w:rPr>
          <w:sz w:val="24"/>
          <w:szCs w:val="24"/>
          <w:lang w:val="hy-AM"/>
        </w:rPr>
      </w:pPr>
    </w:p>
    <w:p w:rsidR="00A64056" w:rsidRPr="00A64056" w:rsidRDefault="00A64056" w:rsidP="00A64056">
      <w:pPr>
        <w:jc w:val="center"/>
        <w:rPr>
          <w:rFonts w:ascii="Sylfaen" w:hAnsi="Sylfaen"/>
          <w:sz w:val="24"/>
          <w:szCs w:val="24"/>
          <w:lang w:val="hy-AM"/>
        </w:rPr>
      </w:pPr>
    </w:p>
    <w:p w:rsidR="00A64056" w:rsidRPr="00A64056" w:rsidRDefault="00A64056" w:rsidP="00A64056">
      <w:pPr>
        <w:ind w:right="-720"/>
        <w:rPr>
          <w:rFonts w:ascii="Sylfaen" w:hAnsi="Sylfaen"/>
          <w:sz w:val="24"/>
          <w:szCs w:val="24"/>
          <w:lang w:val="hy-AM"/>
        </w:rPr>
      </w:pPr>
    </w:p>
    <w:sectPr w:rsidR="00A64056" w:rsidRPr="00A64056" w:rsidSect="00A64056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01CA"/>
    <w:multiLevelType w:val="hybridMultilevel"/>
    <w:tmpl w:val="698A6B30"/>
    <w:lvl w:ilvl="0" w:tplc="5ED219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D801C74"/>
    <w:multiLevelType w:val="hybridMultilevel"/>
    <w:tmpl w:val="15769678"/>
    <w:lvl w:ilvl="0" w:tplc="081EE59E">
      <w:start w:val="1"/>
      <w:numFmt w:val="decimal"/>
      <w:lvlText w:val="%1)"/>
      <w:lvlJc w:val="left"/>
      <w:pPr>
        <w:ind w:left="450" w:hanging="360"/>
      </w:pPr>
      <w:rPr>
        <w:rFonts w:ascii="GHEA Grapalat" w:eastAsia="Times New Roman" w:hAnsi="GHEA Grapalat" w:cs="Sylfae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>
    <w:nsid w:val="29F1503D"/>
    <w:multiLevelType w:val="hybridMultilevel"/>
    <w:tmpl w:val="1E6ECFE2"/>
    <w:lvl w:ilvl="0" w:tplc="7A3E2D4C">
      <w:start w:val="5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C590CAB"/>
    <w:multiLevelType w:val="hybridMultilevel"/>
    <w:tmpl w:val="2C3A2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C3214"/>
    <w:multiLevelType w:val="hybridMultilevel"/>
    <w:tmpl w:val="3F0C1FCC"/>
    <w:lvl w:ilvl="0" w:tplc="31B2D55C">
      <w:start w:val="1"/>
      <w:numFmt w:val="decimal"/>
      <w:lvlText w:val="%1)"/>
      <w:lvlJc w:val="left"/>
      <w:pPr>
        <w:ind w:left="450" w:hanging="360"/>
      </w:pPr>
      <w:rPr>
        <w:rFonts w:ascii="GHEA Grapalat" w:eastAsia="Times New Roman" w:hAnsi="GHEA Grapalat" w:cs="Sylfae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27B3C1C"/>
    <w:multiLevelType w:val="hybridMultilevel"/>
    <w:tmpl w:val="9EA49016"/>
    <w:lvl w:ilvl="0" w:tplc="7D3E19DE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02CDF"/>
    <w:multiLevelType w:val="hybridMultilevel"/>
    <w:tmpl w:val="A9D4A94E"/>
    <w:lvl w:ilvl="0" w:tplc="C2E2086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725E6008"/>
    <w:multiLevelType w:val="hybridMultilevel"/>
    <w:tmpl w:val="3ABE0C28"/>
    <w:lvl w:ilvl="0" w:tplc="83B06B20">
      <w:start w:val="1"/>
      <w:numFmt w:val="upperRoman"/>
      <w:lvlText w:val="%1."/>
      <w:lvlJc w:val="left"/>
      <w:pPr>
        <w:ind w:left="720" w:hanging="72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64056"/>
    <w:rsid w:val="004242EF"/>
    <w:rsid w:val="006262A1"/>
    <w:rsid w:val="00713A64"/>
    <w:rsid w:val="009D1113"/>
    <w:rsid w:val="00A64056"/>
    <w:rsid w:val="00B85823"/>
    <w:rsid w:val="00F5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0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A64056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A64056"/>
    <w:pPr>
      <w:jc w:val="center"/>
    </w:pPr>
    <w:rPr>
      <w:rFonts w:eastAsia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A6405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Char">
    <w:name w:val="norm Char"/>
    <w:basedOn w:val="DefaultParagraphFont"/>
    <w:link w:val="norm"/>
    <w:locked/>
    <w:rsid w:val="00A64056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A64056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A64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NormalWeb">
    <w:name w:val="Normal (Web)"/>
    <w:basedOn w:val="Normal"/>
    <w:link w:val="NormalWebChar"/>
    <w:uiPriority w:val="99"/>
    <w:unhideWhenUsed/>
    <w:rsid w:val="00A640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A6405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64056"/>
    <w:pPr>
      <w:spacing w:line="360" w:lineRule="auto"/>
    </w:pPr>
    <w:rPr>
      <w:rFonts w:ascii="Times Armenian" w:hAnsi="Times Armenian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A64056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Strong">
    <w:name w:val="Strong"/>
    <w:basedOn w:val="DefaultParagraphFont"/>
    <w:uiPriority w:val="22"/>
    <w:qFormat/>
    <w:rsid w:val="00A640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617D-91A4-406B-82D3-ED731C3A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gsaroyan</dc:creator>
  <cp:keywords/>
  <dc:description/>
  <cp:lastModifiedBy>gsaroyan</cp:lastModifiedBy>
  <cp:revision>2</cp:revision>
  <dcterms:created xsi:type="dcterms:W3CDTF">2019-08-06T12:03:00Z</dcterms:created>
  <dcterms:modified xsi:type="dcterms:W3CDTF">2019-08-06T12:25:00Z</dcterms:modified>
</cp:coreProperties>
</file>