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386FA4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386FA4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B42841" w:rsidRPr="00386FA4" w:rsidRDefault="00B42841" w:rsidP="0081671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86FA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Օ Ր Ե Ն Ք Ը</w:t>
      </w:r>
      <w:r w:rsidRPr="00386FA4">
        <w:rPr>
          <w:rFonts w:ascii="Courier New" w:hAnsi="Courier New" w:cs="Courier New"/>
          <w:color w:val="000000"/>
          <w:lang w:val="hy-AM"/>
        </w:rPr>
        <w:t> </w:t>
      </w: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6FA4">
        <w:rPr>
          <w:rFonts w:ascii="Courier New" w:hAnsi="Courier New" w:cs="Courier New"/>
          <w:color w:val="000000"/>
          <w:lang w:val="hy-AM"/>
        </w:rPr>
        <w:t> </w:t>
      </w: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86FA4">
        <w:rPr>
          <w:rFonts w:ascii="GHEA Grapalat" w:hAnsi="GHEA Grapalat"/>
          <w:b/>
          <w:lang w:val="hy-AM"/>
        </w:rPr>
        <w:t>«ՊԵՏԱԿԱՆ ՏՈՒՐՔԻ ՄԱՍԻՆ»</w:t>
      </w:r>
      <w:r w:rsidRPr="00386FA4">
        <w:rPr>
          <w:rStyle w:val="Strong"/>
          <w:rFonts w:ascii="GHEA Grapalat" w:hAnsi="GHEA Grapalat"/>
          <w:color w:val="000000"/>
          <w:lang w:val="hy-AM"/>
        </w:rPr>
        <w:t xml:space="preserve"> ՀԱՅԱՍՏԱՆԻ ՀԱՆՐԱՊԵՏՈՒԹՅԱՆ ՕՐԵՆՔՈՒՄ ՓՈՓՈԽՈՒԹՅՈՒՆ ԿԱՏԱՐԵԼՈՒ ՄԱՍԻՆ </w:t>
      </w: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86FA4">
        <w:rPr>
          <w:rFonts w:ascii="Courier New" w:hAnsi="Courier New" w:cs="Courier New"/>
          <w:color w:val="000000"/>
          <w:lang w:val="hy-AM"/>
        </w:rPr>
        <w:t> </w:t>
      </w:r>
    </w:p>
    <w:p w:rsidR="00B42841" w:rsidRPr="00386FA4" w:rsidRDefault="00B42841" w:rsidP="00683872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86FA4">
        <w:rPr>
          <w:rFonts w:ascii="GHEA Grapalat" w:hAnsi="GHEA Grapalat"/>
          <w:b/>
          <w:bCs/>
          <w:sz w:val="24"/>
          <w:szCs w:val="24"/>
          <w:lang w:val="hy-AM"/>
        </w:rPr>
        <w:t>Հոդված 1.</w:t>
      </w:r>
      <w:r w:rsidRPr="00386FA4">
        <w:rPr>
          <w:rFonts w:ascii="Courier New" w:hAnsi="Courier New" w:cs="Courier New"/>
          <w:sz w:val="24"/>
          <w:szCs w:val="24"/>
          <w:lang w:val="hy-AM"/>
        </w:rPr>
        <w:t> 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«Պետական տուրքի մասին» Հայաստանի Հանրապետության 1997 թվականի դեկտեմբերի 27-ի ՀՕ-186 օրենքի 19-րդ հոդվածի </w:t>
      </w:r>
      <w:r w:rsidR="00181FAD" w:rsidRPr="00386FA4">
        <w:rPr>
          <w:rStyle w:val="Strong"/>
          <w:rFonts w:ascii="GHEA Grapalat" w:hAnsi="GHEA Grapalat"/>
          <w:sz w:val="24"/>
          <w:szCs w:val="24"/>
          <w:lang w:val="hy-AM"/>
        </w:rPr>
        <w:t>12</w:t>
      </w:r>
      <w:r w:rsidR="00181FAD" w:rsidRPr="00386FA4">
        <w:rPr>
          <w:rFonts w:ascii="GHEA Grapalat" w:hAnsi="GHEA Grapalat"/>
          <w:sz w:val="24"/>
          <w:szCs w:val="24"/>
          <w:lang w:val="hy-AM"/>
        </w:rPr>
        <w:t xml:space="preserve">. </w:t>
      </w:r>
      <w:r w:rsidR="00181FAD" w:rsidRPr="00386FA4">
        <w:rPr>
          <w:rFonts w:ascii="GHEA Grapalat" w:hAnsi="GHEA Grapalat" w:cs="Sylfaen"/>
          <w:sz w:val="24"/>
          <w:szCs w:val="24"/>
          <w:lang w:val="hy-AM"/>
        </w:rPr>
        <w:t>ՇՐՋԱԿԱ ՄԻՋԱՎԱՅՐԻ ՊԱՀՊԱՆՈՒԹՅԱՆ</w:t>
      </w:r>
      <w:r w:rsidR="00181FAD" w:rsidRPr="00386FA4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FAD" w:rsidRPr="00386FA4">
        <w:rPr>
          <w:rFonts w:ascii="GHEA Grapalat" w:hAnsi="GHEA Grapalat" w:cs="Sylfaen"/>
          <w:sz w:val="24"/>
          <w:szCs w:val="24"/>
          <w:lang w:val="hy-AM"/>
        </w:rPr>
        <w:t xml:space="preserve"> ԲՆԱԳԱՎԱՌ</w:t>
      </w:r>
      <w:r w:rsidR="00181FAD" w:rsidRPr="00386FA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1FAD" w:rsidRPr="00386FA4">
        <w:rPr>
          <w:rFonts w:ascii="GHEA Grapalat" w:hAnsi="GHEA Grapalat" w:cs="Sylfaen"/>
          <w:sz w:val="24"/>
          <w:szCs w:val="24"/>
          <w:lang w:val="hy-AM"/>
        </w:rPr>
        <w:t xml:space="preserve">բաժնի </w:t>
      </w:r>
      <w:r w:rsidR="00181FAD" w:rsidRPr="00386FA4">
        <w:rPr>
          <w:rFonts w:ascii="GHEA Grapalat" w:hAnsi="GHEA Grapalat"/>
          <w:sz w:val="24"/>
          <w:szCs w:val="24"/>
          <w:lang w:val="hy-AM"/>
        </w:rPr>
        <w:t xml:space="preserve">12.3-րդ </w:t>
      </w:r>
      <w:proofErr w:type="spellStart"/>
      <w:r w:rsidR="00181FAD" w:rsidRPr="00386FA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181FAD" w:rsidRPr="00386F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6FA4">
        <w:rPr>
          <w:rFonts w:ascii="GHEA Grapalat" w:hAnsi="GHEA Grapalat"/>
          <w:sz w:val="24"/>
          <w:szCs w:val="24"/>
          <w:lang w:val="hy-AM"/>
        </w:rPr>
        <w:t>«առաքման թույլտվության» բառերը փոխարինել «</w:t>
      </w:r>
      <w:r w:rsidR="00ED7E92">
        <w:rPr>
          <w:rFonts w:ascii="GHEA Grapalat" w:hAnsi="GHEA Grapalat"/>
          <w:sz w:val="24"/>
          <w:szCs w:val="24"/>
          <w:lang w:val="hy-AM"/>
        </w:rPr>
        <w:t>ոլորտում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 լիցենզիայի կամ եզրակացության» բառերով:</w:t>
      </w:r>
    </w:p>
    <w:p w:rsidR="00B42841" w:rsidRPr="00386FA4" w:rsidRDefault="00B42841" w:rsidP="00683872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86FA4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2. 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պաշտոնական հրապարակման օրվան հաջորդող տասներորդ օրը: </w:t>
      </w:r>
    </w:p>
    <w:p w:rsidR="00B42841" w:rsidRPr="00386FA4" w:rsidRDefault="00B42841" w:rsidP="0081671A">
      <w:pPr>
        <w:spacing w:after="0" w:line="24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:rsidR="00B42841" w:rsidRPr="00386FA4" w:rsidRDefault="00B42841" w:rsidP="0081671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386FA4">
        <w:rPr>
          <w:rFonts w:ascii="GHEA Grapalat" w:hAnsi="GHEA Grapalat"/>
          <w:b/>
          <w:bCs/>
          <w:color w:val="000000"/>
          <w:lang w:val="hy-AM"/>
        </w:rPr>
        <w:t xml:space="preserve">       </w:t>
      </w:r>
    </w:p>
    <w:p w:rsidR="00B42841" w:rsidRPr="00386FA4" w:rsidRDefault="00B42841" w:rsidP="0081671A">
      <w:pPr>
        <w:spacing w:after="0" w:line="24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81671A" w:rsidRPr="00386FA4" w:rsidRDefault="0081671A" w:rsidP="0081671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42841" w:rsidRPr="00386FA4" w:rsidRDefault="00B42841" w:rsidP="0081671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 xml:space="preserve"> ««ՊԵՏԱԿԱՆ ՏՈՒՐՔԻ ՄԱՍԻՆ»</w:t>
      </w:r>
      <w:r w:rsidRPr="00386FA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ՕՐԵՆՔՈՒՄ ՓՈՓՈԽՈՒԹՅՈՒՆ ԿԱՏԱՐԵԼՈՒ ՄԱՍԻՆ» </w:t>
      </w:r>
      <w:r w:rsidRPr="00386FA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 ԸՆԴՈՒՆՄԱՆ ՎԵՐԱԲԵՐՅԱԼ</w:t>
      </w: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B42841" w:rsidRPr="00386FA4" w:rsidRDefault="00B42841" w:rsidP="00683872">
      <w:pPr>
        <w:spacing w:after="0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Եվրասիական</w:t>
      </w:r>
      <w:proofErr w:type="spellEnd"/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տնտեսական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միությանն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այսուհետ՝</w:t>
      </w:r>
      <w:proofErr w:type="spellEnd"/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ԵՏՄ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անդամակցությամբ</w:t>
      </w:r>
      <w:proofErr w:type="spellEnd"/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պայմանավորված՝</w:t>
      </w:r>
      <w:proofErr w:type="spellEnd"/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անհրաժեշտ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ապահովել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ներպետական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ԵՏՄ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օրենսդրության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ընթացիկ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ներդաշնակեցումը՝</w:t>
      </w:r>
      <w:proofErr w:type="spellEnd"/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տեղայնացնելով</w:t>
      </w:r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դրանք արտացոլելով գործող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իրավակարգավորումներում</w:t>
      </w:r>
      <w:proofErr w:type="spellEnd"/>
      <w:r w:rsidRPr="00386FA4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B42841" w:rsidRPr="00386FA4" w:rsidRDefault="00B42841" w:rsidP="008167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B42841" w:rsidRPr="00386FA4" w:rsidRDefault="00B42841" w:rsidP="00683872">
      <w:pPr>
        <w:spacing w:after="0" w:line="240" w:lineRule="auto"/>
        <w:ind w:right="134"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Հիմք ընդունելով </w:t>
      </w:r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ԵՏՄ </w:t>
      </w:r>
      <w:proofErr w:type="spellStart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իրավակարգավորումները</w:t>
      </w:r>
      <w:proofErr w:type="spellEnd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«</w:t>
      </w:r>
      <w:proofErr w:type="spellStart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անդամ պետությունների </w:t>
      </w:r>
      <w:proofErr w:type="spellStart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փոխադարձ </w:t>
      </w:r>
      <w:proofErr w:type="spellStart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առևտուր</w:t>
      </w:r>
      <w:proofErr w:type="spellEnd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իրականացնելիս</w:t>
      </w:r>
      <w:r w:rsidRPr="00386F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օզոնաքայքայիչ</w:t>
      </w:r>
      <w:proofErr w:type="spellEnd"/>
      <w:r w:rsidRPr="00386F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386F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դրանք պարունակող արտադրանքի փոխադրման և</w:t>
      </w:r>
      <w:r w:rsidRPr="00386F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օզոնաքայքայիչ</w:t>
      </w:r>
      <w:proofErr w:type="spellEnd"/>
      <w:r w:rsidRPr="00386F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նյութերի</w:t>
      </w:r>
      <w:r w:rsidRPr="00386F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86F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 մասին» համաձայնագրի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51FCF"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պահանջներն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ինչպես նաև այն, որ արդեն հաստատվել են օզոնային շերտը քայքայող նյութերը և դրանք պարունակող արտադրանքը ԵՏՄ անդամ չհանդիսացող պետություններից ԵՏՄ տարածք ներմուծման և ԵՏՄ տարածքից ԵՏՄ անդամ չհանդիսացող պետություններ ար</w:t>
      </w:r>
      <w:r w:rsidR="00451FCF"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տահանման </w:t>
      </w:r>
      <w:proofErr w:type="spellStart"/>
      <w:r w:rsidR="00451FCF"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կարգն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ուսումնասիրվել են օզոնային շերտը քայքայող նյութերի և դրանք պարունակող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սարքավորումների՝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Հայաստանի Հանրապետություն ներմուծման և Հայաստանի Հանրապետությունից դրանց արտահանման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ընթացակարգերն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 դրանց հետ կապված այլ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իրավակարգավորումները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 Հաշվի առնելով ԵՏՄ իրավական ակտերի պահանջները և օզոնային շերտը քայքայող նյութերի և դրանք պարունակող սարքավորումների ներմուծման ու արտահանման</w:t>
      </w:r>
      <w:r w:rsidR="00451FCF"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ոլորտի նոր </w:t>
      </w:r>
      <w:proofErr w:type="spellStart"/>
      <w:r w:rsidR="00451FCF"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իրավակարգավորումներն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անհրաժեշտություն է առաջացել կատարել համապատասխան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փոփոխությունները՝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ԵՏՄ իրավական ակտերի պահանջներին համապատասխան:</w:t>
      </w:r>
    </w:p>
    <w:p w:rsidR="0081671A" w:rsidRPr="00386FA4" w:rsidRDefault="0081671A" w:rsidP="0081671A">
      <w:pPr>
        <w:spacing w:after="0" w:line="240" w:lineRule="auto"/>
        <w:ind w:right="134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B42841" w:rsidRPr="00386FA4" w:rsidRDefault="00B42841" w:rsidP="0081671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>Տվյալ բնագավառում իրականացվող քաղաքականությունը</w:t>
      </w:r>
    </w:p>
    <w:p w:rsidR="00B42841" w:rsidRPr="00386FA4" w:rsidRDefault="00B42841" w:rsidP="0068387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Այս բնագավառում Հայաստանի Հանրապետությունը շարունակում է կատարել իր ստանձնած միջազգային պարտավորությունները, որոնք բխում են «Օզոնային շերտի պահպանության մասին» Վիեննայի կոնվենցիայից և «Օզոնային շերտը քայքայող նյութերի մասին»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Մոնրեալի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արձանագրությունից, ինչպես նաև ԵՏՄ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իրավակարգավորումներից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որոնք միտված են տնտեսական գործունեության պետական կարգավորման արդյունավետության բարձրացման, գործարար միջավայրի, պետության կողմից քաղաքացիներին մատուցվող ծառայությունների բարելավման ու պարզեցման, գործող նորմատիվ իրավական ակտերի կատարելագործման ու ներդաշնակեցման քաղաքականության իրականացմանը:  Սրանով էլ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պայմանավորված՝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անհրաժեշտ է ապահովել ոլորտի նոր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իրավակարգավորումների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կենսագործումը:</w:t>
      </w:r>
    </w:p>
    <w:p w:rsidR="0081671A" w:rsidRPr="00386FA4" w:rsidRDefault="0081671A" w:rsidP="0081671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B42841" w:rsidRPr="00386FA4" w:rsidRDefault="00B42841" w:rsidP="0081671A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lastRenderedPageBreak/>
        <w:t>Կարգավորման նպատակը և բնույթը</w:t>
      </w:r>
      <w:r w:rsidR="00127E97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42841" w:rsidRPr="00386FA4" w:rsidRDefault="00B42841" w:rsidP="0068387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ԵՏՄ օրենսդրությամբ ամրագրված նոր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իրավակարգավորումներին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համապատասխան՝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առաջարկվում է </w:t>
      </w:r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«Պետական տուրքի մասին» ՀՀ օրենքում կատարել այն անհրաժեշտ փոփոխությունը, որը միտված է լինելու նոր հասկացությունների </w:t>
      </w:r>
      <w:proofErr w:type="spellStart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արտացոլման</w:t>
      </w:r>
      <w:r w:rsidR="00451FCF"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</w:t>
      </w:r>
      <w:proofErr w:type="spellEnd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այս օրենքում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81671A" w:rsidRPr="00386FA4" w:rsidRDefault="0081671A" w:rsidP="0081671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7769BE" w:rsidRPr="00386FA4" w:rsidRDefault="00B42841" w:rsidP="008167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</w:t>
      </w:r>
      <w:r w:rsidR="0081671A" w:rsidRPr="00386FA4">
        <w:rPr>
          <w:rFonts w:ascii="GHEA Grapalat" w:hAnsi="GHEA Grapalat"/>
          <w:b/>
          <w:sz w:val="24"/>
          <w:szCs w:val="24"/>
        </w:rPr>
        <w:t xml:space="preserve"> </w:t>
      </w:r>
      <w:r w:rsidRPr="00386FA4">
        <w:rPr>
          <w:rFonts w:ascii="GHEA Grapalat" w:hAnsi="GHEA Grapalat"/>
          <w:b/>
          <w:sz w:val="24"/>
          <w:szCs w:val="24"/>
          <w:lang w:val="hy-AM"/>
        </w:rPr>
        <w:t>անձի</w:t>
      </w:r>
      <w:r w:rsidR="000008E1">
        <w:rPr>
          <w:rFonts w:ascii="GHEA Grapalat" w:hAnsi="GHEA Grapalat"/>
          <w:b/>
          <w:sz w:val="24"/>
          <w:szCs w:val="24"/>
          <w:lang w:val="hy-AM"/>
        </w:rPr>
        <w:t>ն</w:t>
      </w:r>
      <w:r w:rsidRPr="00386FA4">
        <w:rPr>
          <w:rFonts w:ascii="GHEA Grapalat" w:hAnsi="GHEA Grapalat"/>
          <w:b/>
          <w:sz w:val="24"/>
          <w:szCs w:val="24"/>
          <w:lang w:val="hy-AM"/>
        </w:rPr>
        <w:t>ք</w:t>
      </w:r>
      <w:r w:rsidR="00127E97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B42841" w:rsidRPr="00386FA4" w:rsidRDefault="00B42841" w:rsidP="0068387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Նախագիծը մշակվել է </w:t>
      </w:r>
      <w:r w:rsidR="00BB5A3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նախարարության կողմից:</w:t>
      </w:r>
    </w:p>
    <w:p w:rsidR="0081671A" w:rsidRPr="00386FA4" w:rsidRDefault="0081671A" w:rsidP="008167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B9222E" w:rsidRPr="00386FA4" w:rsidRDefault="00B42841" w:rsidP="0081671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Ակնկալվող արդյունքը.</w:t>
      </w:r>
    </w:p>
    <w:p w:rsidR="00B42841" w:rsidRPr="00386FA4" w:rsidRDefault="00B42841" w:rsidP="00683872">
      <w:pPr>
        <w:pStyle w:val="ListParagraph"/>
        <w:spacing w:after="0" w:line="240" w:lineRule="auto"/>
        <w:ind w:left="0" w:firstLine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ընդունմամբ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ակնկալվում է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կանոնակարգումները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համապատասխանեցնել  </w:t>
      </w:r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ԵՏՄ </w:t>
      </w:r>
      <w:proofErr w:type="spellStart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իրավակարգավորումներին</w:t>
      </w:r>
      <w:proofErr w:type="spellEnd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, որը կնպաստի ինչպես անդամ պետությունների </w:t>
      </w:r>
      <w:proofErr w:type="spellStart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միջև</w:t>
      </w:r>
      <w:proofErr w:type="spellEnd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փոխադարձ </w:t>
      </w:r>
      <w:proofErr w:type="spellStart"/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առևտրի</w:t>
      </w:r>
      <w:proofErr w:type="spellEnd"/>
      <w:r w:rsidR="00B9222E"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իրականացմանն</w:t>
      </w:r>
      <w:r w:rsidRPr="00386FA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օզոնային շերտը քայքայող նյութերի և դրանք պարունակող սարքավորումների ոլորտում, այնպես էլ կնպաստի </w:t>
      </w:r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ԵՏՄ անդամ չհանդիսացող պետություններից ՀՀ տարածք ներմուծման և ՀՀ տարածքից ԵՏՄ անդամ չհանդիսացող պետություններ արտահանման գործընթացների իրականացմանը, համապատասխան ոլորտում պետական տուրքի հավաքագրման գործընթացի ապահովմանն ու դրա իրականացման </w:t>
      </w:r>
      <w:proofErr w:type="spellStart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արդյունավետությանը</w:t>
      </w:r>
      <w:proofErr w:type="spellEnd"/>
      <w:r w:rsidRPr="00386FA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Pr="00386FA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1671A" w:rsidRPr="00386FA4" w:rsidRDefault="0081671A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1671A" w:rsidRPr="00386FA4" w:rsidRDefault="0081671A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1671A" w:rsidRPr="00386FA4" w:rsidRDefault="0081671A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1671A" w:rsidRPr="00386FA4" w:rsidRDefault="0081671A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81671A" w:rsidRPr="00386FA4" w:rsidRDefault="0081671A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9222E" w:rsidRPr="00386FA4" w:rsidRDefault="00B9222E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9222E" w:rsidRPr="00386FA4" w:rsidRDefault="00B9222E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9222E" w:rsidRPr="00386FA4" w:rsidRDefault="00B9222E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B42841" w:rsidRPr="00386FA4" w:rsidRDefault="00B42841" w:rsidP="0081671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</w:t>
      </w:r>
      <w:r w:rsidRPr="00386FA4">
        <w:rPr>
          <w:rFonts w:ascii="GHEA Grapalat" w:hAnsi="GHEA Grapalat"/>
          <w:b/>
          <w:sz w:val="24"/>
          <w:szCs w:val="24"/>
          <w:lang w:val="hy-AM"/>
        </w:rPr>
        <w:t>«ՊԵՏԱԿԱՆ ՏՈՒՐՔԻ ՄԱՍԻՆ</w:t>
      </w:r>
      <w:r w:rsidR="002B08E8" w:rsidRPr="00386FA4">
        <w:rPr>
          <w:rFonts w:ascii="GHEA Grapalat" w:hAnsi="GHEA Grapalat"/>
          <w:b/>
          <w:sz w:val="24"/>
          <w:szCs w:val="24"/>
          <w:lang w:val="hy-AM"/>
        </w:rPr>
        <w:t>»</w:t>
      </w:r>
      <w:r w:rsidRPr="00386FA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ՕՐԵՆՔՈՒՄ ՓՈՓՈԽՈՒԹՅՈՒՆ ԿԱՏԱՐԵԼՈՒ ՄԱՍԻՆ» </w:t>
      </w:r>
      <w:r w:rsidRPr="00386FA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 ԸՆԴՈՒՆՄԱՆ ՎԵՐԱԲԵՐՅԱԼ</w:t>
      </w:r>
    </w:p>
    <w:p w:rsidR="00B42841" w:rsidRPr="00386FA4" w:rsidRDefault="00B42841" w:rsidP="0081671A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8387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ab/>
      </w:r>
      <w:r w:rsidRPr="00386FA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««Պետական տուրքի մասին» Հայաստանի Հանրապետության օրենքում փոփոխություն կատարելու մասին»</w:t>
      </w:r>
      <w:r w:rsidRPr="0038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նախագծի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չի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առաջացնում փոփոխության անհրաժե</w:t>
      </w:r>
      <w:r w:rsidR="00AE6B2A">
        <w:rPr>
          <w:rFonts w:ascii="GHEA Grapalat" w:hAnsi="GHEA Grapalat" w:cs="Sylfaen"/>
          <w:sz w:val="24"/>
          <w:szCs w:val="24"/>
          <w:lang w:val="hy-AM"/>
        </w:rPr>
        <w:t>շ</w:t>
      </w:r>
      <w:r w:rsidRPr="00386FA4">
        <w:rPr>
          <w:rFonts w:ascii="GHEA Grapalat" w:hAnsi="GHEA Grapalat" w:cs="Sylfaen"/>
          <w:sz w:val="24"/>
          <w:szCs w:val="24"/>
          <w:lang w:val="hy-AM"/>
        </w:rPr>
        <w:t xml:space="preserve">տություն </w:t>
      </w:r>
      <w:proofErr w:type="spellStart"/>
      <w:r w:rsidRPr="00386FA4">
        <w:rPr>
          <w:rFonts w:ascii="GHEA Grapalat" w:hAnsi="GHEA Grapalat" w:cs="Sylfaen"/>
          <w:sz w:val="24"/>
          <w:szCs w:val="24"/>
          <w:lang w:val="hy-AM"/>
        </w:rPr>
        <w:t>որևէ</w:t>
      </w:r>
      <w:proofErr w:type="spellEnd"/>
      <w:r w:rsidRPr="00386FA4">
        <w:rPr>
          <w:rFonts w:ascii="GHEA Grapalat" w:hAnsi="GHEA Grapalat" w:cs="Sylfaen"/>
          <w:sz w:val="24"/>
          <w:szCs w:val="24"/>
          <w:lang w:val="hy-AM"/>
        </w:rPr>
        <w:t xml:space="preserve"> իրավական ակտում</w:t>
      </w:r>
      <w:r w:rsidRPr="00386FA4">
        <w:rPr>
          <w:rFonts w:ascii="GHEA Grapalat" w:hAnsi="GHEA Grapalat"/>
          <w:sz w:val="24"/>
          <w:szCs w:val="24"/>
          <w:lang w:val="hy-AM"/>
        </w:rPr>
        <w:t>:</w:t>
      </w:r>
    </w:p>
    <w:p w:rsidR="00B42841" w:rsidRPr="00386FA4" w:rsidRDefault="00B42841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2B08E8" w:rsidRPr="00386FA4" w:rsidRDefault="002B08E8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2B08E8" w:rsidRPr="00386FA4" w:rsidRDefault="002B08E8" w:rsidP="0081671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B42841" w:rsidRPr="00386FA4" w:rsidRDefault="00B42841" w:rsidP="008167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42841" w:rsidRPr="00386FA4" w:rsidRDefault="00B42841" w:rsidP="0081671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</w:t>
      </w:r>
      <w:r w:rsidRPr="00386FA4">
        <w:rPr>
          <w:rFonts w:ascii="GHEA Grapalat" w:hAnsi="GHEA Grapalat"/>
          <w:b/>
          <w:sz w:val="24"/>
          <w:szCs w:val="24"/>
          <w:lang w:val="hy-AM"/>
        </w:rPr>
        <w:t>«ՊԵՏԱԿԱՆ ՏՈՒՐՔԻ ՄԱՍԻՆ</w:t>
      </w:r>
      <w:r w:rsidR="002B08E8" w:rsidRPr="00386FA4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386FA4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ՕՐԵՆՔՈՒՄ ՓՈՓՈԽՈՒԹՅՈՒՆ ԿԱՏԱՐԵԼՈՒ ՄԱՍԻՆ» </w:t>
      </w:r>
      <w:r w:rsidRPr="00386FA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ՕՐԵՆՔԻ ԸՆԴՈՒՆՄԱՆ ԱՌՆՉՈՒԹՅԱՄԲ ՊԵՏԱԿԱՆ ԲՅՈՒՋԵՈՒՄ ԾԱԽՍԵՐԻ </w:t>
      </w:r>
    </w:p>
    <w:p w:rsidR="00B42841" w:rsidRPr="00386FA4" w:rsidRDefault="00B42841" w:rsidP="0081671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6FA4">
        <w:rPr>
          <w:rFonts w:ascii="GHEA Grapalat" w:hAnsi="GHEA Grapalat"/>
          <w:b/>
          <w:sz w:val="24"/>
          <w:szCs w:val="24"/>
          <w:lang w:val="hy-AM"/>
        </w:rPr>
        <w:t>ԱՎԵԼԱՑՄԱՆ ԿԱՄ ԵԿԱՄՈՒՏՆԵՐԻ ՆՎԱԶԵՑՄԱՆ ՎԵՐԱԲԵՐՅԱԼ</w:t>
      </w:r>
    </w:p>
    <w:p w:rsidR="00B42841" w:rsidRPr="00386FA4" w:rsidRDefault="00B42841" w:rsidP="0081671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683872">
      <w:pPr>
        <w:spacing w:after="0" w:line="240" w:lineRule="auto"/>
        <w:ind w:right="-22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6FA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««Պետական տուրքի մասին» Հայաստանի Հանրապետության օրենքում փոփոխություն կատարելու մասին»</w:t>
      </w:r>
      <w:r w:rsidRPr="00386F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նախագծի 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կամ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չի</w:t>
      </w:r>
      <w:r w:rsidRPr="00386F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6FA4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B42841" w:rsidRPr="00386FA4" w:rsidRDefault="00B42841" w:rsidP="0081671A">
      <w:pPr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sectPr w:rsidR="00B42841" w:rsidRPr="00386FA4" w:rsidSect="001B7D94">
      <w:footerReference w:type="default" r:id="rId8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F2" w:rsidRDefault="00A04BF2" w:rsidP="0017208D">
      <w:pPr>
        <w:spacing w:after="0" w:line="240" w:lineRule="auto"/>
      </w:pPr>
      <w:r>
        <w:separator/>
      </w:r>
    </w:p>
  </w:endnote>
  <w:endnote w:type="continuationSeparator" w:id="0">
    <w:p w:rsidR="00A04BF2" w:rsidRDefault="00A04BF2" w:rsidP="0017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822"/>
      <w:docPartObj>
        <w:docPartGallery w:val="Page Numbers (Bottom of Page)"/>
        <w:docPartUnique/>
      </w:docPartObj>
    </w:sdtPr>
    <w:sdtContent>
      <w:p w:rsidR="00AC2CC9" w:rsidRDefault="00015555">
        <w:pPr>
          <w:pStyle w:val="Footer"/>
          <w:jc w:val="right"/>
        </w:pPr>
        <w:r>
          <w:fldChar w:fldCharType="begin"/>
        </w:r>
        <w:r w:rsidR="00B42841">
          <w:instrText xml:space="preserve"> PAGE   \* MERGEFORMAT </w:instrText>
        </w:r>
        <w:r>
          <w:fldChar w:fldCharType="separate"/>
        </w:r>
        <w:r w:rsidR="008C5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2CC9" w:rsidRDefault="00A04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F2" w:rsidRDefault="00A04BF2" w:rsidP="0017208D">
      <w:pPr>
        <w:spacing w:after="0" w:line="240" w:lineRule="auto"/>
      </w:pPr>
      <w:r>
        <w:separator/>
      </w:r>
    </w:p>
  </w:footnote>
  <w:footnote w:type="continuationSeparator" w:id="0">
    <w:p w:rsidR="00A04BF2" w:rsidRDefault="00A04BF2" w:rsidP="0017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41"/>
    <w:rsid w:val="000008E1"/>
    <w:rsid w:val="000033F5"/>
    <w:rsid w:val="00015555"/>
    <w:rsid w:val="000961FA"/>
    <w:rsid w:val="00115066"/>
    <w:rsid w:val="00127E97"/>
    <w:rsid w:val="00133845"/>
    <w:rsid w:val="00142F0B"/>
    <w:rsid w:val="0017208D"/>
    <w:rsid w:val="00173066"/>
    <w:rsid w:val="00181FAD"/>
    <w:rsid w:val="001D3BEF"/>
    <w:rsid w:val="00231B25"/>
    <w:rsid w:val="002B08E8"/>
    <w:rsid w:val="002C5026"/>
    <w:rsid w:val="002C79E7"/>
    <w:rsid w:val="002E537E"/>
    <w:rsid w:val="00386FA4"/>
    <w:rsid w:val="00451FCF"/>
    <w:rsid w:val="004C3332"/>
    <w:rsid w:val="004F7D83"/>
    <w:rsid w:val="00565F02"/>
    <w:rsid w:val="005A7407"/>
    <w:rsid w:val="005F0254"/>
    <w:rsid w:val="00683872"/>
    <w:rsid w:val="006A6040"/>
    <w:rsid w:val="006B24D9"/>
    <w:rsid w:val="00721D99"/>
    <w:rsid w:val="00764162"/>
    <w:rsid w:val="007769BE"/>
    <w:rsid w:val="0081671A"/>
    <w:rsid w:val="00826B12"/>
    <w:rsid w:val="008C5FE1"/>
    <w:rsid w:val="00916339"/>
    <w:rsid w:val="00A04BF2"/>
    <w:rsid w:val="00AB7290"/>
    <w:rsid w:val="00AE6B2A"/>
    <w:rsid w:val="00B26613"/>
    <w:rsid w:val="00B42841"/>
    <w:rsid w:val="00B9222E"/>
    <w:rsid w:val="00BB5A3F"/>
    <w:rsid w:val="00C32113"/>
    <w:rsid w:val="00C713DF"/>
    <w:rsid w:val="00E11279"/>
    <w:rsid w:val="00E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84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4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41"/>
    <w:rPr>
      <w:rFonts w:eastAsiaTheme="minorEastAsia"/>
    </w:rPr>
  </w:style>
  <w:style w:type="paragraph" w:styleId="BodyText">
    <w:name w:val="Body Text"/>
    <w:basedOn w:val="Normal"/>
    <w:link w:val="BodyTextChar"/>
    <w:rsid w:val="00B42841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B42841"/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paragraph" w:styleId="BodyTextIndent2">
    <w:name w:val="Body Text Indent 2"/>
    <w:basedOn w:val="Normal"/>
    <w:link w:val="BodyTextIndent2Char"/>
    <w:rsid w:val="00B4284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4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92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1F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84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4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41"/>
    <w:rPr>
      <w:rFonts w:eastAsiaTheme="minorEastAsia"/>
    </w:rPr>
  </w:style>
  <w:style w:type="paragraph" w:styleId="BodyText">
    <w:name w:val="Body Text"/>
    <w:basedOn w:val="Normal"/>
    <w:link w:val="BodyTextChar"/>
    <w:rsid w:val="00B42841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B42841"/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paragraph" w:styleId="BodyTextIndent2">
    <w:name w:val="Body Text Indent 2"/>
    <w:basedOn w:val="Normal"/>
    <w:link w:val="BodyTextIndent2Char"/>
    <w:rsid w:val="00B4284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428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DE77-02F4-4B53-B90D-6A1055EB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Ozone</dc:creator>
  <cp:lastModifiedBy>Mtnolort</cp:lastModifiedBy>
  <cp:revision>68</cp:revision>
  <dcterms:created xsi:type="dcterms:W3CDTF">2019-01-16T05:36:00Z</dcterms:created>
  <dcterms:modified xsi:type="dcterms:W3CDTF">2019-06-26T08:17:00Z</dcterms:modified>
</cp:coreProperties>
</file>