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4DA9" w14:textId="3428D575" w:rsidR="00AE0DFB" w:rsidRPr="00DF60F7" w:rsidRDefault="0084628B" w:rsidP="0084628B">
      <w:pPr>
        <w:spacing w:after="0" w:line="360" w:lineRule="auto"/>
        <w:ind w:firstLine="284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AE0DFB"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ԱԽԱԳԻԾ</w:t>
      </w:r>
    </w:p>
    <w:p w14:paraId="53102FC0" w14:textId="77777777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F04AD0C" w14:textId="77777777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616F6619" w14:textId="77777777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09ACA487" w14:textId="77777777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3F30818C" w14:textId="77777777" w:rsidR="00AE0DFB" w:rsidRPr="00DF60F7" w:rsidRDefault="00AE0DFB" w:rsidP="00AE0D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42E69BAB" w14:textId="6338FF6F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2019  թվականի N –</w:t>
      </w:r>
      <w:r w:rsidR="00F948E1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14:paraId="23EED7B9" w14:textId="77777777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D69D90" w14:textId="77777777" w:rsidR="00AE0DFB" w:rsidRPr="00DF60F7" w:rsidRDefault="00AE0DFB" w:rsidP="00AE0D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7067707B" w14:textId="7E3EE9E2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2011 ԹՎԱԿԱՆԻ ՀՈՒԼԻՍԻ 28-Ի ԹԻՎ 1058-Ն ՈՐՈՇՄԱՆ ՄԵՋ ՓՈՓՈԽՈՒԹՅՈՒՆ</w:t>
      </w:r>
      <w:r w:rsidR="0059754D"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DF60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4B531059" w14:textId="77777777" w:rsidR="00AE0DFB" w:rsidRPr="00DF60F7" w:rsidRDefault="00AE0DFB" w:rsidP="00AE0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CA7154D" w14:textId="77777777" w:rsidR="00AE0DFB" w:rsidRPr="00DF60F7" w:rsidRDefault="00AE0DFB" w:rsidP="00AE0D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40E90530" w14:textId="05C9A3CE" w:rsidR="00AE0DFB" w:rsidRPr="00DF60F7" w:rsidRDefault="00192A78" w:rsidP="00AE0DF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AE0DFB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AE0DFB" w:rsidRPr="00DF60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AE0DFB" w:rsidRPr="00DF60F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14:paraId="4678D096" w14:textId="165C496E" w:rsidR="00AE0DFB" w:rsidRPr="00DF60F7" w:rsidRDefault="00AE0DFB" w:rsidP="00C2687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2011 թվականի հուլիսի 28-ի «Պետության կողմից երաշխավորված անվճար բժշկական օգնություն և սպասարկում իրականացնող` առևտրային կազմակերպությունների ֆինանսատնտեսական հաշվետվության օրինակելի ձևը  հաստատելու մասին» թիվ 1058-Ն որոշման</w:t>
      </w:r>
      <w:r w:rsidR="005C0862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(այսուհետ` Որոշում) 1-ին կետով հաստատված </w:t>
      </w:r>
      <w:r w:rsidR="007F4CC5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</w:t>
      </w: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ավելվածը շարադրել նոր խմբագրությամբ` համաձայն </w:t>
      </w:r>
      <w:r w:rsidR="007F4CC5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</w:t>
      </w: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ավելվածի:</w:t>
      </w:r>
    </w:p>
    <w:p w14:paraId="23E6F5A4" w14:textId="124010D9" w:rsidR="00AE0DFB" w:rsidRPr="00DF60F7" w:rsidRDefault="00AE0DFB" w:rsidP="00AE0DF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2-րդ կետի 1-ին ենթակետը շարադրել հետևյալ խմբագրությամբ.</w:t>
      </w:r>
    </w:p>
    <w:p w14:paraId="54F6B096" w14:textId="2B3E0D2C" w:rsidR="00C26873" w:rsidRPr="00BC6745" w:rsidRDefault="0059754D" w:rsidP="00C26873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E0DFB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C26873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պետության կողմից երաշխավորված անվճար բժշկական օգնություն և սպասարկում իրականացնող բժշկական կազմակերպությունները (այսուհետ` Կազմակերպություն) սույն որոշման 1-ին կետով հաստատված </w:t>
      </w:r>
      <w:r w:rsidR="00C26873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օրինակելի ձևով կազմված հաշվետվությունները (եռամսյակային պարբերականությամբ` աճողական) Հայաստանի Հանրապետության առողջապահության նախարարություն են ներկայացնում մինչև յուրաքանչյուր եռամսյակին հաջորդող ամսվա 25-ը, իսկ տարեկան հաշվետվությունները` մինչև հաշվետու տարվան հաջորդող տարվա փետրվարի 25-ը.</w:t>
      </w: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BC6745" w:rsidRPr="00BC6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C9A29C4" w14:textId="4B7CCEBB" w:rsidR="00C26873" w:rsidRPr="00DF60F7" w:rsidRDefault="009129D6" w:rsidP="00C2687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</w:t>
      </w:r>
      <w:r w:rsidR="00C26873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շման 2-րդ կետի 2-րդ ենթակետը շարադրել հետևյալ խմբագրությամբ.</w:t>
      </w:r>
    </w:p>
    <w:p w14:paraId="414148AD" w14:textId="02A4156C" w:rsidR="00C26873" w:rsidRPr="00DF60F7" w:rsidRDefault="0059754D" w:rsidP="00C26873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7F4CC5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C26873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առողջապահության նախարարությունը </w:t>
      </w:r>
      <w:r w:rsidR="002253EE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</w:t>
      </w:r>
      <w:r w:rsidR="00C26873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տարեկան հաշվետվություններն ամփոփում և Հայաստանի Հանրապետության ֆինանսների նախարարություն է ներկայացնում մինչև հաշվետու տարվան հաջորդող տարվա մարտի </w:t>
      </w:r>
      <w:r w:rsidR="004151DA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="009F3F6E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</w:t>
      </w:r>
      <w:r w:rsidR="00C26873"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DF60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14:paraId="44D83A16" w14:textId="60D99E4C" w:rsidR="00AE0DFB" w:rsidRPr="00DF60F7" w:rsidRDefault="00C26873" w:rsidP="00AE0DFB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DF60F7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AE0DFB" w:rsidRPr="00DF60F7">
        <w:rPr>
          <w:rFonts w:ascii="GHEA Grapalat" w:eastAsia="Times New Roman" w:hAnsi="GHEA Grapalat" w:cs="Sylfaen"/>
          <w:sz w:val="24"/>
          <w:szCs w:val="24"/>
          <w:lang w:val="hy-AM" w:eastAsia="ru-RU"/>
        </w:rPr>
        <w:t>. Սույն որոշումն ուժի մեջ է մտնում պաշտոնական հրապարակմանը հաջորդող տասներորդ օրը:</w:t>
      </w:r>
    </w:p>
    <w:p w14:paraId="46D530A1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BB77BDB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6FCC9F6D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180D1249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48832D65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6B716257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7D69DF6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F76D808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0D4A99E1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01FE00AB" w14:textId="77777777" w:rsidR="00AE0DFB" w:rsidRPr="00DF60F7" w:rsidRDefault="00AE0DF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39670621" w14:textId="77777777" w:rsidR="00C7596B" w:rsidRPr="00DF60F7" w:rsidRDefault="00C7596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4062F123" w14:textId="77777777" w:rsidR="00C7596B" w:rsidRPr="00DF60F7" w:rsidRDefault="00C7596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2EC99AB1" w14:textId="77777777" w:rsidR="00C7596B" w:rsidRPr="00DF60F7" w:rsidRDefault="00C7596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6FC3E015" w14:textId="77777777" w:rsidR="00ED7DFA" w:rsidRPr="00DF60F7" w:rsidRDefault="00ED7DFA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48787499" w14:textId="77777777" w:rsidR="00ED7DFA" w:rsidRPr="00DF60F7" w:rsidRDefault="00ED7DFA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07403D04" w14:textId="77777777" w:rsidR="00C7596B" w:rsidRPr="00DF60F7" w:rsidRDefault="00C7596B" w:rsidP="00C94218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8E7DC4" w:rsidRPr="00AA1F6B" w14:paraId="79A251F7" w14:textId="77777777" w:rsidTr="00B31618">
        <w:trPr>
          <w:tblCellSpacing w:w="0" w:type="dxa"/>
        </w:trPr>
        <w:tc>
          <w:tcPr>
            <w:tcW w:w="12960" w:type="dxa"/>
            <w:shd w:val="clear" w:color="auto" w:fill="FFFFFF"/>
            <w:vAlign w:val="bottom"/>
            <w:hideMark/>
          </w:tcPr>
          <w:p w14:paraId="5409B607" w14:textId="77777777" w:rsidR="0059754D" w:rsidRPr="00DF60F7" w:rsidRDefault="0059754D" w:rsidP="0059754D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Հավելված</w:t>
            </w:r>
          </w:p>
          <w:p w14:paraId="1398FB8B" w14:textId="77777777" w:rsidR="0059754D" w:rsidRPr="00DF60F7" w:rsidRDefault="0059754D" w:rsidP="0059754D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կառավարության</w:t>
            </w:r>
          </w:p>
          <w:p w14:paraId="6EF6C488" w14:textId="77777777" w:rsidR="0059754D" w:rsidRPr="00DF60F7" w:rsidRDefault="0059754D" w:rsidP="0059754D">
            <w:pPr>
              <w:shd w:val="clear" w:color="auto" w:fill="FFFFFF"/>
              <w:spacing w:after="0" w:line="240" w:lineRule="auto"/>
              <w:ind w:firstLine="375"/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___2019</w:t>
            </w: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DF60F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___  N  որոշման</w:t>
            </w:r>
          </w:p>
          <w:p w14:paraId="0BDE88B9" w14:textId="77777777" w:rsidR="0059754D" w:rsidRPr="00DF60F7" w:rsidRDefault="0059754D" w:rsidP="0059754D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045250C8" w14:textId="732FE9A9" w:rsidR="008E7DC4" w:rsidRPr="00DF60F7" w:rsidRDefault="0059754D" w:rsidP="008E7DC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F6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</w:t>
            </w:r>
            <w:r w:rsidR="008E7DC4" w:rsidRPr="00DF6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Հավելված</w:t>
            </w:r>
          </w:p>
          <w:p w14:paraId="64F1B0E4" w14:textId="77777777" w:rsidR="008E7DC4" w:rsidRPr="00DF60F7" w:rsidRDefault="008E7DC4" w:rsidP="008E7DC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DF60F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 w:eastAsia="ru-RU"/>
              </w:rPr>
              <w:t>ՀՀ</w:t>
            </w:r>
            <w:r w:rsidRPr="00DF6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DF60F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 w:eastAsia="ru-RU"/>
              </w:rPr>
              <w:t>կառավարության</w:t>
            </w:r>
            <w:r w:rsidRPr="00DF6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2011 </w:t>
            </w:r>
            <w:r w:rsidRPr="00DF60F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 w:eastAsia="ru-RU"/>
              </w:rPr>
              <w:t>թվական</w:t>
            </w:r>
            <w:r w:rsidRPr="00DF6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ի</w:t>
            </w:r>
          </w:p>
          <w:p w14:paraId="271C096D" w14:textId="77777777" w:rsidR="008E7DC4" w:rsidRPr="00DF60F7" w:rsidRDefault="008E7DC4" w:rsidP="008E7DC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F6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հուլիսի 28-ի N 1058-Ն որոշման</w:t>
            </w:r>
          </w:p>
        </w:tc>
      </w:tr>
    </w:tbl>
    <w:p w14:paraId="632F79D9" w14:textId="77777777" w:rsidR="008E7DC4" w:rsidRPr="00DF60F7" w:rsidRDefault="008E7DC4" w:rsidP="008E7DC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F60F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55290927" w14:textId="77777777" w:rsidR="00985035" w:rsidRPr="00DF60F7" w:rsidRDefault="00985035" w:rsidP="004D4E7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2250F2D0" w14:textId="2B329269" w:rsidR="00985035" w:rsidRPr="00DF60F7" w:rsidRDefault="008D6D0B" w:rsidP="004D4E7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ՊԵՏՈՒԹՅԱՆ ԿՈՂՄԻՑ ԵՐԱՇԽԱՎՈՐՎԱԾ ԱՆՎՃԱՐ ԲԺՇԿԱԿԱՆ ՕԳՆՈՒԹՅՈՒՆ </w:t>
      </w:r>
      <w:r w:rsidR="00535ADB"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ԵՎ</w:t>
      </w:r>
      <w:r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ՍՊԱՍԱՐԿՈՒՄ ԻՐԱԿԱՆԱՑՆՈՂ` </w:t>
      </w:r>
      <w:r w:rsidR="009F3F6E"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ԲԺՇԿԱԿԱՆ</w:t>
      </w:r>
      <w:r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ԿԱԶՄԱԿԵՐՊՈՒԹՅՈՒՆՆԵՐԻ ՖԻՆԱՆՍԱՏՆՏԵ</w:t>
      </w:r>
      <w:r w:rsidR="0059754D"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ՍԱԿԱՆ ՀԱՇՎԵՏՎՈՒԹՅԱՆ ՕՐԻՆԱԿԵԼԻ ՁԵՎ</w:t>
      </w:r>
      <w:r w:rsidRPr="00DF60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Ը</w:t>
      </w:r>
    </w:p>
    <w:p w14:paraId="77DFC6EC" w14:textId="65CF71A3" w:rsidR="005050F4" w:rsidRPr="00DF60F7" w:rsidRDefault="005050F4" w:rsidP="00EE392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14317" w:type="dxa"/>
        <w:tblInd w:w="-1168" w:type="dxa"/>
        <w:tblLook w:val="04A0" w:firstRow="1" w:lastRow="0" w:firstColumn="1" w:lastColumn="0" w:noHBand="0" w:noVBand="1"/>
      </w:tblPr>
      <w:tblGrid>
        <w:gridCol w:w="4550"/>
        <w:gridCol w:w="4429"/>
        <w:gridCol w:w="1381"/>
        <w:gridCol w:w="1380"/>
        <w:gridCol w:w="1443"/>
        <w:gridCol w:w="1134"/>
      </w:tblGrid>
      <w:tr w:rsidR="005050F4" w:rsidRPr="00DF60F7" w14:paraId="1B2D89AA" w14:textId="77777777" w:rsidTr="00AE0DFB">
        <w:trPr>
          <w:trHeight w:val="37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EC04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1.Կազմակերպության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անվանում</w:t>
            </w:r>
            <w:proofErr w:type="spellEnd"/>
          </w:p>
        </w:tc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80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84BD6BE" w14:textId="77777777" w:rsidTr="00AE0DFB">
        <w:trPr>
          <w:trHeight w:val="40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F6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2.ՀՎՀՀ</w:t>
            </w: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1A2B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DC44616" w14:textId="77777777" w:rsidTr="00AE0DFB">
        <w:trPr>
          <w:trHeight w:val="34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A7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3.Հ/Հ</w:t>
            </w: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6A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F4" w:rsidRPr="00DF60F7" w14:paraId="6685B893" w14:textId="77777777" w:rsidTr="00AE0DFB">
        <w:trPr>
          <w:trHeight w:val="34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B4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4.Բանկ</w:t>
            </w: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72C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F4" w:rsidRPr="00DF60F7" w14:paraId="145E71DD" w14:textId="77777777" w:rsidTr="00AE0DFB">
        <w:trPr>
          <w:trHeight w:val="34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FA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5.Հասցե</w:t>
            </w: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A8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F4" w:rsidRPr="00DF60F7" w14:paraId="4033206E" w14:textId="77777777" w:rsidTr="00AE0DFB">
        <w:trPr>
          <w:trHeight w:val="34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67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6.Հեռ.</w:t>
            </w: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7A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F4" w:rsidRPr="00DF60F7" w14:paraId="0E9FF9F8" w14:textId="77777777" w:rsidTr="00AE0DFB">
        <w:trPr>
          <w:trHeight w:val="34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D7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7.Հաշվետու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ժամանակահատված</w:t>
            </w:r>
            <w:proofErr w:type="spellEnd"/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98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B840D2C" w14:textId="77777777" w:rsidTr="00AE0DFB">
        <w:trPr>
          <w:trHeight w:val="34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A1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8.Ներկայացման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color w:val="000000"/>
              </w:rPr>
              <w:t>ամսաթիվ</w:t>
            </w:r>
            <w:proofErr w:type="spellEnd"/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41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6DC6E88" w14:textId="77777777" w:rsidTr="00AE0DFB">
        <w:trPr>
          <w:trHeight w:val="464"/>
        </w:trPr>
        <w:tc>
          <w:tcPr>
            <w:tcW w:w="8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481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32"/>
                <w:szCs w:val="32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32"/>
                <w:szCs w:val="32"/>
              </w:rPr>
              <w:t>ՑՈՒՑԱՆԻՇՆԵՐ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9FE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ԳՈՒՄԱՐ ( </w:t>
            </w:r>
            <w:proofErr w:type="spellStart"/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հազար</w:t>
            </w:r>
            <w:proofErr w:type="spellEnd"/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դրամ</w:t>
            </w:r>
            <w:proofErr w:type="spellEnd"/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                                                                     </w:t>
            </w:r>
          </w:p>
        </w:tc>
      </w:tr>
      <w:tr w:rsidR="005050F4" w:rsidRPr="00DF60F7" w14:paraId="7DF1FF9F" w14:textId="77777777" w:rsidTr="00AE0DFB">
        <w:trPr>
          <w:trHeight w:val="794"/>
        </w:trPr>
        <w:tc>
          <w:tcPr>
            <w:tcW w:w="8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3CE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7B6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I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14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498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99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Տարի</w:t>
            </w:r>
            <w:proofErr w:type="spellEnd"/>
          </w:p>
        </w:tc>
      </w:tr>
      <w:tr w:rsidR="005050F4" w:rsidRPr="00DF60F7" w14:paraId="1A193C07" w14:textId="77777777" w:rsidTr="00AE0DFB">
        <w:trPr>
          <w:trHeight w:val="329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47E86FC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9.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եկամուտներ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այդ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թվում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14BFE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127A2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E5DCD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565C2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</w:tr>
      <w:tr w:rsidR="005050F4" w:rsidRPr="00DF60F7" w14:paraId="1353C49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208A7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9.1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Պետական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պատվերի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շրջանակներում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ծառայությունների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մատուցումից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հասույթ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103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7E1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04B7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AF70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A20336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AA017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9.2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Վճարովի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պայմաններով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ծառայությունների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մատուցումից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հասույթ,որից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8056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531D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4E52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72AC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0</w:t>
            </w:r>
          </w:p>
        </w:tc>
      </w:tr>
      <w:tr w:rsidR="005050F4" w:rsidRPr="00DF60F7" w14:paraId="7F7DB8D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1224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lastRenderedPageBreak/>
              <w:t xml:space="preserve">9.2.1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Լաբորատոր-գործիքային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ախտորոշիչ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հետազոտություններ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80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B90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AC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18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495C42BD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29BF5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9.2.2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Հիվանդանոցային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պայմաններում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մատուցվող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բժշկական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օգնություն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սպասարկում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A5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E5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8D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61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26D92F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9279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9.2.3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Արտահիվանդանոցային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պայմաններում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մատուցվող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բժշկական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օգնություն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սպասարկում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E5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63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2F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58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54B9E29" w14:textId="77777777" w:rsidTr="00AE0DFB">
        <w:trPr>
          <w:trHeight w:val="599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C2D4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9.2.4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Պետության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կողմից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երաշխավորված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արտոնյալ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պայմաններով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մատուցվող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բժշկական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օգնություն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սպասարկում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համավճար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57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6D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E0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00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877EA84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F552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9.2.5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Ոչ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բժշկական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ծառայություններ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վճարովի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հիվանդասենյակներ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հիվանդի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անհատական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խնամք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տեսակցության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վճար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այլն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CD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73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91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336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8AF6A7F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7EA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9.2.6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Անշարժ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գույքի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վարձակալություն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49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CA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1B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415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1CD461F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2CF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9.2.7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Դրամաշնորհներ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E6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26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AA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2F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DCB8D9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07FA4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9.3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Անհատույց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ակտիվներ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9B95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8B50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650C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67D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7FCF4E05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6AF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9.3.1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Կենտրոնացված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կարգով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ստացված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դեղորայք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և ԲՆԱ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90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CE3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1E0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99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901328B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0E6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9.3.2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Մարդասիրական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ճանապարհով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ստացված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դեղորայք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և ԲՆԱ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CC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6D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6E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C5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346D3E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F1E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9.3.3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անհատույց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ակտիվներ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60D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33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A4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1A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2597771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3CD4A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9.4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եկամուտներ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8102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03BB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011B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1D0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3A2033C2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203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9.4.1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եկամուտներ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29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99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BC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193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C5FF57D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73D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9.4.2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եկամուտներ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3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9B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11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2A9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A680AB5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A84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9.4.3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եկամուտներ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7C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4C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BB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8E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6461811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99B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9.4.4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եկամուտներ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B2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7F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08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59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07BE764" w14:textId="77777777" w:rsidTr="00AE0DFB">
        <w:trPr>
          <w:trHeight w:val="329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1A15F63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10.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Ընդամենը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այդ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թվում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93F5C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496E1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10960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57B30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color w:val="000000"/>
              </w:rPr>
              <w:t>0</w:t>
            </w:r>
          </w:p>
        </w:tc>
      </w:tr>
      <w:tr w:rsidR="005050F4" w:rsidRPr="00DF60F7" w14:paraId="6159ACA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8A49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10.1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Աշխատանքի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վարձատրություն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որից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0319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A69C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9784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8D68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036A22B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5A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Բժիշկներ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1A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9DC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AD3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28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AD50A6E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34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Միջին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բուժանձնակազմ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22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7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63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B3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3F6A1B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03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Կրտսեր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բուժանձնակազմ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DE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A4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AB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6D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EAC7D90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6D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Վարչատնտեսական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6B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10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98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DC8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2EE0F8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D89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10.2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Դեղեր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բժշկական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պարագաներ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որից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626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9217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6BB1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40C7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676DB63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55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lastRenderedPageBreak/>
              <w:t xml:space="preserve">10.2.1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Սեփական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միջոցներով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ձեռք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բերված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50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A4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4A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FE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652A7D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F7E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10.2.2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Կենտրոնացված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կարգով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ստացված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C0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99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5D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AF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378E80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CD9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10.2.3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Մարդասիրական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ճանապարհով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ստացված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4D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49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96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922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C328F7B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784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10.3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Կոմունալ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վճարներ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որից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77C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32A0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9B7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B1C8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0D7D00C0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81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10.3.1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Էլեկտրաէներգիա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3F9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4D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70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AD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848B48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10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10.3.2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Գազի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 (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ջեռուցում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14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0A5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7B4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0A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461CC6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7A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10.3.3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Ջրմուղ-կոյուղու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2D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2B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76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36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E233EA0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F5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10.3.4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Կապի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հեռահաղորդակցության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F8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CE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650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A1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41A5992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6668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10.4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Գործուղման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ներկայացուցչական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914A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B087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F977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383D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9E4C74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098E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10.5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Կադրերի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վերապատրաստում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595F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7D8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B176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DEFC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C6E513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E307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10.6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Սննդի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թվում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սեփական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կամ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պատվիրակված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6CD4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DFA8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0EFE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F2E4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58D8604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65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10.6.1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Սեփական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F7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90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6D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EAB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B8B39E2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A1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10.6.2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Պատվիրակում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C4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62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D9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CD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73D5AF3E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868E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10.7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Լվացքատան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թվում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սեփական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կամ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պատվիրակված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F23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4AD0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B95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CC88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57569BDB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35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10.7.1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Սեփական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834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F4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A5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B7B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3713C07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92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10.7.2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Պատվիրակված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EE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CD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C2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78B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0E8DFE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8999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10.8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Տրանսպորտային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միջոցների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գծով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որից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8B61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0C1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2744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517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14A8A9F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80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10.8.1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Բենզին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AC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52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A1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BC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F6267F7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FA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10.8.2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Դիզելային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վառելիք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C1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57B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44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63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BC503DF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85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10.8.3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Տրանսպորտային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միջոցների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սպասարկման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A3F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30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65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08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194F14B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242F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10.9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Վարչական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գրասենյակային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036C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497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7134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B86F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FC8CB7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F99BF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10.10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Շենք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շինությունների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ընթացիկ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նորոգում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ոչ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կապիտալացվող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3FA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FF3F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ECA2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D42C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994E82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32DDB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10.11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Հարկեր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պարտադիր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վճարներ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0798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2941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8402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1CD1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158A825B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E5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10.11.1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1A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F6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FF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E5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99F97D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73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lastRenderedPageBreak/>
              <w:t>10.11.2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97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32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CE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EF9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35B87C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13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10.11.3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2F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3F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E7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CD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85EA5E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6A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10.11.4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A0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EC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CF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71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273CCBAE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FB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10.11.5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FE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DD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DF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2A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C42A1A2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6B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10.11.6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0C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E8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AE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0A8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9A424D0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989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10.12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DE9C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DE94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B614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F866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644E2B9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20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10.12.1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73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B2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9E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C3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C49FBB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51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10.12.2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BA0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0F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BEA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76C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9C91B3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7F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10.12.3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DD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1A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5D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4A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74118BC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5C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10.12.4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C6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45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3A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B3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4D76B9B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B86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10.12.5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AF0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DF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CD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18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499B115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22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10.12.6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ծախսեր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BC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23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8B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AC9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7C86063D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4748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11.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Ամորտիզացիա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6E43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DD9E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DA7D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DE2E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4441449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AA41F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12.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Շահույթ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նախքան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հարկումը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107C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44AD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E30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CB9D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76D0BD96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F1588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13.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Շահութահարկի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գծով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ծախս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D2C2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46FA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B063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A7BE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793A3F7B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060DD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14.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Զուտ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շահույթ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DB2D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1156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FECC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AB97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7D4B390C" w14:textId="77777777" w:rsidTr="00AE0DFB">
        <w:trPr>
          <w:trHeight w:val="40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A23A6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15.Գործունեությունը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բնութագրող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ցուցանիշներ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A88BC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06B71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A9F15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9CCC0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x</w:t>
            </w:r>
          </w:p>
        </w:tc>
      </w:tr>
      <w:tr w:rsidR="005050F4" w:rsidRPr="00DF60F7" w14:paraId="26ECDC2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876C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15.1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Աշխատակիցներ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թվում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155A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0E68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9901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305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15FBD87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BF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15.1.1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Բժիշկներ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97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A06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95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DA7E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DC4DB1D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62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15.1.2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Միջին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բուժանձնակազմ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0F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2E90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18C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D17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F39F7AE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C98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15.1.3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Կրտսեր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բուժանձնակազմ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37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75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89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14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926E015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BB8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15.1.4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Վարչատնտեսական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AD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387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A78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C873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77176A2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F6CA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15.2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Աշխատակիցների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միջին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ամսական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աշխատավարձ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դրամ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/,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այդ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թվում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A8398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B2E6D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4EFCA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3E989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27427559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64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15.2.1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Բժշկական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AC7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F1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65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AE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</w:tr>
      <w:tr w:rsidR="005050F4" w:rsidRPr="00DF60F7" w14:paraId="6D23E223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63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lastRenderedPageBreak/>
              <w:t xml:space="preserve">15.2.2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Միջին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բուժանձնակազմ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98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C06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53D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D3E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</w:tr>
      <w:tr w:rsidR="005050F4" w:rsidRPr="00DF60F7" w14:paraId="522F439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2C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15.2.3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Կրտսեր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բուժանձնակազմ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4BB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D13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497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C77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</w:tr>
      <w:tr w:rsidR="005050F4" w:rsidRPr="00DF60F7" w14:paraId="52A84B40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D6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15.2.4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Վարչատնտեսական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անձնակազմ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5A2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9C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8E1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883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</w:tr>
      <w:tr w:rsidR="005050F4" w:rsidRPr="00DF60F7" w14:paraId="7C018CEA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BADF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15.3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Մահճակալների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քանակ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B7A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834F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5DE5F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0C42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9FDE3D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7E65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15.4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Ընդհանուր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մահճակալ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օրերի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8E4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D7C3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2A4E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C9C1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61AF2B4D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AB11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15.5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Մահճակալների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զբաղվածություն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- 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384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0726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2A4C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73BD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ACF4F56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D096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15.6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Կրեդիտորական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պարտքեր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հաշվետու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ժամանակահատվածին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հաջորդող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ամսվա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20-ի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դրությամբ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EABD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3B89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C5B82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F52FC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137E9F56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C2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15.6.1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Աշխատավարձի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աշխատակիցների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կարճաժամկետ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հատուցումների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գծով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09B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77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E1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AB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19E9A724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13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15.6.2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Հարկերի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պարտադիր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վճարների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գծով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C9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38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03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AC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0C7A97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D2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15.6.3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Ստացված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դեղորայքի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գծով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40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3F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2B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FD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E354D45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5F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15.6.4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Ստացված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կոմունալ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ծառայությունների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գծով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DC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F9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4BA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20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020692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2340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15.7Դեբիտորական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պարտքեր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հաշվետու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ժամանակահատվածին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հաջորդող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ամսվա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 xml:space="preserve"> 20-ի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դրությամբ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2897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9345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9881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66FEA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0</w:t>
            </w:r>
          </w:p>
        </w:tc>
      </w:tr>
      <w:tr w:rsidR="005050F4" w:rsidRPr="00DF60F7" w14:paraId="4C3C3E5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F4D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15.7.1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Վճարովի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պայմաններով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մատուցված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ծառայություններ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դիմաց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7E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F5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A57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DB7FEF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8B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15.7.2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Պետության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կողմից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երաշխավորված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անվճար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պայմաններով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մատուցված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ծառայություրների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դիմաց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66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EF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BA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CE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0C9D2BE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8E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15.7.3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Այլ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դեբիտորական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պարտքեր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21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E17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8E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11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BAC8F76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7B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15.7.4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դեբիտորական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պարտք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4E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07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B38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27A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31916FC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41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15.7.5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դեբիտորական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պարտք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1F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2B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24E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9AB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34E4CD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E6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15.7.6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դեբիտորական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պարտք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- [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անվանում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AD03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586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97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4B0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5B4A11B4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E6CA3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16.Դրամական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միջոցների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մնացորդ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հաշվետու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ժամանակահատվածին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հաջորդող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ամսվա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20-ի </w:t>
            </w:r>
            <w:proofErr w:type="spellStart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դրությամբ</w:t>
            </w:r>
            <w:proofErr w:type="spellEnd"/>
            <w:r w:rsidRPr="00DF60F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E79DD4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9EBAA9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6BCDEB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C7991F" w14:textId="77777777" w:rsidR="005050F4" w:rsidRPr="00DF60F7" w:rsidRDefault="005050F4" w:rsidP="003837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</w:tr>
      <w:tr w:rsidR="005050F4" w:rsidRPr="00DF60F7" w14:paraId="0D4E19D8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F4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17.1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Դրամարկղ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AC9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99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21E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C11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050F4" w:rsidRPr="00DF60F7" w14:paraId="309BD88D" w14:textId="77777777" w:rsidTr="00AE0DFB">
        <w:trPr>
          <w:trHeight w:val="344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C14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17.2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Հաշվարկային</w:t>
            </w:r>
            <w:proofErr w:type="spellEnd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F60F7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հաշիվներ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F1D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00C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795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DF60F7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632" w14:textId="77777777" w:rsidR="005050F4" w:rsidRPr="00DF60F7" w:rsidRDefault="005050F4" w:rsidP="003837C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6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14:paraId="33FBAFC5" w14:textId="77777777" w:rsidR="005050F4" w:rsidRPr="00DF60F7" w:rsidRDefault="005050F4" w:rsidP="00EE392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2504847" w14:textId="44E3D992" w:rsidR="00F9399C" w:rsidRPr="00DF60F7" w:rsidRDefault="00DC4E17" w:rsidP="0066366F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60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»:</w:t>
      </w:r>
    </w:p>
    <w:p w14:paraId="37A6577B" w14:textId="77777777" w:rsidR="0066366F" w:rsidRPr="00DF60F7" w:rsidRDefault="0066366F" w:rsidP="00BE23BF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F60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ՀԻՄՆԱՎՈՐՈՒՄ</w:t>
      </w:r>
    </w:p>
    <w:p w14:paraId="3F4C6317" w14:textId="77777777" w:rsidR="00CD6ACF" w:rsidRPr="00DF60F7" w:rsidRDefault="0066366F" w:rsidP="00BE23B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F60F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DF60F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2011 ԹՎԱԿԱՆԻ ՀՈՒԼԻՍԻ 28-Ի ԹԻՎ 1058-Ն ՈՐՈՇՄԱՆ ՄԵՋ ՓՈՓՈԽՈՒԹՅՈՒՆՆԵՐ ԿԱՏԱՐԵԼՈՒ ՄԱՍԻՆ</w:t>
      </w:r>
      <w:r w:rsidRPr="00DF60F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DF60F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ՀՀ ԿԱՌԱՎԱՐՈՒԹՅԱՆ ՈՐՈՇՄԱՆ </w:t>
      </w:r>
      <w:r w:rsidRPr="00DF60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="00CD6ACF" w:rsidRPr="00DF60F7">
        <w:rPr>
          <w:rFonts w:ascii="GHEA Grapalat" w:hAnsi="GHEA Grapalat" w:cs="Sylfaen"/>
          <w:b/>
          <w:sz w:val="24"/>
          <w:szCs w:val="24"/>
          <w:lang w:val="af-ZA"/>
        </w:rPr>
        <w:t xml:space="preserve">ԸՆԴՈՒՆՄԱՆ ԱՆՀՐԱԺԵՇՏՈՒԹՅԱՆ </w:t>
      </w:r>
      <w:r w:rsidR="00CD6ACF" w:rsidRPr="00DF60F7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492FD30A" w14:textId="77777777" w:rsidR="00C92B40" w:rsidRPr="00DF60F7" w:rsidRDefault="00C92B40" w:rsidP="00BE23B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1FF6C7" w14:textId="77777777" w:rsidR="00C92B40" w:rsidRPr="00DF60F7" w:rsidRDefault="00C92B40" w:rsidP="00BE23BF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F60F7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DF60F7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Pr="00DF60F7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14:paraId="5847BA58" w14:textId="77777777" w:rsidR="00C92B40" w:rsidRPr="00DF60F7" w:rsidRDefault="00C92B40" w:rsidP="00BE23BF">
      <w:pPr>
        <w:spacing w:after="0" w:line="360" w:lineRule="auto"/>
        <w:ind w:firstLine="374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DF60F7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Պետության կողմից երաշխավորված անվճար և արտոնյալ պայմաններով ծառայություններ մատուցող բժշկական կազմակերպությունների (այսուհետ` Կազմակերպություն) ֆինանսատնտեսական հաշվետվության օրինակելի ձևի համապատասխանեցում առավել նպատակահարմար և կիրառելիություն ունեցող պրակտիկային:     </w:t>
      </w:r>
    </w:p>
    <w:p w14:paraId="7BC327CF" w14:textId="5D12B4EE" w:rsidR="00C92B40" w:rsidRPr="00DF60F7" w:rsidRDefault="00C92B40" w:rsidP="00BE23BF">
      <w:pPr>
        <w:spacing w:after="0" w:line="360" w:lineRule="auto"/>
        <w:ind w:firstLine="374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DF60F7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Ֆինանսատնտեսական հաշվետվության գործող ձևաչափում գործունեության արդյունքները բնութագրող ցուցանիշների մի մասը արդեն իսկ հնարավոր է ստանալ էլեկտրոնային առողջապահության  համակարգից և առանձին տեղեկատվության հավաքագրումը ոչ նպատակահարմար է, իսկ եկամուտների ըստ հիվանդանոցային և արտահիվանդանոցային տեսակների տարանջատման դեպքում առաջանում է ներկայացվող տեղեկատվության արժանահավատության սկզբունքի խախտման ռիսկ:</w:t>
      </w:r>
    </w:p>
    <w:p w14:paraId="62858859" w14:textId="77777777" w:rsidR="00C92B40" w:rsidRPr="00DF60F7" w:rsidRDefault="00C92B40" w:rsidP="00BE23BF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F60F7">
        <w:rPr>
          <w:rFonts w:ascii="GHEA Grapalat" w:hAnsi="GHEA Grapalat"/>
          <w:b/>
          <w:sz w:val="24"/>
          <w:szCs w:val="24"/>
          <w:lang w:val="hy-AM"/>
        </w:rPr>
        <w:t>2</w:t>
      </w:r>
      <w:r w:rsidRPr="00DF60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F60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14:paraId="155AB1D4" w14:textId="5364DD18" w:rsidR="00C92B40" w:rsidRPr="00DF60F7" w:rsidRDefault="00C92B40" w:rsidP="00BE23BF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F60F7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Առաջարկվող ֆինանսատնտեսական հաշվետվության նոր ձևաչափում ավելացվել են գործունեության արդյունքները բնութագրող այնպիսի ցուցանիշներ, որոնք պարբերաբար օգտագործվում են Կազմակերպությունների բյուջետային միջոցների հաշվարկման և բաշխման, տրամադրվող միջոցների ծախսման արդյունավետության գնահատման ժամանակ:</w:t>
      </w:r>
    </w:p>
    <w:p w14:paraId="00CE176B" w14:textId="77777777" w:rsidR="00A53689" w:rsidRPr="00DF60F7" w:rsidRDefault="00A53689" w:rsidP="008845D6">
      <w:pPr>
        <w:spacing w:after="0"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D49E63C" w14:textId="77777777" w:rsidR="00C92B40" w:rsidRPr="00DF60F7" w:rsidRDefault="00C92B40" w:rsidP="008845D6">
      <w:pPr>
        <w:spacing w:after="0" w:line="360" w:lineRule="auto"/>
        <w:ind w:firstLine="284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F60F7">
        <w:rPr>
          <w:rFonts w:ascii="GHEA Grapalat" w:hAnsi="GHEA Grapalat"/>
          <w:b/>
          <w:sz w:val="24"/>
          <w:szCs w:val="24"/>
          <w:lang w:val="hy-AM"/>
        </w:rPr>
        <w:t>3.</w:t>
      </w:r>
      <w:r w:rsidRPr="00DF60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60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3E19D830" w14:textId="77777777" w:rsidR="00A53689" w:rsidRPr="00DF60F7" w:rsidRDefault="008845D6" w:rsidP="00A536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60F7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C92B40" w:rsidRPr="00DF60F7"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="00C92B40" w:rsidRPr="00DF60F7">
        <w:rPr>
          <w:rFonts w:ascii="GHEA Grapalat" w:hAnsi="GHEA Grapalat"/>
          <w:sz w:val="24"/>
          <w:szCs w:val="24"/>
          <w:lang w:val="hy-AM"/>
        </w:rPr>
        <w:t>աշխատակիցների կողմից:</w:t>
      </w:r>
    </w:p>
    <w:p w14:paraId="30B38274" w14:textId="77777777" w:rsidR="00A53689" w:rsidRPr="00DF60F7" w:rsidRDefault="00A53689" w:rsidP="00A536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60F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75428D5F" w14:textId="3350F610" w:rsidR="00C92B40" w:rsidRPr="00DF60F7" w:rsidRDefault="00A53689" w:rsidP="00A53689">
      <w:pPr>
        <w:spacing w:after="0" w:line="360" w:lineRule="auto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F60F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92B40" w:rsidRPr="00DF60F7">
        <w:rPr>
          <w:rFonts w:ascii="GHEA Grapalat" w:hAnsi="GHEA Grapalat"/>
          <w:b/>
          <w:sz w:val="24"/>
          <w:szCs w:val="24"/>
          <w:lang w:val="hy-AM"/>
        </w:rPr>
        <w:t>4.</w:t>
      </w:r>
      <w:r w:rsidR="00C92B40" w:rsidRPr="00DF60F7">
        <w:rPr>
          <w:rFonts w:ascii="GHEA Grapalat" w:hAnsi="GHEA Grapalat"/>
          <w:sz w:val="24"/>
          <w:szCs w:val="24"/>
          <w:lang w:val="hy-AM"/>
        </w:rPr>
        <w:t xml:space="preserve"> </w:t>
      </w:r>
      <w:r w:rsidR="00C92B40" w:rsidRPr="00DF60F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C92B40" w:rsidRPr="00DF60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56327F" w14:textId="4D5ADF27" w:rsidR="00575C76" w:rsidRPr="00366F7E" w:rsidRDefault="00FC616D" w:rsidP="00366F7E">
      <w:pPr>
        <w:spacing w:after="0" w:line="360" w:lineRule="auto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DF60F7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66F7E" w:rsidRPr="00366F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ընդունման արդյու</w:t>
      </w:r>
      <w:r w:rsidR="00B422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66F7E" w:rsidRPr="00366F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քում կբարձրանա պետության կողմից երաշխավորված անվճար բժշկական օգնություն և սպասարկում իրականացնող բժշկական կազմակերպությունների հաշվետվողականությունը և հնարավորություններ կստեղծվեն պետական միջոցների փաստահեն բաշխման համար:</w:t>
      </w:r>
      <w:r w:rsidR="00366F7E" w:rsidRPr="00366F7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61CE1F51" w14:textId="77777777" w:rsidR="00EF2940" w:rsidRPr="00366F7E" w:rsidRDefault="00EF2940" w:rsidP="00BE23BF">
      <w:pPr>
        <w:spacing w:after="0" w:line="360" w:lineRule="auto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14:paraId="032DEF5A" w14:textId="77777777" w:rsidR="00366F7E" w:rsidRPr="00366F7E" w:rsidRDefault="00366F7E" w:rsidP="00BE23BF">
      <w:pPr>
        <w:spacing w:after="0" w:line="360" w:lineRule="auto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14:paraId="14440EDD" w14:textId="77777777" w:rsidR="00366F7E" w:rsidRPr="00366F7E" w:rsidRDefault="00366F7E" w:rsidP="00BE23BF">
      <w:pPr>
        <w:spacing w:after="0" w:line="360" w:lineRule="auto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14:paraId="11FAEC7D" w14:textId="77777777" w:rsidR="00366F7E" w:rsidRPr="00366F7E" w:rsidRDefault="00366F7E" w:rsidP="00BE23BF">
      <w:pPr>
        <w:spacing w:after="0" w:line="360" w:lineRule="auto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14:paraId="507DA723" w14:textId="77777777" w:rsidR="00575C76" w:rsidRPr="00DF60F7" w:rsidRDefault="00575C76" w:rsidP="00EF2940">
      <w:pPr>
        <w:spacing w:line="360" w:lineRule="auto"/>
        <w:jc w:val="center"/>
        <w:rPr>
          <w:rFonts w:ascii="GHEA Grapalat" w:eastAsia="Calibri" w:hAnsi="GHEA Grapalat" w:cs="Sylfaen"/>
          <w:b/>
          <w:lang w:val="hy-AM"/>
        </w:rPr>
      </w:pPr>
    </w:p>
    <w:p w14:paraId="7B5BC488" w14:textId="77777777" w:rsidR="00575C76" w:rsidRPr="00B4224B" w:rsidRDefault="00575C76" w:rsidP="00C7663F">
      <w:pPr>
        <w:spacing w:line="360" w:lineRule="auto"/>
        <w:rPr>
          <w:rFonts w:ascii="GHEA Grapalat" w:eastAsia="Calibri" w:hAnsi="GHEA Grapalat" w:cs="Sylfaen"/>
          <w:b/>
          <w:lang w:val="hy-AM"/>
        </w:rPr>
      </w:pPr>
    </w:p>
    <w:p w14:paraId="59C8FE15" w14:textId="77777777" w:rsidR="00E3681C" w:rsidRPr="00B4224B" w:rsidRDefault="00E3681C" w:rsidP="00C7663F">
      <w:pPr>
        <w:spacing w:line="360" w:lineRule="auto"/>
        <w:rPr>
          <w:rFonts w:ascii="GHEA Grapalat" w:eastAsia="Calibri" w:hAnsi="GHEA Grapalat" w:cs="Sylfaen"/>
          <w:b/>
          <w:lang w:val="hy-AM"/>
        </w:rPr>
      </w:pPr>
    </w:p>
    <w:p w14:paraId="0EC854C2" w14:textId="77777777" w:rsidR="00E3681C" w:rsidRPr="00B4224B" w:rsidRDefault="00E3681C" w:rsidP="00C7663F">
      <w:pPr>
        <w:spacing w:line="360" w:lineRule="auto"/>
        <w:rPr>
          <w:rFonts w:ascii="GHEA Grapalat" w:eastAsia="Calibri" w:hAnsi="GHEA Grapalat" w:cs="Sylfaen"/>
          <w:b/>
          <w:lang w:val="hy-AM"/>
        </w:rPr>
      </w:pPr>
    </w:p>
    <w:p w14:paraId="366843E2" w14:textId="77777777" w:rsidR="00E3681C" w:rsidRPr="00B4224B" w:rsidRDefault="00E3681C" w:rsidP="00C7663F">
      <w:pPr>
        <w:spacing w:line="360" w:lineRule="auto"/>
        <w:rPr>
          <w:rFonts w:ascii="GHEA Grapalat" w:eastAsia="Calibri" w:hAnsi="GHEA Grapalat" w:cs="Sylfaen"/>
          <w:b/>
          <w:lang w:val="hy-AM"/>
        </w:rPr>
      </w:pPr>
      <w:bookmarkStart w:id="0" w:name="_GoBack"/>
      <w:bookmarkEnd w:id="0"/>
    </w:p>
    <w:sectPr w:rsidR="00E3681C" w:rsidRPr="00B4224B" w:rsidSect="00B31618">
      <w:pgSz w:w="15840" w:h="12240" w:orient="landscape"/>
      <w:pgMar w:top="1985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05229" w16cid:durableId="2068AB78"/>
  <w16cid:commentId w16cid:paraId="07885953" w16cid:durableId="20697A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16AA"/>
    <w:multiLevelType w:val="hybridMultilevel"/>
    <w:tmpl w:val="C8F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381A"/>
    <w:multiLevelType w:val="hybridMultilevel"/>
    <w:tmpl w:val="536A7454"/>
    <w:lvl w:ilvl="0" w:tplc="E96A23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meralda Dallakyan">
    <w15:presenceInfo w15:providerId="None" w15:userId="Esmeralda Dallak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7F"/>
    <w:rsid w:val="00070402"/>
    <w:rsid w:val="00071BDB"/>
    <w:rsid w:val="00076624"/>
    <w:rsid w:val="000B3E71"/>
    <w:rsid w:val="000E03C9"/>
    <w:rsid w:val="000F7344"/>
    <w:rsid w:val="00162EB5"/>
    <w:rsid w:val="001911A8"/>
    <w:rsid w:val="00192A78"/>
    <w:rsid w:val="001B5DE2"/>
    <w:rsid w:val="001E7AB8"/>
    <w:rsid w:val="001F04C6"/>
    <w:rsid w:val="002253EE"/>
    <w:rsid w:val="002573CB"/>
    <w:rsid w:val="00260DBF"/>
    <w:rsid w:val="0026192A"/>
    <w:rsid w:val="002634FB"/>
    <w:rsid w:val="00264149"/>
    <w:rsid w:val="002A67B1"/>
    <w:rsid w:val="002D152F"/>
    <w:rsid w:val="00355635"/>
    <w:rsid w:val="00366F7E"/>
    <w:rsid w:val="003804B6"/>
    <w:rsid w:val="003837C5"/>
    <w:rsid w:val="003C520A"/>
    <w:rsid w:val="003D1FD9"/>
    <w:rsid w:val="004151DA"/>
    <w:rsid w:val="0043352C"/>
    <w:rsid w:val="004A023E"/>
    <w:rsid w:val="004D447A"/>
    <w:rsid w:val="004D4E70"/>
    <w:rsid w:val="005050F4"/>
    <w:rsid w:val="00535ADB"/>
    <w:rsid w:val="00554AF5"/>
    <w:rsid w:val="00575C76"/>
    <w:rsid w:val="0058367A"/>
    <w:rsid w:val="00593F2E"/>
    <w:rsid w:val="0059754D"/>
    <w:rsid w:val="005A652E"/>
    <w:rsid w:val="005C0862"/>
    <w:rsid w:val="005E3BFA"/>
    <w:rsid w:val="005F3C3D"/>
    <w:rsid w:val="00615234"/>
    <w:rsid w:val="00621630"/>
    <w:rsid w:val="0066366F"/>
    <w:rsid w:val="00683DA8"/>
    <w:rsid w:val="0069321C"/>
    <w:rsid w:val="006B0A3A"/>
    <w:rsid w:val="006B5FC7"/>
    <w:rsid w:val="006D0151"/>
    <w:rsid w:val="006D3B54"/>
    <w:rsid w:val="00714341"/>
    <w:rsid w:val="00722E93"/>
    <w:rsid w:val="00723D13"/>
    <w:rsid w:val="007305C3"/>
    <w:rsid w:val="007404F3"/>
    <w:rsid w:val="007D590A"/>
    <w:rsid w:val="007E2D8A"/>
    <w:rsid w:val="007F4CC5"/>
    <w:rsid w:val="0084628B"/>
    <w:rsid w:val="008845D6"/>
    <w:rsid w:val="008D3799"/>
    <w:rsid w:val="008D6D0B"/>
    <w:rsid w:val="008E7DC4"/>
    <w:rsid w:val="009129D6"/>
    <w:rsid w:val="00915A47"/>
    <w:rsid w:val="00935A7F"/>
    <w:rsid w:val="00985035"/>
    <w:rsid w:val="00993D56"/>
    <w:rsid w:val="009D2974"/>
    <w:rsid w:val="009F3F6E"/>
    <w:rsid w:val="00A0329D"/>
    <w:rsid w:val="00A5012B"/>
    <w:rsid w:val="00A53689"/>
    <w:rsid w:val="00A6434D"/>
    <w:rsid w:val="00A73FB3"/>
    <w:rsid w:val="00A7559C"/>
    <w:rsid w:val="00A83055"/>
    <w:rsid w:val="00A914D9"/>
    <w:rsid w:val="00AA1F6B"/>
    <w:rsid w:val="00AD587E"/>
    <w:rsid w:val="00AE0DFB"/>
    <w:rsid w:val="00B31618"/>
    <w:rsid w:val="00B4224B"/>
    <w:rsid w:val="00B54E7F"/>
    <w:rsid w:val="00B87DA3"/>
    <w:rsid w:val="00BB753E"/>
    <w:rsid w:val="00BC6745"/>
    <w:rsid w:val="00BE23BF"/>
    <w:rsid w:val="00BE4788"/>
    <w:rsid w:val="00C2270B"/>
    <w:rsid w:val="00C26873"/>
    <w:rsid w:val="00C27019"/>
    <w:rsid w:val="00C7596B"/>
    <w:rsid w:val="00C7663F"/>
    <w:rsid w:val="00C92B40"/>
    <w:rsid w:val="00C94218"/>
    <w:rsid w:val="00CA092A"/>
    <w:rsid w:val="00CB16DF"/>
    <w:rsid w:val="00CD6ACF"/>
    <w:rsid w:val="00D02A53"/>
    <w:rsid w:val="00D05755"/>
    <w:rsid w:val="00D11E68"/>
    <w:rsid w:val="00D125B1"/>
    <w:rsid w:val="00D1685C"/>
    <w:rsid w:val="00D378CF"/>
    <w:rsid w:val="00DC46C9"/>
    <w:rsid w:val="00DC4E17"/>
    <w:rsid w:val="00DF60F7"/>
    <w:rsid w:val="00E03687"/>
    <w:rsid w:val="00E3681C"/>
    <w:rsid w:val="00E72B77"/>
    <w:rsid w:val="00E742F4"/>
    <w:rsid w:val="00EB67B7"/>
    <w:rsid w:val="00EC3374"/>
    <w:rsid w:val="00ED7DFA"/>
    <w:rsid w:val="00EE3923"/>
    <w:rsid w:val="00EF0AA2"/>
    <w:rsid w:val="00EF2940"/>
    <w:rsid w:val="00EF7D11"/>
    <w:rsid w:val="00EF7E99"/>
    <w:rsid w:val="00F44B17"/>
    <w:rsid w:val="00F712D9"/>
    <w:rsid w:val="00F80049"/>
    <w:rsid w:val="00F87DE0"/>
    <w:rsid w:val="00F9399C"/>
    <w:rsid w:val="00F948E1"/>
    <w:rsid w:val="00FC616D"/>
    <w:rsid w:val="00FF0F79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4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630"/>
    <w:rPr>
      <w:b/>
      <w:bCs/>
    </w:rPr>
  </w:style>
  <w:style w:type="character" w:styleId="Emphasis">
    <w:name w:val="Emphasis"/>
    <w:basedOn w:val="DefaultParagraphFont"/>
    <w:uiPriority w:val="20"/>
    <w:qFormat/>
    <w:rsid w:val="00621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1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30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71BDB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66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630"/>
    <w:rPr>
      <w:b/>
      <w:bCs/>
    </w:rPr>
  </w:style>
  <w:style w:type="character" w:styleId="Emphasis">
    <w:name w:val="Emphasis"/>
    <w:basedOn w:val="DefaultParagraphFont"/>
    <w:uiPriority w:val="20"/>
    <w:qFormat/>
    <w:rsid w:val="00621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1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30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71BDB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66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B911-1062-48A9-998F-BC452051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keywords>https:/mul-moh.gov.am/tasks/docs/attachment.php?id=442755&amp;fn=NAXAGIC_VAVER_VERJNAKAN.docx&amp;out=1&amp;token=</cp:keywords>
  <cp:lastModifiedBy>Mariam Yeritsyan</cp:lastModifiedBy>
  <cp:revision>3</cp:revision>
  <dcterms:created xsi:type="dcterms:W3CDTF">2019-05-20T08:46:00Z</dcterms:created>
  <dcterms:modified xsi:type="dcterms:W3CDTF">2019-05-20T08:48:00Z</dcterms:modified>
</cp:coreProperties>
</file>