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0F" w:rsidRPr="00CB290F" w:rsidRDefault="00CB290F" w:rsidP="00CB290F">
      <w:pPr>
        <w:jc w:val="center"/>
        <w:rPr>
          <w:rFonts w:asciiTheme="majorHAnsi" w:hAnsiTheme="majorHAnsi"/>
          <w:sz w:val="44"/>
          <w:szCs w:val="44"/>
          <w:lang w:val="en-US"/>
        </w:rPr>
      </w:pPr>
    </w:p>
    <w:p w:rsidR="00CB290F" w:rsidRDefault="00CB290F" w:rsidP="00300409">
      <w:pPr>
        <w:rPr>
          <w:rFonts w:asciiTheme="majorHAnsi" w:hAnsiTheme="majorHAnsi"/>
          <w:sz w:val="44"/>
          <w:szCs w:val="44"/>
          <w:lang w:val="en-US"/>
        </w:rPr>
      </w:pPr>
    </w:p>
    <w:p w:rsidR="00300409" w:rsidRDefault="00300409" w:rsidP="00CB290F">
      <w:pPr>
        <w:jc w:val="center"/>
        <w:rPr>
          <w:rFonts w:asciiTheme="majorHAnsi" w:hAnsiTheme="majorHAnsi"/>
          <w:sz w:val="44"/>
          <w:szCs w:val="44"/>
          <w:lang w:val="en-US"/>
        </w:rPr>
      </w:pPr>
    </w:p>
    <w:p w:rsidR="00CB290F" w:rsidRPr="00CB290F" w:rsidRDefault="00CB290F" w:rsidP="00CB290F">
      <w:pPr>
        <w:jc w:val="center"/>
        <w:rPr>
          <w:rFonts w:asciiTheme="majorHAnsi" w:hAnsiTheme="majorHAnsi"/>
          <w:sz w:val="44"/>
          <w:szCs w:val="44"/>
          <w:lang w:val="en-US"/>
        </w:rPr>
      </w:pPr>
      <w:r>
        <w:rPr>
          <w:rFonts w:asciiTheme="majorHAnsi" w:hAnsiTheme="majorHAnsi"/>
          <w:sz w:val="44"/>
          <w:szCs w:val="44"/>
          <w:lang w:val="en-US"/>
        </w:rPr>
        <w:t>DRAFT</w:t>
      </w:r>
    </w:p>
    <w:p w:rsidR="00CB290F" w:rsidRPr="00CB290F" w:rsidRDefault="00CB290F" w:rsidP="00CB290F">
      <w:pPr>
        <w:jc w:val="center"/>
        <w:rPr>
          <w:rFonts w:asciiTheme="majorHAnsi" w:hAnsiTheme="majorHAnsi"/>
          <w:sz w:val="44"/>
          <w:szCs w:val="44"/>
          <w:lang w:val="en-US"/>
        </w:rPr>
      </w:pPr>
    </w:p>
    <w:p w:rsidR="00CB290F" w:rsidRPr="00CB290F" w:rsidRDefault="00CB290F" w:rsidP="00E70980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CB290F">
        <w:rPr>
          <w:rFonts w:asciiTheme="majorHAnsi" w:hAnsiTheme="majorHAnsi"/>
          <w:b/>
          <w:sz w:val="44"/>
          <w:szCs w:val="44"/>
          <w:lang w:val="en-US"/>
        </w:rPr>
        <w:t>M</w:t>
      </w:r>
      <w:r>
        <w:rPr>
          <w:rFonts w:asciiTheme="majorHAnsi" w:hAnsiTheme="majorHAnsi"/>
          <w:b/>
          <w:sz w:val="44"/>
          <w:szCs w:val="44"/>
          <w:lang w:val="en-US"/>
        </w:rPr>
        <w:t>emorandum</w:t>
      </w:r>
      <w:r w:rsidRPr="00CB290F">
        <w:rPr>
          <w:rFonts w:asciiTheme="majorHAnsi" w:hAnsiTheme="majorHAnsi"/>
          <w:b/>
          <w:sz w:val="44"/>
          <w:szCs w:val="44"/>
          <w:lang w:val="en-US"/>
        </w:rPr>
        <w:t xml:space="preserve"> </w:t>
      </w:r>
      <w:r>
        <w:rPr>
          <w:rFonts w:asciiTheme="majorHAnsi" w:hAnsiTheme="majorHAnsi"/>
          <w:b/>
          <w:sz w:val="44"/>
          <w:szCs w:val="44"/>
          <w:lang w:val="en-US"/>
        </w:rPr>
        <w:t>of</w:t>
      </w:r>
      <w:r w:rsidRPr="00CB290F">
        <w:rPr>
          <w:rFonts w:asciiTheme="majorHAnsi" w:hAnsiTheme="majorHAnsi"/>
          <w:b/>
          <w:sz w:val="44"/>
          <w:szCs w:val="44"/>
          <w:lang w:val="en-US"/>
        </w:rPr>
        <w:t xml:space="preserve"> </w:t>
      </w:r>
      <w:r>
        <w:rPr>
          <w:rFonts w:asciiTheme="majorHAnsi" w:hAnsiTheme="majorHAnsi"/>
          <w:b/>
          <w:sz w:val="44"/>
          <w:szCs w:val="44"/>
          <w:lang w:val="en-US"/>
        </w:rPr>
        <w:t>Understanding</w:t>
      </w:r>
      <w:r w:rsidRPr="00CB290F">
        <w:rPr>
          <w:rFonts w:asciiTheme="majorHAnsi" w:hAnsiTheme="majorHAnsi"/>
          <w:b/>
          <w:sz w:val="44"/>
          <w:szCs w:val="44"/>
          <w:lang w:val="en-US"/>
        </w:rPr>
        <w:t xml:space="preserve"> </w:t>
      </w:r>
      <w:r>
        <w:rPr>
          <w:rFonts w:asciiTheme="majorHAnsi" w:hAnsiTheme="majorHAnsi"/>
          <w:b/>
          <w:sz w:val="44"/>
          <w:szCs w:val="44"/>
          <w:lang w:val="en-US"/>
        </w:rPr>
        <w:t>on</w:t>
      </w:r>
      <w:r w:rsidRPr="00CB290F">
        <w:rPr>
          <w:rFonts w:asciiTheme="majorHAnsi" w:hAnsiTheme="majorHAnsi"/>
          <w:b/>
          <w:sz w:val="44"/>
          <w:szCs w:val="44"/>
          <w:lang w:val="en-US"/>
        </w:rPr>
        <w:t xml:space="preserve"> </w:t>
      </w:r>
      <w:r w:rsidR="00E70980">
        <w:rPr>
          <w:rFonts w:asciiTheme="majorHAnsi" w:hAnsiTheme="majorHAnsi"/>
          <w:b/>
          <w:sz w:val="44"/>
          <w:szCs w:val="44"/>
          <w:lang w:val="en-US"/>
        </w:rPr>
        <w:br/>
        <w:t xml:space="preserve">Frequency </w:t>
      </w:r>
      <w:r>
        <w:rPr>
          <w:rFonts w:asciiTheme="majorHAnsi" w:hAnsiTheme="majorHAnsi"/>
          <w:b/>
          <w:sz w:val="44"/>
          <w:szCs w:val="44"/>
          <w:lang w:val="en-US"/>
        </w:rPr>
        <w:t xml:space="preserve">Co-ordination </w:t>
      </w:r>
      <w:r w:rsidR="00E70980">
        <w:rPr>
          <w:rFonts w:asciiTheme="majorHAnsi" w:hAnsiTheme="majorHAnsi"/>
          <w:b/>
          <w:sz w:val="44"/>
          <w:szCs w:val="44"/>
          <w:lang w:val="en-US"/>
        </w:rPr>
        <w:t>b</w:t>
      </w:r>
      <w:r>
        <w:rPr>
          <w:rFonts w:asciiTheme="majorHAnsi" w:hAnsiTheme="majorHAnsi"/>
          <w:b/>
          <w:sz w:val="44"/>
          <w:szCs w:val="44"/>
          <w:lang w:val="en-US"/>
        </w:rPr>
        <w:t xml:space="preserve">etween </w:t>
      </w:r>
      <w:r w:rsidR="00E70980">
        <w:rPr>
          <w:rFonts w:asciiTheme="majorHAnsi" w:hAnsiTheme="majorHAnsi"/>
          <w:b/>
          <w:sz w:val="44"/>
          <w:szCs w:val="44"/>
          <w:lang w:val="en-US"/>
        </w:rPr>
        <w:t xml:space="preserve">Eastern Partnership countries - </w:t>
      </w:r>
      <w:r>
        <w:rPr>
          <w:rFonts w:asciiTheme="majorHAnsi" w:hAnsiTheme="majorHAnsi"/>
          <w:b/>
          <w:sz w:val="44"/>
          <w:szCs w:val="44"/>
          <w:lang w:val="en-US"/>
        </w:rPr>
        <w:t>Armenia, Georgia, Azerbaijan, Belarus, Moldova and Ukraine concerning the spectrum c</w:t>
      </w:r>
      <w:r w:rsidR="00E70980">
        <w:rPr>
          <w:rFonts w:asciiTheme="majorHAnsi" w:hAnsiTheme="majorHAnsi"/>
          <w:b/>
          <w:sz w:val="44"/>
          <w:szCs w:val="44"/>
          <w:lang w:val="en-US"/>
        </w:rPr>
        <w:t>oordination</w:t>
      </w:r>
    </w:p>
    <w:p w:rsidR="00CB290F" w:rsidRPr="00E70980" w:rsidRDefault="00CB290F" w:rsidP="00CB290F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 w:rsidRPr="00E70980">
        <w:rPr>
          <w:rFonts w:asciiTheme="majorHAnsi" w:hAnsiTheme="majorHAnsi"/>
          <w:b/>
          <w:sz w:val="44"/>
          <w:szCs w:val="44"/>
          <w:lang w:val="en-US"/>
        </w:rPr>
        <w:t>OF</w:t>
      </w:r>
    </w:p>
    <w:p w:rsidR="00650515" w:rsidRPr="00CB290F" w:rsidRDefault="00E70980" w:rsidP="00CB290F">
      <w:pPr>
        <w:jc w:val="center"/>
        <w:rPr>
          <w:rFonts w:asciiTheme="majorHAnsi" w:hAnsiTheme="majorHAnsi"/>
          <w:b/>
          <w:sz w:val="44"/>
          <w:szCs w:val="44"/>
          <w:lang w:val="en-US"/>
        </w:rPr>
      </w:pPr>
      <w:r>
        <w:rPr>
          <w:rFonts w:asciiTheme="majorHAnsi" w:hAnsiTheme="majorHAnsi"/>
          <w:b/>
          <w:sz w:val="44"/>
          <w:szCs w:val="44"/>
          <w:lang w:val="en-US"/>
        </w:rPr>
        <w:t xml:space="preserve">Land Mobile </w:t>
      </w:r>
      <w:proofErr w:type="spellStart"/>
      <w:r>
        <w:rPr>
          <w:rFonts w:asciiTheme="majorHAnsi" w:hAnsiTheme="majorHAnsi"/>
          <w:b/>
          <w:sz w:val="44"/>
          <w:szCs w:val="44"/>
          <w:lang w:val="en-US"/>
        </w:rPr>
        <w:t>Radiocommunication</w:t>
      </w:r>
      <w:proofErr w:type="spellEnd"/>
      <w:r>
        <w:rPr>
          <w:rFonts w:asciiTheme="majorHAnsi" w:hAnsiTheme="majorHAnsi"/>
          <w:b/>
          <w:sz w:val="44"/>
          <w:szCs w:val="44"/>
          <w:lang w:val="en-US"/>
        </w:rPr>
        <w:t xml:space="preserve"> Networks in the Frequency Bands 69</w:t>
      </w:r>
      <w:r w:rsidR="00D41AB4">
        <w:rPr>
          <w:rFonts w:asciiTheme="majorHAnsi" w:hAnsiTheme="majorHAnsi"/>
          <w:b/>
          <w:sz w:val="44"/>
          <w:szCs w:val="44"/>
          <w:lang w:val="en-US"/>
        </w:rPr>
        <w:t>4</w:t>
      </w:r>
      <w:r>
        <w:rPr>
          <w:rFonts w:asciiTheme="majorHAnsi" w:hAnsiTheme="majorHAnsi"/>
          <w:b/>
          <w:sz w:val="44"/>
          <w:szCs w:val="44"/>
          <w:lang w:val="en-US"/>
        </w:rPr>
        <w:t>-790 MHz and 3400-3800 MHz</w:t>
      </w:r>
    </w:p>
    <w:p w:rsidR="00CB290F" w:rsidRPr="00CB290F" w:rsidRDefault="00CB290F" w:rsidP="00CB290F">
      <w:pPr>
        <w:jc w:val="center"/>
        <w:rPr>
          <w:rFonts w:asciiTheme="majorHAnsi" w:hAnsiTheme="majorHAnsi"/>
          <w:sz w:val="44"/>
          <w:szCs w:val="44"/>
          <w:lang w:val="en-US"/>
        </w:rPr>
      </w:pPr>
    </w:p>
    <w:p w:rsidR="00CB290F" w:rsidRPr="00CB290F" w:rsidRDefault="00CB290F">
      <w:pPr>
        <w:rPr>
          <w:rFonts w:asciiTheme="majorHAnsi" w:hAnsiTheme="majorHAnsi"/>
          <w:sz w:val="44"/>
          <w:szCs w:val="44"/>
          <w:lang w:val="en-US"/>
        </w:rPr>
      </w:pPr>
      <w:r w:rsidRPr="00CB290F">
        <w:rPr>
          <w:rFonts w:asciiTheme="majorHAnsi" w:hAnsiTheme="majorHAnsi"/>
          <w:sz w:val="44"/>
          <w:szCs w:val="44"/>
          <w:lang w:val="en-US"/>
        </w:rPr>
        <w:br w:type="page"/>
      </w:r>
    </w:p>
    <w:p w:rsidR="00CB290F" w:rsidRPr="00CB290F" w:rsidRDefault="00CB290F" w:rsidP="00CB290F">
      <w:pPr>
        <w:pStyle w:val="1"/>
        <w:rPr>
          <w:rFonts w:asciiTheme="majorHAnsi" w:hAnsiTheme="majorHAnsi"/>
        </w:rPr>
      </w:pPr>
      <w:r w:rsidRPr="00CB290F">
        <w:rPr>
          <w:rFonts w:asciiTheme="majorHAnsi" w:hAnsiTheme="majorHAnsi"/>
          <w:lang w:val="en-US"/>
        </w:rPr>
        <w:lastRenderedPageBreak/>
        <w:t>Introduction</w:t>
      </w:r>
    </w:p>
    <w:p w:rsidR="00CB290F" w:rsidRDefault="00C94B93" w:rsidP="00323678">
      <w:pPr>
        <w:jc w:val="both"/>
        <w:rPr>
          <w:lang w:val="en-US"/>
        </w:rPr>
      </w:pPr>
      <w:r>
        <w:rPr>
          <w:lang w:val="en-US"/>
        </w:rPr>
        <w:t>T</w:t>
      </w:r>
      <w:r w:rsidRPr="00C94B93">
        <w:rPr>
          <w:lang w:val="en-US"/>
        </w:rPr>
        <w:t>aking into account the recommendations of the International Telecommunication Union,</w:t>
      </w:r>
      <w:r w:rsidR="00323678">
        <w:rPr>
          <w:lang w:val="en-US"/>
        </w:rPr>
        <w:t xml:space="preserve"> Eastern Partnership countries</w:t>
      </w:r>
      <w:r w:rsidRPr="00C94B93">
        <w:rPr>
          <w:lang w:val="en-US"/>
        </w:rPr>
        <w:t xml:space="preserve"> have concluded this MoU, under Article 6 of the Radio Regulations, on the coordination of frequencies used by land mobile radio communication networks in the </w:t>
      </w:r>
      <w:r w:rsidR="00323678">
        <w:rPr>
          <w:lang w:val="en-US"/>
        </w:rPr>
        <w:t>69</w:t>
      </w:r>
      <w:r w:rsidR="00D41AB4">
        <w:rPr>
          <w:lang w:val="en-US"/>
        </w:rPr>
        <w:t>4</w:t>
      </w:r>
      <w:r w:rsidR="00323678">
        <w:rPr>
          <w:lang w:val="en-US"/>
        </w:rPr>
        <w:t xml:space="preserve">-790 MHz </w:t>
      </w:r>
      <w:r w:rsidRPr="00C94B93">
        <w:rPr>
          <w:lang w:val="en-US"/>
        </w:rPr>
        <w:t>and 3400-3800 MHz frequency bands.</w:t>
      </w:r>
    </w:p>
    <w:p w:rsidR="00C05323" w:rsidRDefault="00C05323" w:rsidP="00323678">
      <w:pPr>
        <w:jc w:val="both"/>
        <w:rPr>
          <w:lang w:val="en-US"/>
        </w:rPr>
      </w:pPr>
    </w:p>
    <w:p w:rsidR="00C05323" w:rsidRPr="00EE7AE9" w:rsidRDefault="00C05323" w:rsidP="00C05323">
      <w:pPr>
        <w:pStyle w:val="1"/>
        <w:rPr>
          <w:rFonts w:asciiTheme="majorHAnsi" w:hAnsiTheme="majorHAnsi"/>
          <w:lang w:val="en-US"/>
        </w:rPr>
      </w:pPr>
      <w:r w:rsidRPr="00EE7AE9">
        <w:rPr>
          <w:rFonts w:asciiTheme="majorHAnsi" w:hAnsiTheme="majorHAnsi"/>
          <w:lang w:val="en-US"/>
        </w:rPr>
        <w:t>Common Aspects</w:t>
      </w:r>
    </w:p>
    <w:p w:rsidR="00CB290F" w:rsidRPr="00C94B93" w:rsidRDefault="00323678" w:rsidP="00323678">
      <w:pPr>
        <w:jc w:val="both"/>
        <w:rPr>
          <w:lang w:val="en-US"/>
        </w:rPr>
      </w:pPr>
      <w:r w:rsidRPr="00323678">
        <w:rPr>
          <w:lang w:val="en-US"/>
        </w:rPr>
        <w:t xml:space="preserve">This MoU covers frequency coordination for Land Mobile </w:t>
      </w:r>
      <w:proofErr w:type="spellStart"/>
      <w:r w:rsidRPr="00323678">
        <w:rPr>
          <w:lang w:val="en-US"/>
        </w:rPr>
        <w:t>Radiocommunication</w:t>
      </w:r>
      <w:proofErr w:type="spellEnd"/>
      <w:r w:rsidRPr="00323678">
        <w:rPr>
          <w:lang w:val="en-US"/>
        </w:rPr>
        <w:t xml:space="preserve"> networks following the spectrum arrangements below: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8"/>
        <w:gridCol w:w="2326"/>
        <w:gridCol w:w="2394"/>
      </w:tblGrid>
      <w:tr w:rsidR="00323678" w:rsidRPr="00323678" w:rsidTr="00323678">
        <w:trPr>
          <w:trHeight w:hRule="exact" w:val="277"/>
          <w:jc w:val="center"/>
        </w:trPr>
        <w:tc>
          <w:tcPr>
            <w:tcW w:w="2358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Frequency Band</w:t>
            </w:r>
            <w:r w:rsidR="000D2AC0">
              <w:rPr>
                <w:rStyle w:val="aa"/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Base receive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Base transmit</w:t>
            </w:r>
          </w:p>
        </w:tc>
      </w:tr>
      <w:tr w:rsidR="00323678" w:rsidRPr="00323678" w:rsidTr="00323678">
        <w:trPr>
          <w:trHeight w:hRule="exact" w:val="263"/>
          <w:jc w:val="center"/>
        </w:trPr>
        <w:tc>
          <w:tcPr>
            <w:tcW w:w="2358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</w:t>
            </w: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MHz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703-733</w:t>
            </w: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MHz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758</w:t>
            </w: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788</w:t>
            </w: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MHz</w:t>
            </w:r>
          </w:p>
        </w:tc>
      </w:tr>
      <w:tr w:rsidR="00323678" w:rsidRPr="00323678" w:rsidTr="00323678">
        <w:trPr>
          <w:trHeight w:hRule="exact" w:val="263"/>
          <w:jc w:val="center"/>
        </w:trPr>
        <w:tc>
          <w:tcPr>
            <w:tcW w:w="2358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TDD 3500 MHz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3400-3600 MHz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3400-3600 MHz</w:t>
            </w:r>
          </w:p>
        </w:tc>
      </w:tr>
      <w:tr w:rsidR="00323678" w:rsidRPr="00323678" w:rsidTr="00323678">
        <w:trPr>
          <w:trHeight w:hRule="exact" w:val="263"/>
          <w:jc w:val="center"/>
        </w:trPr>
        <w:tc>
          <w:tcPr>
            <w:tcW w:w="2358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TDD 3800 MHz</w:t>
            </w:r>
          </w:p>
        </w:tc>
        <w:tc>
          <w:tcPr>
            <w:tcW w:w="2326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3600-3800 MHz</w:t>
            </w:r>
          </w:p>
        </w:tc>
        <w:tc>
          <w:tcPr>
            <w:tcW w:w="2394" w:type="dxa"/>
            <w:shd w:val="clear" w:color="auto" w:fill="FFFFFF"/>
            <w:vAlign w:val="center"/>
          </w:tcPr>
          <w:p w:rsidR="00323678" w:rsidRPr="00323678" w:rsidRDefault="00323678" w:rsidP="00323678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678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3600-3800 MHz</w:t>
            </w:r>
          </w:p>
        </w:tc>
      </w:tr>
    </w:tbl>
    <w:p w:rsidR="00CB290F" w:rsidRPr="00C94B93" w:rsidRDefault="00CB290F" w:rsidP="00CB290F">
      <w:pPr>
        <w:rPr>
          <w:lang w:val="en-US"/>
        </w:rPr>
      </w:pPr>
    </w:p>
    <w:p w:rsidR="00F97FE1" w:rsidRDefault="00F97FE1" w:rsidP="00DE4701">
      <w:pPr>
        <w:jc w:val="both"/>
        <w:rPr>
          <w:lang w:val="en-US"/>
        </w:rPr>
      </w:pPr>
      <w:r w:rsidRPr="00F97FE1">
        <w:rPr>
          <w:lang w:val="en-US"/>
        </w:rPr>
        <w:t>The provisions of this MoU add to the mandatory requirements of the ITU Constitution and the ITU Radio Regulations, which have both the status of an Internati</w:t>
      </w:r>
      <w:r>
        <w:rPr>
          <w:lang w:val="en-US"/>
        </w:rPr>
        <w:t>onal Treaty, and in particular:</w:t>
      </w:r>
    </w:p>
    <w:p w:rsidR="00F97FE1" w:rsidRDefault="00F97FE1" w:rsidP="00DE4701">
      <w:pPr>
        <w:pStyle w:val="a7"/>
        <w:numPr>
          <w:ilvl w:val="0"/>
          <w:numId w:val="3"/>
        </w:numPr>
        <w:jc w:val="both"/>
        <w:rPr>
          <w:lang w:val="en-US"/>
        </w:rPr>
      </w:pPr>
      <w:r w:rsidRPr="00F97FE1">
        <w:rPr>
          <w:lang w:val="en-US"/>
        </w:rPr>
        <w:t>Article 15.2 of the ITU Radio Regulations: “Transmitting stations shall radiate only as much power as is necessary to ensure a satisfactory service”;</w:t>
      </w:r>
    </w:p>
    <w:p w:rsidR="00DE4701" w:rsidRDefault="00F97FE1" w:rsidP="00DE4701">
      <w:pPr>
        <w:pStyle w:val="a7"/>
        <w:numPr>
          <w:ilvl w:val="0"/>
          <w:numId w:val="3"/>
        </w:numPr>
        <w:jc w:val="both"/>
        <w:rPr>
          <w:lang w:val="en-US"/>
        </w:rPr>
      </w:pPr>
      <w:r w:rsidRPr="00F97FE1">
        <w:rPr>
          <w:lang w:val="en-US"/>
        </w:rPr>
        <w:t>Articles</w:t>
      </w:r>
      <w:r>
        <w:rPr>
          <w:lang w:val="en-US"/>
        </w:rPr>
        <w:t xml:space="preserve"> </w:t>
      </w:r>
      <w:r w:rsidRPr="00F97FE1">
        <w:rPr>
          <w:lang w:val="en-US"/>
        </w:rPr>
        <w:t>15.4 &amp; 15.</w:t>
      </w:r>
      <w:r w:rsidR="00DE4701">
        <w:rPr>
          <w:lang w:val="en-US"/>
        </w:rPr>
        <w:t>5 of the ITU Radio Regulations:</w:t>
      </w:r>
    </w:p>
    <w:p w:rsidR="00DE4701" w:rsidRPr="00DE4701" w:rsidRDefault="00DE4701" w:rsidP="00DE4701">
      <w:pPr>
        <w:pStyle w:val="a7"/>
        <w:numPr>
          <w:ilvl w:val="1"/>
          <w:numId w:val="3"/>
        </w:numPr>
        <w:jc w:val="both"/>
        <w:rPr>
          <w:lang w:val="en-US"/>
        </w:rPr>
      </w:pPr>
      <w:r>
        <w:rPr>
          <w:lang w:val="en-US"/>
        </w:rPr>
        <w:t>L</w:t>
      </w:r>
      <w:r w:rsidR="00F97FE1" w:rsidRPr="00DE4701">
        <w:rPr>
          <w:lang w:val="en-US"/>
        </w:rPr>
        <w:t xml:space="preserve">ocations of transmitting stations and, where the nature of the service permits, locations of receiving stations shall be selected with particular care; </w:t>
      </w:r>
    </w:p>
    <w:p w:rsidR="00F97FE1" w:rsidRPr="00F97FE1" w:rsidRDefault="00DE4701" w:rsidP="00DE4701">
      <w:pPr>
        <w:pStyle w:val="a7"/>
        <w:numPr>
          <w:ilvl w:val="1"/>
          <w:numId w:val="3"/>
        </w:numPr>
        <w:jc w:val="both"/>
        <w:rPr>
          <w:lang w:val="en-US"/>
        </w:rPr>
      </w:pPr>
      <w:r w:rsidRPr="00F97FE1">
        <w:rPr>
          <w:lang w:val="en-US"/>
        </w:rPr>
        <w:t>Radiation</w:t>
      </w:r>
      <w:r w:rsidR="00F97FE1" w:rsidRPr="00F97FE1">
        <w:rPr>
          <w:lang w:val="en-US"/>
        </w:rPr>
        <w:t xml:space="preserve"> in and reception from unnecessary directions shall be minimized by taking the maximum practical advantage of the properties of directional antennae whenever th</w:t>
      </w:r>
      <w:r>
        <w:rPr>
          <w:lang w:val="en-US"/>
        </w:rPr>
        <w:t>e nature of the service permits.</w:t>
      </w:r>
    </w:p>
    <w:p w:rsidR="00F97FE1" w:rsidRDefault="00F97FE1" w:rsidP="00DE4701">
      <w:pPr>
        <w:jc w:val="both"/>
        <w:rPr>
          <w:lang w:val="en-US"/>
        </w:rPr>
      </w:pPr>
      <w:r w:rsidRPr="00F97FE1">
        <w:rPr>
          <w:lang w:val="en-US"/>
        </w:rPr>
        <w:t xml:space="preserve">This frequency coordination MoU </w:t>
      </w:r>
      <w:proofErr w:type="gramStart"/>
      <w:r w:rsidRPr="00F97FE1">
        <w:rPr>
          <w:lang w:val="en-US"/>
        </w:rPr>
        <w:t>has b</w:t>
      </w:r>
      <w:r>
        <w:rPr>
          <w:lang w:val="en-US"/>
        </w:rPr>
        <w:t>een established</w:t>
      </w:r>
      <w:proofErr w:type="gramEnd"/>
      <w:r>
        <w:rPr>
          <w:lang w:val="en-US"/>
        </w:rPr>
        <w:t xml:space="preserve"> with a view to:</w:t>
      </w:r>
    </w:p>
    <w:p w:rsidR="00F97FE1" w:rsidRDefault="00F97FE1" w:rsidP="00DE4701">
      <w:pPr>
        <w:pStyle w:val="a7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R</w:t>
      </w:r>
      <w:r w:rsidRPr="00F97FE1">
        <w:rPr>
          <w:lang w:val="en-US"/>
        </w:rPr>
        <w:t>educing problems of harmful interference between land mobile radio communication systems operating in neighboring countries;</w:t>
      </w:r>
    </w:p>
    <w:p w:rsidR="00F97FE1" w:rsidRPr="00F97FE1" w:rsidRDefault="00F97FE1" w:rsidP="00DE4701">
      <w:pPr>
        <w:pStyle w:val="a7"/>
        <w:numPr>
          <w:ilvl w:val="0"/>
          <w:numId w:val="4"/>
        </w:numPr>
        <w:jc w:val="both"/>
        <w:rPr>
          <w:lang w:val="en-US"/>
        </w:rPr>
      </w:pPr>
      <w:r w:rsidRPr="00F97FE1">
        <w:rPr>
          <w:lang w:val="en-US"/>
        </w:rPr>
        <w:t>Optimizing the use of spectrum resources in the border areas.</w:t>
      </w:r>
    </w:p>
    <w:p w:rsidR="00DE4701" w:rsidRDefault="00DE4701" w:rsidP="00DE4701">
      <w:pPr>
        <w:jc w:val="both"/>
        <w:rPr>
          <w:lang w:val="en-US"/>
        </w:rPr>
      </w:pPr>
    </w:p>
    <w:p w:rsidR="00F97FE1" w:rsidRDefault="00F97FE1" w:rsidP="00DE4701">
      <w:pPr>
        <w:jc w:val="both"/>
        <w:rPr>
          <w:lang w:val="en-US"/>
        </w:rPr>
      </w:pPr>
      <w:r w:rsidRPr="00F97FE1">
        <w:rPr>
          <w:lang w:val="en-US"/>
        </w:rPr>
        <w:t>In</w:t>
      </w:r>
      <w:r>
        <w:rPr>
          <w:lang w:val="en-US"/>
        </w:rPr>
        <w:t xml:space="preserve"> </w:t>
      </w:r>
      <w:r w:rsidRPr="00F97FE1">
        <w:rPr>
          <w:lang w:val="en-US"/>
        </w:rPr>
        <w:t xml:space="preserve">particular, this MoU </w:t>
      </w:r>
      <w:proofErr w:type="gramStart"/>
      <w:r w:rsidRPr="00F97FE1">
        <w:rPr>
          <w:lang w:val="en-US"/>
        </w:rPr>
        <w:t>has been established</w:t>
      </w:r>
      <w:proofErr w:type="gramEnd"/>
      <w:r w:rsidRPr="00F97FE1">
        <w:rPr>
          <w:lang w:val="en-US"/>
        </w:rPr>
        <w:t xml:space="preserve"> wi</w:t>
      </w:r>
      <w:r>
        <w:rPr>
          <w:lang w:val="en-US"/>
        </w:rPr>
        <w:t xml:space="preserve">th a view to finding a balanced </w:t>
      </w:r>
      <w:r w:rsidRPr="00F97FE1">
        <w:rPr>
          <w:lang w:val="en-US"/>
        </w:rPr>
        <w:t>solution</w:t>
      </w:r>
      <w:r>
        <w:rPr>
          <w:lang w:val="en-US"/>
        </w:rPr>
        <w:t xml:space="preserve"> </w:t>
      </w:r>
      <w:r w:rsidRPr="00F97FE1">
        <w:rPr>
          <w:lang w:val="en-US"/>
        </w:rPr>
        <w:t>between:</w:t>
      </w:r>
    </w:p>
    <w:p w:rsidR="00F97FE1" w:rsidRPr="00F97FE1" w:rsidRDefault="00F97FE1" w:rsidP="00DE4701">
      <w:pPr>
        <w:pStyle w:val="a7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M</w:t>
      </w:r>
      <w:r w:rsidRPr="00F97FE1">
        <w:rPr>
          <w:lang w:val="en-US"/>
        </w:rPr>
        <w:t xml:space="preserve">inimizing harmful emissions coming from the neighboring territories. These harmful emissions may cause harmful interference, </w:t>
      </w:r>
      <w:r w:rsidR="007E72F4">
        <w:rPr>
          <w:lang w:val="en-US"/>
        </w:rPr>
        <w:t>or excessive coverage, which cause undesirable roaming and</w:t>
      </w:r>
      <w:r w:rsidRPr="00F97FE1">
        <w:rPr>
          <w:lang w:val="en-US"/>
        </w:rPr>
        <w:t xml:space="preserve"> may prevent an Administration from utilizing / allocating portions of its national spectrum; </w:t>
      </w:r>
    </w:p>
    <w:p w:rsidR="00F97FE1" w:rsidRDefault="00F97FE1" w:rsidP="00DE4701">
      <w:pPr>
        <w:pStyle w:val="a7"/>
        <w:numPr>
          <w:ilvl w:val="0"/>
          <w:numId w:val="5"/>
        </w:numPr>
        <w:jc w:val="both"/>
        <w:rPr>
          <w:lang w:val="en-US"/>
        </w:rPr>
      </w:pPr>
      <w:r w:rsidRPr="00F97FE1">
        <w:rPr>
          <w:lang w:val="en-US"/>
        </w:rPr>
        <w:lastRenderedPageBreak/>
        <w:t>Defining satisfactory frequency-usage conditio</w:t>
      </w:r>
      <w:r>
        <w:rPr>
          <w:lang w:val="en-US"/>
        </w:rPr>
        <w:t xml:space="preserve">ns for land mobile operators to </w:t>
      </w:r>
      <w:r w:rsidRPr="00F97FE1">
        <w:rPr>
          <w:lang w:val="en-US"/>
        </w:rPr>
        <w:t>operate</w:t>
      </w:r>
      <w:r>
        <w:rPr>
          <w:lang w:val="en-US"/>
        </w:rPr>
        <w:t xml:space="preserve"> </w:t>
      </w:r>
      <w:r w:rsidRPr="00F97FE1">
        <w:rPr>
          <w:lang w:val="en-US"/>
        </w:rPr>
        <w:t>their networks while maintaining a good quality of service and good coverage upon the national territory.</w:t>
      </w:r>
    </w:p>
    <w:p w:rsidR="00F97FE1" w:rsidRDefault="00F97FE1" w:rsidP="00DE4701">
      <w:pPr>
        <w:jc w:val="both"/>
        <w:rPr>
          <w:lang w:val="en-US"/>
        </w:rPr>
      </w:pPr>
    </w:p>
    <w:p w:rsidR="00F97FE1" w:rsidRPr="00F97FE1" w:rsidRDefault="00F97FE1" w:rsidP="00DE4701">
      <w:pPr>
        <w:jc w:val="both"/>
        <w:rPr>
          <w:lang w:val="en-US"/>
        </w:rPr>
      </w:pPr>
      <w:r w:rsidRPr="00F97FE1">
        <w:rPr>
          <w:lang w:val="en-US"/>
        </w:rPr>
        <w:t>This leads Administrations to accept and agree upon a certain level of inter</w:t>
      </w:r>
      <w:r w:rsidR="00DE4701">
        <w:rPr>
          <w:lang w:val="en-US"/>
        </w:rPr>
        <w:t xml:space="preserve">ference (as defined in </w:t>
      </w:r>
      <w:r w:rsidR="00875524">
        <w:rPr>
          <w:lang w:val="en-US"/>
        </w:rPr>
        <w:t xml:space="preserve">Article </w:t>
      </w:r>
      <w:r w:rsidR="00875524" w:rsidRPr="00F97FE1">
        <w:rPr>
          <w:lang w:val="en-US"/>
        </w:rPr>
        <w:t>1.168</w:t>
      </w:r>
      <w:r w:rsidRPr="00F97FE1">
        <w:rPr>
          <w:lang w:val="en-US"/>
        </w:rPr>
        <w:t xml:space="preserve"> of the ITU Radio Regulations</w:t>
      </w:r>
      <w:r w:rsidR="00DE4701">
        <w:rPr>
          <w:rStyle w:val="aa"/>
          <w:lang w:val="en-US"/>
        </w:rPr>
        <w:footnoteReference w:id="2"/>
      </w:r>
      <w:r w:rsidRPr="00F97FE1">
        <w:rPr>
          <w:lang w:val="en-US"/>
        </w:rPr>
        <w:t xml:space="preserve">) and/or </w:t>
      </w:r>
      <w:r w:rsidR="00440920">
        <w:rPr>
          <w:lang w:val="en-US"/>
        </w:rPr>
        <w:t xml:space="preserve">loose </w:t>
      </w:r>
      <w:r w:rsidRPr="00F97FE1">
        <w:rPr>
          <w:lang w:val="en-US"/>
        </w:rPr>
        <w:t xml:space="preserve">certain </w:t>
      </w:r>
      <w:r w:rsidR="00440920">
        <w:rPr>
          <w:lang w:val="en-US"/>
        </w:rPr>
        <w:t xml:space="preserve">part </w:t>
      </w:r>
      <w:r w:rsidRPr="00F97FE1">
        <w:rPr>
          <w:lang w:val="en-US"/>
        </w:rPr>
        <w:t>of coverage.</w:t>
      </w:r>
    </w:p>
    <w:p w:rsidR="00F97FE1" w:rsidRPr="00F97FE1" w:rsidRDefault="00F97FE1" w:rsidP="00DE4701">
      <w:pPr>
        <w:jc w:val="both"/>
        <w:rPr>
          <w:lang w:val="en-US"/>
        </w:rPr>
      </w:pPr>
      <w:r w:rsidRPr="00F97FE1">
        <w:rPr>
          <w:lang w:val="en-US"/>
        </w:rPr>
        <w:t xml:space="preserve">This MoU applies to base stations and fixed terminal stations in </w:t>
      </w:r>
      <w:r w:rsidR="00DE4701">
        <w:rPr>
          <w:lang w:val="en-US"/>
        </w:rPr>
        <w:t xml:space="preserve">coordination areas of all </w:t>
      </w:r>
      <w:proofErr w:type="gramStart"/>
      <w:r w:rsidR="00DE4701">
        <w:rPr>
          <w:lang w:val="en-US"/>
        </w:rPr>
        <w:t>6</w:t>
      </w:r>
      <w:proofErr w:type="gramEnd"/>
      <w:r w:rsidR="00DE4701">
        <w:rPr>
          <w:lang w:val="en-US"/>
        </w:rPr>
        <w:t xml:space="preserve"> </w:t>
      </w:r>
      <w:proofErr w:type="spellStart"/>
      <w:r w:rsidR="00DE4701">
        <w:rPr>
          <w:lang w:val="en-US"/>
        </w:rPr>
        <w:t>EaP</w:t>
      </w:r>
      <w:proofErr w:type="spellEnd"/>
      <w:r w:rsidR="00DE4701">
        <w:rPr>
          <w:lang w:val="en-US"/>
        </w:rPr>
        <w:t xml:space="preserve"> countries. </w:t>
      </w:r>
      <w:r w:rsidRPr="00F97FE1">
        <w:rPr>
          <w:lang w:val="en-US"/>
        </w:rPr>
        <w:t xml:space="preserve">The co-ordination procedure </w:t>
      </w:r>
      <w:proofErr w:type="gramStart"/>
      <w:r w:rsidRPr="00F97FE1">
        <w:rPr>
          <w:lang w:val="en-US"/>
        </w:rPr>
        <w:t>is based</w:t>
      </w:r>
      <w:proofErr w:type="gramEnd"/>
      <w:r w:rsidRPr="00F97FE1">
        <w:rPr>
          <w:lang w:val="en-US"/>
        </w:rPr>
        <w:t xml:space="preserve"> on the principle of equitable access to the spectrum resource</w:t>
      </w:r>
      <w:r w:rsidR="000B62A3">
        <w:rPr>
          <w:lang w:val="en-US"/>
        </w:rPr>
        <w:t>s</w:t>
      </w:r>
      <w:r w:rsidRPr="00F97FE1">
        <w:rPr>
          <w:lang w:val="en-US"/>
        </w:rPr>
        <w:t>.</w:t>
      </w:r>
    </w:p>
    <w:p w:rsidR="00F97FE1" w:rsidRDefault="00F97FE1" w:rsidP="00DE4701">
      <w:pPr>
        <w:jc w:val="both"/>
        <w:rPr>
          <w:lang w:val="en-US"/>
        </w:rPr>
      </w:pPr>
      <w:r w:rsidRPr="00F97FE1">
        <w:rPr>
          <w:lang w:val="en-US"/>
        </w:rPr>
        <w:t xml:space="preserve">Where all or part of a licensees spectrum is not awarded/licensed in the other nation then the thresholds may be exceeded in that spectrum i.e. the trigger values in section </w:t>
      </w:r>
      <w:r w:rsidR="00A02BCC">
        <w:rPr>
          <w:lang w:val="en-US"/>
        </w:rPr>
        <w:t>5</w:t>
      </w:r>
      <w:r w:rsidRPr="00F97FE1">
        <w:rPr>
          <w:lang w:val="en-US"/>
        </w:rPr>
        <w:t xml:space="preserve"> only need apply to spectrum which is used in both nations. Where the spectrum is, or subsequently becomes, awarded/</w:t>
      </w:r>
      <w:r w:rsidR="00DE4701" w:rsidRPr="00F97FE1">
        <w:rPr>
          <w:lang w:val="en-US"/>
        </w:rPr>
        <w:t>licensed</w:t>
      </w:r>
      <w:r w:rsidRPr="00F97FE1">
        <w:rPr>
          <w:lang w:val="en-US"/>
        </w:rPr>
        <w:t xml:space="preserve"> in both nations then the licensees will need to comply with the trigger values.</w:t>
      </w:r>
    </w:p>
    <w:p w:rsidR="008A46C5" w:rsidRPr="008A46C5" w:rsidRDefault="00271B43" w:rsidP="008A46C5">
      <w:pPr>
        <w:pStyle w:val="1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Individual starting points</w:t>
      </w:r>
    </w:p>
    <w:p w:rsidR="008A46C5" w:rsidRDefault="00772704" w:rsidP="00D41AB4">
      <w:pPr>
        <w:jc w:val="both"/>
        <w:rPr>
          <w:lang w:val="en-US"/>
        </w:rPr>
      </w:pPr>
      <w:r>
        <w:rPr>
          <w:lang w:val="en-US"/>
        </w:rPr>
        <w:t xml:space="preserve">In respect to individual starting positions, with respect to </w:t>
      </w:r>
      <w:r w:rsidRPr="00772704">
        <w:rPr>
          <w:lang w:val="en-US"/>
        </w:rPr>
        <w:t>sovereign</w:t>
      </w:r>
      <w:r>
        <w:rPr>
          <w:lang w:val="en-US"/>
        </w:rPr>
        <w:t xml:space="preserve"> interest of each </w:t>
      </w:r>
      <w:proofErr w:type="spellStart"/>
      <w:r>
        <w:rPr>
          <w:lang w:val="en-US"/>
        </w:rPr>
        <w:t>EaP</w:t>
      </w:r>
      <w:proofErr w:type="spellEnd"/>
      <w:r>
        <w:rPr>
          <w:lang w:val="en-US"/>
        </w:rPr>
        <w:t xml:space="preserve"> country, </w:t>
      </w:r>
      <w:r w:rsidR="00875524">
        <w:rPr>
          <w:lang w:val="en-US"/>
        </w:rPr>
        <w:t xml:space="preserve">all member countries realize that </w:t>
      </w:r>
      <w:r>
        <w:rPr>
          <w:lang w:val="en-US"/>
        </w:rPr>
        <w:t xml:space="preserve">the current usage of </w:t>
      </w:r>
      <w:r w:rsidRPr="00772704">
        <w:rPr>
          <w:lang w:val="en-US"/>
        </w:rPr>
        <w:t>700 MHz and 3400-3800 MHz frequency</w:t>
      </w:r>
      <w:r>
        <w:rPr>
          <w:lang w:val="en-US"/>
        </w:rPr>
        <w:t xml:space="preserve"> ranges </w:t>
      </w:r>
      <w:r w:rsidR="00A02BCC">
        <w:rPr>
          <w:lang w:val="en-US"/>
        </w:rPr>
        <w:t>might be</w:t>
      </w:r>
      <w:r>
        <w:rPr>
          <w:lang w:val="en-US"/>
        </w:rPr>
        <w:t xml:space="preserve"> </w:t>
      </w:r>
      <w:r w:rsidR="00875524">
        <w:rPr>
          <w:lang w:val="en-US"/>
        </w:rPr>
        <w:t xml:space="preserve">different. On the other hand, all </w:t>
      </w:r>
      <w:r w:rsidR="00D41AB4">
        <w:rPr>
          <w:lang w:val="en-US"/>
        </w:rPr>
        <w:t xml:space="preserve">the </w:t>
      </w:r>
      <w:r w:rsidR="00875524">
        <w:rPr>
          <w:lang w:val="en-US"/>
        </w:rPr>
        <w:t xml:space="preserve">countries </w:t>
      </w:r>
      <w:r w:rsidR="00A02BCC">
        <w:rPr>
          <w:lang w:val="en-US"/>
        </w:rPr>
        <w:t xml:space="preserve">recognize that 700MHz and 3400-3800MHz range are the best candidates for 5G implementation and </w:t>
      </w:r>
      <w:r w:rsidR="00875524">
        <w:rPr>
          <w:lang w:val="en-US"/>
        </w:rPr>
        <w:t xml:space="preserve">have met a mutual agreement that these ranges </w:t>
      </w:r>
      <w:proofErr w:type="gramStart"/>
      <w:r w:rsidR="00875524">
        <w:rPr>
          <w:lang w:val="en-US"/>
        </w:rPr>
        <w:t>will be used</w:t>
      </w:r>
      <w:proofErr w:type="gramEnd"/>
      <w:r w:rsidR="00875524">
        <w:rPr>
          <w:lang w:val="en-US"/>
        </w:rPr>
        <w:t xml:space="preserve"> for IMT technologies, so the work vector is pointing towards enabling each other’s technological growth in implementation of </w:t>
      </w:r>
      <w:r w:rsidR="00A02BCC">
        <w:rPr>
          <w:lang w:val="en-US"/>
        </w:rPr>
        <w:t>advanced</w:t>
      </w:r>
      <w:r w:rsidR="00875524">
        <w:rPr>
          <w:lang w:val="en-US"/>
        </w:rPr>
        <w:t xml:space="preserve"> technologies.</w:t>
      </w:r>
    </w:p>
    <w:p w:rsidR="00D86AF4" w:rsidRDefault="00875524" w:rsidP="00D41AB4">
      <w:pPr>
        <w:jc w:val="both"/>
        <w:rPr>
          <w:lang w:val="en-US"/>
        </w:rPr>
      </w:pPr>
      <w:r>
        <w:rPr>
          <w:lang w:val="en-US"/>
        </w:rPr>
        <w:t>According to ITU</w:t>
      </w:r>
      <w:r w:rsidR="00A02BCC">
        <w:rPr>
          <w:lang w:val="en-US"/>
        </w:rPr>
        <w:t>, ECC</w:t>
      </w:r>
      <w:r>
        <w:rPr>
          <w:lang w:val="en-US"/>
        </w:rPr>
        <w:t xml:space="preserve"> and CEPT</w:t>
      </w:r>
      <w:r w:rsidR="00A02BCC">
        <w:rPr>
          <w:lang w:val="en-US"/>
        </w:rPr>
        <w:t xml:space="preserve"> decisions</w:t>
      </w:r>
      <w:r w:rsidR="0014360A">
        <w:rPr>
          <w:lang w:val="en-US"/>
        </w:rPr>
        <w:t xml:space="preserve"> and </w:t>
      </w:r>
      <w:proofErr w:type="spellStart"/>
      <w:r w:rsidR="00A02BCC">
        <w:rPr>
          <w:lang w:val="en-US"/>
        </w:rPr>
        <w:t>reccomendations</w:t>
      </w:r>
      <w:proofErr w:type="spellEnd"/>
      <w:r>
        <w:rPr>
          <w:lang w:val="en-US"/>
        </w:rPr>
        <w:t xml:space="preserve">, with respect to countries geopolitical borders, all members agree to start the implementation at the point when the </w:t>
      </w:r>
      <w:r w:rsidR="00A02BCC">
        <w:rPr>
          <w:lang w:val="en-US"/>
        </w:rPr>
        <w:t>sovereign interests and individual goals are met</w:t>
      </w:r>
      <w:r>
        <w:rPr>
          <w:lang w:val="en-US"/>
        </w:rPr>
        <w:t xml:space="preserve">, thus to follow </w:t>
      </w:r>
      <w:r w:rsidR="00A02BCC">
        <w:rPr>
          <w:lang w:val="en-US"/>
        </w:rPr>
        <w:t>the own</w:t>
      </w:r>
      <w:r>
        <w:rPr>
          <w:lang w:val="en-US"/>
        </w:rPr>
        <w:t xml:space="preserve"> Roadmap with respect to the common approach.</w:t>
      </w:r>
    </w:p>
    <w:p w:rsidR="00516015" w:rsidRDefault="00516015" w:rsidP="00D41AB4">
      <w:pPr>
        <w:jc w:val="both"/>
        <w:rPr>
          <w:lang w:val="en-US"/>
        </w:rPr>
      </w:pPr>
      <w:r>
        <w:rPr>
          <w:lang w:val="en-US"/>
        </w:rPr>
        <w:t>Possible co</w:t>
      </w:r>
      <w:r w:rsidR="00A02BCC">
        <w:rPr>
          <w:lang w:val="en-US"/>
        </w:rPr>
        <w:t>m</w:t>
      </w:r>
      <w:r>
        <w:rPr>
          <w:lang w:val="en-US"/>
        </w:rPr>
        <w:t>binations of op</w:t>
      </w:r>
      <w:r w:rsidRPr="00516015">
        <w:rPr>
          <w:lang w:val="en-US"/>
        </w:rPr>
        <w:t xml:space="preserve">tions </w:t>
      </w:r>
      <w:proofErr w:type="gramStart"/>
      <w:r w:rsidR="00A02BCC">
        <w:rPr>
          <w:lang w:val="en-US"/>
        </w:rPr>
        <w:t>can be used</w:t>
      </w:r>
      <w:proofErr w:type="gramEnd"/>
      <w:r w:rsidRPr="00516015">
        <w:rPr>
          <w:lang w:val="en-US"/>
        </w:rPr>
        <w:t xml:space="preserve"> with each other and/or with the usage of a number of MFCN SDL blocks in </w:t>
      </w:r>
      <w:r w:rsidR="00A02BCC">
        <w:rPr>
          <w:lang w:val="en-US"/>
        </w:rPr>
        <w:t xml:space="preserve">700MHz band in </w:t>
      </w:r>
      <w:r w:rsidRPr="00516015">
        <w:rPr>
          <w:lang w:val="en-US"/>
        </w:rPr>
        <w:t>order to provide flexibility for administr</w:t>
      </w:r>
      <w:r>
        <w:rPr>
          <w:lang w:val="en-US"/>
        </w:rPr>
        <w:t>ations depending on their needs:</w:t>
      </w:r>
    </w:p>
    <w:p w:rsidR="002D68F1" w:rsidRDefault="002D68F1" w:rsidP="00D41AB4">
      <w:pPr>
        <w:jc w:val="both"/>
        <w:rPr>
          <w:lang w:val="en-US"/>
        </w:rPr>
      </w:pPr>
    </w:p>
    <w:p w:rsidR="00516015" w:rsidRPr="00516015" w:rsidRDefault="00516015" w:rsidP="0051601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4662297</wp:posOffset>
                </wp:positionH>
                <wp:positionV relativeFrom="paragraph">
                  <wp:posOffset>775868</wp:posOffset>
                </wp:positionV>
                <wp:extent cx="987552" cy="365760"/>
                <wp:effectExtent l="0" t="0" r="22225" b="15240"/>
                <wp:wrapNone/>
                <wp:docPr id="177" name="Прямоугольник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552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015" w:rsidRPr="00516015" w:rsidRDefault="00516015" w:rsidP="005160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Downlink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7" o:spid="_x0000_s1026" style="position:absolute;margin-left:367.1pt;margin-top:61.1pt;width:77.75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" fillcolor="#5b9bd5 [3204]" strokecolor="#1f4d78 [1604]" strokeweight="1pt">
                <v:textbox>
                  <w:txbxContent>
                    <w:p w:rsidR="00516015" w:rsidRPr="00516015" w:rsidRDefault="00516015" w:rsidP="005160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Downlink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1831315</wp:posOffset>
                </wp:positionH>
                <wp:positionV relativeFrom="paragraph">
                  <wp:posOffset>775868</wp:posOffset>
                </wp:positionV>
                <wp:extent cx="958291" cy="365760"/>
                <wp:effectExtent l="0" t="0" r="13335" b="15240"/>
                <wp:wrapNone/>
                <wp:docPr id="176" name="Прямоугольник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91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6015" w:rsidRPr="00516015" w:rsidRDefault="00516015" w:rsidP="0051601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Uplink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6" o:spid="_x0000_s1027" style="position:absolute;margin-left:144.2pt;margin-top:61.1pt;width:75.4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" fillcolor="#5b9bd5 [3204]" strokecolor="#1f4d78 [1604]" strokeweight="1pt">
                <v:textbox>
                  <w:txbxContent>
                    <w:p w:rsidR="00516015" w:rsidRPr="00516015" w:rsidRDefault="00516015" w:rsidP="00516015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Uplink</w:t>
                      </w:r>
                    </w:p>
                  </w:txbxContent>
                </v:textbox>
              </v:rect>
            </w:pict>
          </mc:Fallback>
        </mc:AlternateContent>
      </w:r>
      <w:r w:rsidRPr="00516015">
        <w:rPr>
          <w:noProof/>
          <w:lang w:eastAsia="ru-RU"/>
        </w:rPr>
        <w:drawing>
          <wp:inline distT="0" distB="0" distL="0" distR="0" wp14:anchorId="78C1E02E" wp14:editId="000AB0DB">
            <wp:extent cx="5940425" cy="1317625"/>
            <wp:effectExtent l="0" t="0" r="3175" b="0"/>
            <wp:docPr id="1024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Imag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72704" w:rsidRPr="00772704" w:rsidRDefault="00772704" w:rsidP="008A46C5">
      <w:pPr>
        <w:rPr>
          <w:lang w:val="en-US"/>
        </w:rPr>
      </w:pPr>
    </w:p>
    <w:p w:rsidR="00CB290F" w:rsidRPr="00EE7AE9" w:rsidRDefault="00DE4701" w:rsidP="00C05323">
      <w:pPr>
        <w:pStyle w:val="1"/>
        <w:rPr>
          <w:rFonts w:asciiTheme="majorHAnsi" w:hAnsiTheme="majorHAnsi"/>
          <w:lang w:val="en-US"/>
        </w:rPr>
      </w:pPr>
      <w:r w:rsidRPr="00EE7AE9">
        <w:rPr>
          <w:rFonts w:asciiTheme="majorHAnsi" w:hAnsiTheme="majorHAnsi"/>
          <w:lang w:val="en-US"/>
        </w:rPr>
        <w:lastRenderedPageBreak/>
        <w:t>Commitment of Administrations</w:t>
      </w:r>
    </w:p>
    <w:p w:rsidR="00DE4701" w:rsidRDefault="00FD26D3" w:rsidP="00FD26D3">
      <w:pPr>
        <w:jc w:val="both"/>
        <w:rPr>
          <w:lang w:val="en-US"/>
        </w:rPr>
      </w:pPr>
      <w:r>
        <w:rPr>
          <w:lang w:val="en-US"/>
        </w:rPr>
        <w:t xml:space="preserve">Administrations are </w:t>
      </w:r>
      <w:r w:rsidR="00DE4701" w:rsidRPr="00DE4701">
        <w:rPr>
          <w:lang w:val="en-US"/>
        </w:rPr>
        <w:t xml:space="preserve">committed to ensuring that the radio-communications stations, operating in the bands listed above, respect the limits for the establishment of base stations without coordination as outlined in this MoU, unless the stations </w:t>
      </w:r>
      <w:proofErr w:type="gramStart"/>
      <w:r w:rsidR="00DE4701" w:rsidRPr="00DE4701">
        <w:rPr>
          <w:lang w:val="en-US"/>
        </w:rPr>
        <w:t>are specifically planned</w:t>
      </w:r>
      <w:proofErr w:type="gramEnd"/>
      <w:r w:rsidR="00DE4701" w:rsidRPr="00DE4701">
        <w:rPr>
          <w:lang w:val="en-US"/>
        </w:rPr>
        <w:t xml:space="preserve"> for outside the co-ordination </w:t>
      </w:r>
      <w:r w:rsidR="00F10081">
        <w:rPr>
          <w:lang w:val="en-US"/>
        </w:rPr>
        <w:t>zones</w:t>
      </w:r>
      <w:r w:rsidR="00DE4701" w:rsidRPr="00DE4701">
        <w:rPr>
          <w:lang w:val="en-US"/>
        </w:rPr>
        <w:t>.</w:t>
      </w:r>
    </w:p>
    <w:p w:rsidR="00C05323" w:rsidRPr="00EE7AE9" w:rsidRDefault="00C05323" w:rsidP="00C05323">
      <w:pPr>
        <w:pStyle w:val="1"/>
        <w:rPr>
          <w:rFonts w:asciiTheme="majorHAnsi" w:hAnsiTheme="majorHAnsi"/>
          <w:lang w:val="en-US"/>
        </w:rPr>
      </w:pPr>
      <w:r w:rsidRPr="00EE7AE9">
        <w:rPr>
          <w:rFonts w:asciiTheme="majorHAnsi" w:hAnsiTheme="majorHAnsi"/>
          <w:lang w:val="en-US"/>
        </w:rPr>
        <w:t xml:space="preserve">IMT Systems </w:t>
      </w:r>
      <w:r w:rsidR="008714B3">
        <w:rPr>
          <w:rFonts w:asciiTheme="majorHAnsi" w:hAnsiTheme="majorHAnsi"/>
          <w:lang w:val="en-US"/>
        </w:rPr>
        <w:t>and corresponding</w:t>
      </w:r>
      <w:r w:rsidRPr="00EE7AE9">
        <w:rPr>
          <w:rFonts w:asciiTheme="majorHAnsi" w:hAnsiTheme="majorHAnsi"/>
          <w:lang w:val="en-US"/>
        </w:rPr>
        <w:t xml:space="preserve"> frequency bands</w:t>
      </w:r>
    </w:p>
    <w:p w:rsidR="00C05323" w:rsidRDefault="00C05323" w:rsidP="00FD26D3">
      <w:pPr>
        <w:jc w:val="both"/>
        <w:rPr>
          <w:lang w:val="en-US"/>
        </w:rPr>
      </w:pPr>
      <w:r w:rsidRPr="00C05323">
        <w:rPr>
          <w:lang w:val="en-US"/>
        </w:rPr>
        <w:t xml:space="preserve">Base stations </w:t>
      </w:r>
      <w:proofErr w:type="gramStart"/>
      <w:r w:rsidRPr="00C05323">
        <w:rPr>
          <w:lang w:val="en-US"/>
        </w:rPr>
        <w:t xml:space="preserve">may be </w:t>
      </w:r>
      <w:r w:rsidR="0014360A">
        <w:rPr>
          <w:lang w:val="en-US"/>
        </w:rPr>
        <w:t>put</w:t>
      </w:r>
      <w:proofErr w:type="gramEnd"/>
      <w:r w:rsidR="003F120A">
        <w:rPr>
          <w:lang w:val="en-US"/>
        </w:rPr>
        <w:t xml:space="preserve"> into </w:t>
      </w:r>
      <w:r w:rsidRPr="00C05323">
        <w:rPr>
          <w:lang w:val="en-US"/>
        </w:rPr>
        <w:t>operat</w:t>
      </w:r>
      <w:r w:rsidR="003F120A">
        <w:rPr>
          <w:lang w:val="en-US"/>
        </w:rPr>
        <w:t>ion</w:t>
      </w:r>
      <w:r w:rsidRPr="00C05323">
        <w:rPr>
          <w:lang w:val="en-US"/>
        </w:rPr>
        <w:t xml:space="preserve"> without coordination if the predicted mean field strength of each carrier produced by the base station does not exceed the following values at the given height above ground at the </w:t>
      </w:r>
      <w:r w:rsidR="003F120A">
        <w:rPr>
          <w:lang w:val="en-US"/>
        </w:rPr>
        <w:t>borderline</w:t>
      </w:r>
      <w:r w:rsidRPr="00C05323">
        <w:rPr>
          <w:lang w:val="en-US"/>
        </w:rPr>
        <w:t xml:space="preserve"> of the neighboring country.</w:t>
      </w:r>
    </w:p>
    <w:p w:rsidR="00C05323" w:rsidRDefault="00C05323" w:rsidP="00FD26D3">
      <w:pPr>
        <w:jc w:val="both"/>
        <w:rPr>
          <w:lang w:val="en-US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7110"/>
      </w:tblGrid>
      <w:tr w:rsidR="00703BB1" w:rsidRPr="00F14157" w:rsidTr="00703BB1">
        <w:trPr>
          <w:trHeight w:hRule="exact" w:val="907"/>
        </w:trPr>
        <w:tc>
          <w:tcPr>
            <w:tcW w:w="2250" w:type="dxa"/>
            <w:shd w:val="clear" w:color="auto" w:fill="FFFFFF"/>
            <w:vAlign w:val="center"/>
          </w:tcPr>
          <w:p w:rsidR="00703BB1" w:rsidRPr="00F14157" w:rsidRDefault="00703BB1" w:rsidP="00F1415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Frequency</w:t>
            </w:r>
          </w:p>
          <w:p w:rsidR="00703BB1" w:rsidRPr="00F14157" w:rsidRDefault="00703BB1" w:rsidP="00F1415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15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Band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703BB1" w:rsidRPr="00F14157" w:rsidRDefault="00703BB1" w:rsidP="0070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Parameters based on</w:t>
            </w:r>
          </w:p>
        </w:tc>
      </w:tr>
      <w:tr w:rsidR="00703BB1" w:rsidRPr="00703BB1" w:rsidTr="00703BB1">
        <w:trPr>
          <w:trHeight w:hRule="exact" w:val="1127"/>
        </w:trPr>
        <w:tc>
          <w:tcPr>
            <w:tcW w:w="2250" w:type="dxa"/>
            <w:shd w:val="clear" w:color="auto" w:fill="FFFFFF"/>
            <w:vAlign w:val="center"/>
          </w:tcPr>
          <w:p w:rsidR="00703BB1" w:rsidRPr="00F14157" w:rsidRDefault="00703BB1" w:rsidP="00F1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</w:t>
            </w: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700</w:t>
            </w: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MHz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703BB1" w:rsidRPr="00F14157" w:rsidRDefault="00703BB1" w:rsidP="00D41A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66EC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Based on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9F7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ECC DEC (15) 01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r w:rsidRPr="009F7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ECC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REC</w:t>
            </w:r>
            <w:r w:rsidRPr="009F761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 (15) 01</w:t>
            </w:r>
          </w:p>
        </w:tc>
      </w:tr>
      <w:tr w:rsidR="00703BB1" w:rsidRPr="00F14157" w:rsidTr="00703BB1">
        <w:trPr>
          <w:trHeight w:hRule="exact" w:val="634"/>
        </w:trPr>
        <w:tc>
          <w:tcPr>
            <w:tcW w:w="2250" w:type="dxa"/>
            <w:shd w:val="clear" w:color="auto" w:fill="FFFFFF"/>
            <w:vAlign w:val="center"/>
          </w:tcPr>
          <w:p w:rsidR="00703BB1" w:rsidRPr="00F14157" w:rsidRDefault="00703BB1" w:rsidP="00184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TDD 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-3600</w:t>
            </w: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MHz</w:t>
            </w:r>
          </w:p>
        </w:tc>
        <w:tc>
          <w:tcPr>
            <w:tcW w:w="7110" w:type="dxa"/>
            <w:vMerge w:val="restart"/>
            <w:shd w:val="clear" w:color="auto" w:fill="FFFFFF"/>
            <w:vAlign w:val="center"/>
          </w:tcPr>
          <w:p w:rsidR="00703BB1" w:rsidRPr="00703BB1" w:rsidRDefault="00703BB1" w:rsidP="00703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ITU-R Recommendation </w:t>
            </w:r>
            <w:r w:rsidRPr="00703B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P.452</w:t>
            </w:r>
          </w:p>
        </w:tc>
      </w:tr>
      <w:tr w:rsidR="00703BB1" w:rsidRPr="00F14157" w:rsidTr="00703BB1">
        <w:trPr>
          <w:trHeight w:hRule="exact" w:val="637"/>
        </w:trPr>
        <w:tc>
          <w:tcPr>
            <w:tcW w:w="2250" w:type="dxa"/>
            <w:shd w:val="clear" w:color="auto" w:fill="FFFFFF"/>
            <w:vAlign w:val="center"/>
          </w:tcPr>
          <w:p w:rsidR="00703BB1" w:rsidRPr="00F14157" w:rsidRDefault="00703BB1" w:rsidP="00F1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TDD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3600-</w:t>
            </w:r>
            <w:r w:rsidRPr="00F14157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3800 MHz</w:t>
            </w:r>
          </w:p>
        </w:tc>
        <w:tc>
          <w:tcPr>
            <w:tcW w:w="7110" w:type="dxa"/>
            <w:vMerge/>
            <w:shd w:val="clear" w:color="auto" w:fill="FFFFFF"/>
            <w:vAlign w:val="center"/>
          </w:tcPr>
          <w:p w:rsidR="00703BB1" w:rsidRPr="00F14157" w:rsidRDefault="00703BB1" w:rsidP="00F14157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E4701" w:rsidRDefault="00DE4701" w:rsidP="00DE4701">
      <w:pPr>
        <w:rPr>
          <w:lang w:val="en-US"/>
        </w:rPr>
      </w:pPr>
    </w:p>
    <w:p w:rsidR="00C05323" w:rsidRPr="00C05323" w:rsidRDefault="00C05323" w:rsidP="00C05323">
      <w:pPr>
        <w:jc w:val="both"/>
        <w:rPr>
          <w:lang w:val="en-US"/>
        </w:rPr>
      </w:pPr>
      <w:r w:rsidRPr="00C05323">
        <w:rPr>
          <w:lang w:val="en-US"/>
        </w:rPr>
        <w:t xml:space="preserve">In order to ensure the optimum network performance for </w:t>
      </w:r>
      <w:r>
        <w:rPr>
          <w:lang w:val="en-US"/>
        </w:rPr>
        <w:t>IMT</w:t>
      </w:r>
      <w:r w:rsidRPr="00C05323">
        <w:rPr>
          <w:lang w:val="en-US"/>
        </w:rPr>
        <w:t xml:space="preserve"> systems depl</w:t>
      </w:r>
      <w:r>
        <w:rPr>
          <w:lang w:val="en-US"/>
        </w:rPr>
        <w:t>oyed in the border areas,</w:t>
      </w:r>
      <w:r w:rsidRPr="00C05323">
        <w:rPr>
          <w:lang w:val="en-US"/>
        </w:rPr>
        <w:t xml:space="preserve"> Administration</w:t>
      </w:r>
      <w:r>
        <w:rPr>
          <w:lang w:val="en-US"/>
        </w:rPr>
        <w:t>s</w:t>
      </w:r>
      <w:r w:rsidRPr="00C05323">
        <w:rPr>
          <w:lang w:val="en-US"/>
        </w:rPr>
        <w:t xml:space="preserve"> shall encourage operators to coordinate the use of physical</w:t>
      </w:r>
      <w:r>
        <w:rPr>
          <w:lang w:val="en-US"/>
        </w:rPr>
        <w:t xml:space="preserve">-layer cell-identity groups </w:t>
      </w:r>
      <w:r w:rsidRPr="00C05323">
        <w:rPr>
          <w:lang w:val="en-US"/>
        </w:rPr>
        <w:t>and other radio parameters, in accordance with ECC Recommendations 14(04) and (15)01 for signals using the same center frequency in border areas.</w:t>
      </w:r>
    </w:p>
    <w:p w:rsidR="00C05323" w:rsidRPr="00EE7AE9" w:rsidRDefault="00EE7AE9" w:rsidP="00C05323">
      <w:pPr>
        <w:pStyle w:val="1"/>
        <w:rPr>
          <w:rFonts w:asciiTheme="majorHAnsi" w:hAnsiTheme="majorHAnsi"/>
          <w:lang w:val="en-US"/>
        </w:rPr>
      </w:pPr>
      <w:r w:rsidRPr="00EE7AE9">
        <w:rPr>
          <w:rFonts w:asciiTheme="majorHAnsi" w:hAnsiTheme="majorHAnsi"/>
          <w:lang w:val="en-US"/>
        </w:rPr>
        <w:t>Harmful Interferences</w:t>
      </w:r>
    </w:p>
    <w:p w:rsidR="00F14157" w:rsidRDefault="00C05323" w:rsidP="00C05323">
      <w:pPr>
        <w:jc w:val="both"/>
        <w:rPr>
          <w:lang w:val="en-US"/>
        </w:rPr>
      </w:pPr>
      <w:r w:rsidRPr="00C05323">
        <w:rPr>
          <w:lang w:val="en-US"/>
        </w:rPr>
        <w:t xml:space="preserve">If an operator suffers from harmful interference and/or notices a degradation of the quality of service on its network - due to the rise of the field strength coming from a neighboring territory for example - it should immediately inform the </w:t>
      </w:r>
      <w:r>
        <w:rPr>
          <w:lang w:val="en-US"/>
        </w:rPr>
        <w:t>affected</w:t>
      </w:r>
      <w:r w:rsidRPr="00C05323">
        <w:rPr>
          <w:lang w:val="en-US"/>
        </w:rPr>
        <w:t xml:space="preserve"> Administration</w:t>
      </w:r>
      <w:r>
        <w:rPr>
          <w:lang w:val="en-US"/>
        </w:rPr>
        <w:t>(s)</w:t>
      </w:r>
      <w:r w:rsidRPr="00C05323">
        <w:rPr>
          <w:lang w:val="en-US"/>
        </w:rPr>
        <w:t>.</w:t>
      </w:r>
    </w:p>
    <w:p w:rsidR="00F14157" w:rsidRDefault="00F14157" w:rsidP="00DE4701">
      <w:pPr>
        <w:rPr>
          <w:lang w:val="en-US"/>
        </w:rPr>
      </w:pPr>
    </w:p>
    <w:p w:rsidR="00C57052" w:rsidRPr="00C57052" w:rsidRDefault="002D68F1" w:rsidP="00C57052">
      <w:pPr>
        <w:pStyle w:val="1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>Review and follow up of the MoU</w:t>
      </w:r>
    </w:p>
    <w:p w:rsidR="00C57052" w:rsidRDefault="00C57052" w:rsidP="00C57052">
      <w:pPr>
        <w:jc w:val="both"/>
        <w:rPr>
          <w:lang w:val="en-US"/>
        </w:rPr>
      </w:pPr>
      <w:r w:rsidRPr="00C57052">
        <w:rPr>
          <w:lang w:val="en-US"/>
        </w:rPr>
        <w:t xml:space="preserve">Signatories may request a review of this MoU. Any part of this MoU </w:t>
      </w:r>
      <w:proofErr w:type="gramStart"/>
      <w:r w:rsidRPr="00C57052">
        <w:rPr>
          <w:lang w:val="en-US"/>
        </w:rPr>
        <w:t>may be revised</w:t>
      </w:r>
      <w:proofErr w:type="gramEnd"/>
      <w:r w:rsidRPr="00C57052">
        <w:rPr>
          <w:lang w:val="en-US"/>
        </w:rPr>
        <w:t xml:space="preserve"> in the light of future developments, i.e. introduction of </w:t>
      </w:r>
      <w:bookmarkStart w:id="0" w:name="_GoBack"/>
      <w:bookmarkEnd w:id="0"/>
      <w:r w:rsidRPr="00C57052">
        <w:rPr>
          <w:lang w:val="en-US"/>
        </w:rPr>
        <w:t>new technologies and experience in the operation of the networks covered by the MoU.</w:t>
      </w:r>
    </w:p>
    <w:p w:rsidR="00C57052" w:rsidRPr="00C57052" w:rsidRDefault="00C57052" w:rsidP="00C57052">
      <w:pPr>
        <w:pStyle w:val="1"/>
        <w:rPr>
          <w:rFonts w:asciiTheme="majorHAnsi" w:hAnsiTheme="majorHAnsi"/>
          <w:lang w:val="en-US"/>
        </w:rPr>
      </w:pPr>
      <w:r w:rsidRPr="00C57052">
        <w:rPr>
          <w:rFonts w:asciiTheme="majorHAnsi" w:hAnsiTheme="majorHAnsi"/>
          <w:lang w:val="en-US"/>
        </w:rPr>
        <w:lastRenderedPageBreak/>
        <w:t>Date of entry into force</w:t>
      </w:r>
    </w:p>
    <w:p w:rsidR="00981BD0" w:rsidRDefault="00C57052" w:rsidP="00DE4701">
      <w:pPr>
        <w:rPr>
          <w:lang w:val="en-US"/>
        </w:rPr>
      </w:pPr>
      <w:r w:rsidRPr="00C57052">
        <w:rPr>
          <w:lang w:val="en-US"/>
        </w:rPr>
        <w:t>This MoU will enter into force on the date of signature.</w:t>
      </w:r>
    </w:p>
    <w:p w:rsidR="000256BD" w:rsidRDefault="000256BD" w:rsidP="00DE4701">
      <w:pPr>
        <w:rPr>
          <w:lang w:val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256BD" w:rsidTr="000256BD">
        <w:tc>
          <w:tcPr>
            <w:tcW w:w="4672" w:type="dxa"/>
          </w:tcPr>
          <w:p w:rsidR="000256BD" w:rsidRPr="000256BD" w:rsidRDefault="000256BD" w:rsidP="00DE4701">
            <w:pPr>
              <w:rPr>
                <w:b/>
                <w:lang w:val="en-US"/>
              </w:rPr>
            </w:pPr>
            <w:r w:rsidRPr="000256BD">
              <w:rPr>
                <w:b/>
                <w:lang w:val="en-US"/>
              </w:rPr>
              <w:t>Armenia:</w:t>
            </w:r>
          </w:p>
          <w:p w:rsidR="000256BD" w:rsidRDefault="000256BD" w:rsidP="00DE4701">
            <w:pPr>
              <w:rPr>
                <w:lang w:val="en-US"/>
              </w:rPr>
            </w:pPr>
            <w:r w:rsidRPr="000256BD">
              <w:rPr>
                <w:lang w:val="en-US"/>
              </w:rPr>
              <w:t>Ministry of Transport, Communication and Information Technologies</w:t>
            </w:r>
          </w:p>
          <w:p w:rsidR="007112AD" w:rsidRDefault="007112AD" w:rsidP="00DE4701">
            <w:pPr>
              <w:rPr>
                <w:lang w:val="en-US"/>
              </w:rPr>
            </w:pPr>
          </w:p>
          <w:p w:rsidR="007112AD" w:rsidRDefault="007112AD" w:rsidP="00DE4701">
            <w:pPr>
              <w:rPr>
                <w:lang w:val="en-US"/>
              </w:rPr>
            </w:pPr>
            <w:r w:rsidRPr="007112AD">
              <w:rPr>
                <w:sz w:val="16"/>
                <w:szCs w:val="16"/>
                <w:lang w:val="en-US"/>
              </w:rPr>
              <w:t>Represent</w:t>
            </w:r>
            <w:r>
              <w:rPr>
                <w:sz w:val="16"/>
                <w:szCs w:val="16"/>
                <w:lang w:val="en-US"/>
              </w:rPr>
              <w:t>ed by</w:t>
            </w:r>
            <w:r>
              <w:rPr>
                <w:lang w:val="en-US"/>
              </w:rPr>
              <w:t xml:space="preserve"> ______________________________</w:t>
            </w:r>
          </w:p>
          <w:p w:rsidR="007112AD" w:rsidRDefault="007112AD" w:rsidP="00DE4701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256BD" w:rsidRPr="000256BD" w:rsidRDefault="000256BD" w:rsidP="00DE4701">
            <w:pPr>
              <w:rPr>
                <w:b/>
                <w:lang w:val="en-US"/>
              </w:rPr>
            </w:pPr>
            <w:r w:rsidRPr="000256BD">
              <w:rPr>
                <w:b/>
                <w:lang w:val="en-US"/>
              </w:rPr>
              <w:t>Georgia:</w:t>
            </w:r>
          </w:p>
          <w:p w:rsidR="000256BD" w:rsidRDefault="000256BD" w:rsidP="00DE4701">
            <w:pPr>
              <w:rPr>
                <w:lang w:val="en-US"/>
              </w:rPr>
            </w:pPr>
            <w:r>
              <w:rPr>
                <w:lang w:val="en-US"/>
              </w:rPr>
              <w:t>Georgian National Communications Commission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  <w:r w:rsidRPr="007112AD">
              <w:rPr>
                <w:sz w:val="16"/>
                <w:szCs w:val="16"/>
                <w:lang w:val="en-US"/>
              </w:rPr>
              <w:t>Represent</w:t>
            </w:r>
            <w:r>
              <w:rPr>
                <w:sz w:val="16"/>
                <w:szCs w:val="16"/>
                <w:lang w:val="en-US"/>
              </w:rPr>
              <w:t>ed by</w:t>
            </w:r>
            <w:r>
              <w:rPr>
                <w:lang w:val="en-US"/>
              </w:rPr>
              <w:t xml:space="preserve"> ______________________________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</w:tc>
      </w:tr>
      <w:tr w:rsidR="000256BD" w:rsidRPr="00703BB1" w:rsidTr="000256BD">
        <w:tc>
          <w:tcPr>
            <w:tcW w:w="4672" w:type="dxa"/>
          </w:tcPr>
          <w:p w:rsidR="000256BD" w:rsidRPr="000256BD" w:rsidRDefault="000256BD" w:rsidP="000256BD">
            <w:pPr>
              <w:rPr>
                <w:b/>
                <w:lang w:val="en-US"/>
              </w:rPr>
            </w:pPr>
            <w:r w:rsidRPr="000256BD">
              <w:rPr>
                <w:b/>
                <w:lang w:val="en-US"/>
              </w:rPr>
              <w:t>Belarus:</w:t>
            </w:r>
          </w:p>
          <w:p w:rsidR="000256BD" w:rsidRDefault="000256BD" w:rsidP="000256BD">
            <w:pPr>
              <w:rPr>
                <w:lang w:val="en-US"/>
              </w:rPr>
            </w:pPr>
            <w:r w:rsidRPr="000256BD">
              <w:rPr>
                <w:lang w:val="en-US"/>
              </w:rPr>
              <w:t xml:space="preserve">Ministry of Communication and </w:t>
            </w:r>
            <w:proofErr w:type="spellStart"/>
            <w:r w:rsidRPr="000256BD">
              <w:rPr>
                <w:lang w:val="en-US"/>
              </w:rPr>
              <w:t>Informatization</w:t>
            </w:r>
            <w:proofErr w:type="spellEnd"/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  <w:r w:rsidRPr="007112AD">
              <w:rPr>
                <w:sz w:val="16"/>
                <w:szCs w:val="16"/>
                <w:lang w:val="en-US"/>
              </w:rPr>
              <w:t>Represent</w:t>
            </w:r>
            <w:r>
              <w:rPr>
                <w:sz w:val="16"/>
                <w:szCs w:val="16"/>
                <w:lang w:val="en-US"/>
              </w:rPr>
              <w:t>ed by</w:t>
            </w:r>
            <w:r>
              <w:rPr>
                <w:lang w:val="en-US"/>
              </w:rPr>
              <w:t xml:space="preserve"> ______________________________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256BD" w:rsidRPr="000256BD" w:rsidRDefault="000256BD" w:rsidP="000256BD">
            <w:pPr>
              <w:rPr>
                <w:b/>
                <w:lang w:val="en-US"/>
              </w:rPr>
            </w:pPr>
            <w:r w:rsidRPr="000256BD">
              <w:rPr>
                <w:b/>
                <w:lang w:val="en-US"/>
              </w:rPr>
              <w:t>Azerbaijan:</w:t>
            </w:r>
          </w:p>
          <w:p w:rsidR="000256BD" w:rsidRDefault="000256BD" w:rsidP="000256BD">
            <w:pPr>
              <w:rPr>
                <w:lang w:val="en-US"/>
              </w:rPr>
            </w:pPr>
            <w:r w:rsidRPr="000256BD">
              <w:rPr>
                <w:lang w:val="en-US"/>
              </w:rPr>
              <w:t xml:space="preserve">Ministry of Transport, Communication and </w:t>
            </w:r>
            <w:r>
              <w:rPr>
                <w:lang w:val="en-US"/>
              </w:rPr>
              <w:t>High</w:t>
            </w:r>
            <w:r w:rsidRPr="000256BD">
              <w:rPr>
                <w:lang w:val="en-US"/>
              </w:rPr>
              <w:t xml:space="preserve"> Technologies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  <w:r w:rsidRPr="007112AD">
              <w:rPr>
                <w:sz w:val="16"/>
                <w:szCs w:val="16"/>
                <w:lang w:val="en-US"/>
              </w:rPr>
              <w:t>Represent</w:t>
            </w:r>
            <w:r>
              <w:rPr>
                <w:sz w:val="16"/>
                <w:szCs w:val="16"/>
                <w:lang w:val="en-US"/>
              </w:rPr>
              <w:t>ed by</w:t>
            </w:r>
            <w:r>
              <w:rPr>
                <w:lang w:val="en-US"/>
              </w:rPr>
              <w:t xml:space="preserve"> ______________________________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</w:tc>
      </w:tr>
      <w:tr w:rsidR="000256BD" w:rsidRPr="00703BB1" w:rsidTr="000256BD">
        <w:tc>
          <w:tcPr>
            <w:tcW w:w="4672" w:type="dxa"/>
          </w:tcPr>
          <w:p w:rsidR="000256BD" w:rsidRPr="000256BD" w:rsidRDefault="000256BD" w:rsidP="00DE4701">
            <w:pPr>
              <w:rPr>
                <w:b/>
                <w:lang w:val="en-US"/>
              </w:rPr>
            </w:pPr>
            <w:r w:rsidRPr="000256BD">
              <w:rPr>
                <w:b/>
                <w:lang w:val="en-US"/>
              </w:rPr>
              <w:t>Moldova:</w:t>
            </w:r>
          </w:p>
          <w:p w:rsidR="007112AD" w:rsidRDefault="000256BD" w:rsidP="007112AD">
            <w:pPr>
              <w:rPr>
                <w:lang w:val="en-US"/>
              </w:rPr>
            </w:pPr>
            <w:r w:rsidRPr="000256BD">
              <w:rPr>
                <w:lang w:val="en-US"/>
              </w:rPr>
              <w:t>ANRCETI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  <w:r w:rsidRPr="007112AD">
              <w:rPr>
                <w:sz w:val="16"/>
                <w:szCs w:val="16"/>
                <w:lang w:val="en-US"/>
              </w:rPr>
              <w:t>Represent</w:t>
            </w:r>
            <w:r>
              <w:rPr>
                <w:sz w:val="16"/>
                <w:szCs w:val="16"/>
                <w:lang w:val="en-US"/>
              </w:rPr>
              <w:t>ed by</w:t>
            </w:r>
            <w:r>
              <w:rPr>
                <w:lang w:val="en-US"/>
              </w:rPr>
              <w:t xml:space="preserve"> ______________________________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  <w:p w:rsidR="000256BD" w:rsidRDefault="000256BD" w:rsidP="00DE4701">
            <w:pPr>
              <w:rPr>
                <w:lang w:val="en-US"/>
              </w:rPr>
            </w:pPr>
          </w:p>
        </w:tc>
        <w:tc>
          <w:tcPr>
            <w:tcW w:w="4673" w:type="dxa"/>
          </w:tcPr>
          <w:p w:rsidR="000256BD" w:rsidRPr="000256BD" w:rsidRDefault="000256BD" w:rsidP="00DE4701">
            <w:pPr>
              <w:rPr>
                <w:b/>
                <w:lang w:val="en-US"/>
              </w:rPr>
            </w:pPr>
            <w:r w:rsidRPr="000256BD">
              <w:rPr>
                <w:b/>
                <w:lang w:val="en-US"/>
              </w:rPr>
              <w:t>Ukraine</w:t>
            </w:r>
          </w:p>
          <w:p w:rsidR="000256BD" w:rsidRDefault="000256BD" w:rsidP="00DE4701">
            <w:pPr>
              <w:rPr>
                <w:lang w:val="en-US"/>
              </w:rPr>
            </w:pPr>
            <w:r w:rsidRPr="000256BD">
              <w:rPr>
                <w:lang w:val="en-US"/>
              </w:rPr>
              <w:t>Ukrainian State Centre of Radio Frequencies</w:t>
            </w:r>
          </w:p>
          <w:p w:rsidR="007112AD" w:rsidRDefault="007112AD" w:rsidP="00DE4701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  <w:r w:rsidRPr="007112AD">
              <w:rPr>
                <w:sz w:val="16"/>
                <w:szCs w:val="16"/>
                <w:lang w:val="en-US"/>
              </w:rPr>
              <w:t>Represent</w:t>
            </w:r>
            <w:r>
              <w:rPr>
                <w:sz w:val="16"/>
                <w:szCs w:val="16"/>
                <w:lang w:val="en-US"/>
              </w:rPr>
              <w:t>ed by</w:t>
            </w:r>
            <w:r>
              <w:rPr>
                <w:lang w:val="en-US"/>
              </w:rPr>
              <w:t xml:space="preserve"> ______________________________</w:t>
            </w: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7112AD">
            <w:pPr>
              <w:rPr>
                <w:lang w:val="en-US"/>
              </w:rPr>
            </w:pPr>
          </w:p>
          <w:p w:rsidR="007112AD" w:rsidRDefault="007112AD" w:rsidP="00DE4701">
            <w:pPr>
              <w:rPr>
                <w:lang w:val="en-US"/>
              </w:rPr>
            </w:pPr>
          </w:p>
        </w:tc>
      </w:tr>
    </w:tbl>
    <w:p w:rsidR="000256BD" w:rsidRDefault="000256BD" w:rsidP="00DE4701">
      <w:pPr>
        <w:rPr>
          <w:lang w:val="en-US"/>
        </w:rPr>
      </w:pPr>
    </w:p>
    <w:p w:rsidR="007112AD" w:rsidRDefault="007112AD" w:rsidP="00DE4701">
      <w:pPr>
        <w:rPr>
          <w:lang w:val="en-US"/>
        </w:rPr>
      </w:pPr>
    </w:p>
    <w:p w:rsidR="000256BD" w:rsidRPr="000256BD" w:rsidRDefault="000256BD" w:rsidP="00DE4701">
      <w:pPr>
        <w:rPr>
          <w:b/>
          <w:lang w:val="en-US"/>
        </w:rPr>
      </w:pPr>
      <w:r w:rsidRPr="000256BD">
        <w:rPr>
          <w:b/>
          <w:lang w:val="en-US"/>
        </w:rPr>
        <w:t>Supervisor Members: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256BD" w:rsidRPr="00703BB1" w:rsidTr="00DB2554">
        <w:tc>
          <w:tcPr>
            <w:tcW w:w="9345" w:type="dxa"/>
          </w:tcPr>
          <w:p w:rsidR="000256BD" w:rsidRPr="000256BD" w:rsidRDefault="00BC0B6F" w:rsidP="00E4081C">
            <w:pPr>
              <w:rPr>
                <w:b/>
                <w:lang w:val="en-US"/>
              </w:rPr>
            </w:pPr>
            <w:proofErr w:type="spellStart"/>
            <w:r w:rsidRPr="00BC0B6F">
              <w:rPr>
                <w:b/>
                <w:lang w:val="en-US"/>
              </w:rPr>
              <w:t>EaPeReg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r w:rsidRPr="00BC0B6F">
              <w:rPr>
                <w:b/>
                <w:lang w:val="en-US"/>
              </w:rPr>
              <w:t>Electronic Communications Regulators Network</w:t>
            </w:r>
            <w:r>
              <w:rPr>
                <w:b/>
                <w:lang w:val="en-US"/>
              </w:rPr>
              <w:t>,</w:t>
            </w:r>
            <w:r w:rsidR="007112AD">
              <w:rPr>
                <w:b/>
                <w:lang w:val="en-US"/>
              </w:rPr>
              <w:t xml:space="preserve"> </w:t>
            </w:r>
            <w:r w:rsidR="000256BD">
              <w:rPr>
                <w:b/>
                <w:lang w:val="en-US"/>
              </w:rPr>
              <w:t>SEWG Chair</w:t>
            </w:r>
            <w:r w:rsidR="000256BD" w:rsidRPr="000256BD">
              <w:rPr>
                <w:b/>
                <w:lang w:val="en-US"/>
              </w:rPr>
              <w:t>:</w:t>
            </w:r>
          </w:p>
          <w:p w:rsidR="000256BD" w:rsidRDefault="000256BD" w:rsidP="00E4081C">
            <w:pPr>
              <w:rPr>
                <w:lang w:val="en-US"/>
              </w:rPr>
            </w:pPr>
            <w:r>
              <w:rPr>
                <w:lang w:val="en-US"/>
              </w:rPr>
              <w:t>Roman Kurdadze</w:t>
            </w:r>
          </w:p>
          <w:p w:rsidR="000256BD" w:rsidRDefault="000256BD" w:rsidP="00E4081C">
            <w:pPr>
              <w:rPr>
                <w:lang w:val="en-US"/>
              </w:rPr>
            </w:pPr>
            <w:r>
              <w:rPr>
                <w:lang w:val="en-US"/>
              </w:rPr>
              <w:t>GEORGIA, GNCC</w:t>
            </w:r>
          </w:p>
          <w:p w:rsidR="000256BD" w:rsidRDefault="000256BD" w:rsidP="00E4081C">
            <w:pPr>
              <w:rPr>
                <w:lang w:val="en-US"/>
              </w:rPr>
            </w:pPr>
          </w:p>
        </w:tc>
      </w:tr>
      <w:tr w:rsidR="000256BD" w:rsidRPr="00703BB1" w:rsidTr="00AC0F4D">
        <w:tc>
          <w:tcPr>
            <w:tcW w:w="9345" w:type="dxa"/>
          </w:tcPr>
          <w:p w:rsidR="000256BD" w:rsidRPr="000256BD" w:rsidRDefault="00BC0B6F" w:rsidP="00E4081C">
            <w:pPr>
              <w:rPr>
                <w:b/>
                <w:lang w:val="en-US"/>
              </w:rPr>
            </w:pPr>
            <w:proofErr w:type="spellStart"/>
            <w:r w:rsidRPr="00BC0B6F">
              <w:rPr>
                <w:b/>
                <w:lang w:val="en-US"/>
              </w:rPr>
              <w:t>EaPeReg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r w:rsidRPr="00BC0B6F">
              <w:rPr>
                <w:b/>
                <w:lang w:val="en-US"/>
              </w:rPr>
              <w:t>Electronic Communications Regulators Network</w:t>
            </w:r>
            <w:r>
              <w:rPr>
                <w:b/>
                <w:lang w:val="en-US"/>
              </w:rPr>
              <w:t>,</w:t>
            </w:r>
            <w:r w:rsidR="007112AD">
              <w:rPr>
                <w:b/>
                <w:lang w:val="en-US"/>
              </w:rPr>
              <w:t xml:space="preserve"> </w:t>
            </w:r>
            <w:r w:rsidR="000256BD">
              <w:rPr>
                <w:b/>
                <w:lang w:val="en-US"/>
              </w:rPr>
              <w:t>SEWG Co-Chair</w:t>
            </w:r>
            <w:r w:rsidR="000256BD" w:rsidRPr="000256BD">
              <w:rPr>
                <w:b/>
                <w:lang w:val="en-US"/>
              </w:rPr>
              <w:t>:</w:t>
            </w:r>
          </w:p>
          <w:p w:rsidR="000256BD" w:rsidRDefault="000256BD" w:rsidP="00E4081C">
            <w:pPr>
              <w:rPr>
                <w:lang w:val="en-US"/>
              </w:rPr>
            </w:pPr>
            <w:r>
              <w:rPr>
                <w:lang w:val="en-US"/>
              </w:rPr>
              <w:t xml:space="preserve">Juris </w:t>
            </w:r>
            <w:proofErr w:type="spellStart"/>
            <w:r>
              <w:rPr>
                <w:lang w:val="en-US"/>
              </w:rPr>
              <w:t>Rencis</w:t>
            </w:r>
            <w:proofErr w:type="spellEnd"/>
          </w:p>
          <w:p w:rsidR="000256BD" w:rsidRDefault="000256BD" w:rsidP="00E4081C">
            <w:pPr>
              <w:rPr>
                <w:lang w:val="en-US"/>
              </w:rPr>
            </w:pPr>
            <w:r>
              <w:rPr>
                <w:lang w:val="en-US"/>
              </w:rPr>
              <w:t>Latvia, VASES</w:t>
            </w:r>
          </w:p>
          <w:p w:rsidR="000256BD" w:rsidRDefault="000256BD" w:rsidP="00E4081C">
            <w:pPr>
              <w:rPr>
                <w:lang w:val="en-US"/>
              </w:rPr>
            </w:pPr>
          </w:p>
        </w:tc>
      </w:tr>
      <w:tr w:rsidR="000256BD" w:rsidRPr="00703BB1" w:rsidTr="004171E5">
        <w:tc>
          <w:tcPr>
            <w:tcW w:w="9345" w:type="dxa"/>
          </w:tcPr>
          <w:p w:rsidR="000256BD" w:rsidRPr="000256BD" w:rsidRDefault="00BC0B6F" w:rsidP="00E4081C">
            <w:pPr>
              <w:rPr>
                <w:b/>
                <w:lang w:val="en-US"/>
              </w:rPr>
            </w:pPr>
            <w:proofErr w:type="spellStart"/>
            <w:r w:rsidRPr="00BC0B6F">
              <w:rPr>
                <w:b/>
                <w:lang w:val="en-US"/>
              </w:rPr>
              <w:t>EaPeReg</w:t>
            </w:r>
            <w:proofErr w:type="spellEnd"/>
            <w:r>
              <w:rPr>
                <w:b/>
                <w:lang w:val="en-US"/>
              </w:rPr>
              <w:t xml:space="preserve"> - </w:t>
            </w:r>
            <w:r w:rsidRPr="00BC0B6F">
              <w:rPr>
                <w:b/>
                <w:lang w:val="en-US"/>
              </w:rPr>
              <w:t>Electronic Communications Regulators Network</w:t>
            </w:r>
            <w:r>
              <w:rPr>
                <w:b/>
                <w:lang w:val="en-US"/>
              </w:rPr>
              <w:t>,</w:t>
            </w:r>
            <w:r w:rsidR="007112AD">
              <w:rPr>
                <w:b/>
                <w:lang w:val="en-US"/>
              </w:rPr>
              <w:t xml:space="preserve"> </w:t>
            </w:r>
            <w:r w:rsidR="00880986">
              <w:rPr>
                <w:b/>
                <w:lang w:val="en-US"/>
              </w:rPr>
              <w:t>SEWG Co-Chair</w:t>
            </w:r>
            <w:r w:rsidR="000256BD" w:rsidRPr="000256BD">
              <w:rPr>
                <w:b/>
                <w:lang w:val="en-US"/>
              </w:rPr>
              <w:t>:</w:t>
            </w:r>
          </w:p>
          <w:p w:rsidR="000256BD" w:rsidRDefault="000256BD" w:rsidP="00E4081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Jorune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Mikulenaite</w:t>
            </w:r>
            <w:proofErr w:type="spellEnd"/>
          </w:p>
          <w:p w:rsidR="000256BD" w:rsidRDefault="000256BD" w:rsidP="00E4081C">
            <w:pPr>
              <w:rPr>
                <w:lang w:val="en-US"/>
              </w:rPr>
            </w:pPr>
            <w:r>
              <w:rPr>
                <w:lang w:val="en-US"/>
              </w:rPr>
              <w:t>RRT, Lithuania</w:t>
            </w:r>
          </w:p>
          <w:p w:rsidR="000256BD" w:rsidRDefault="000256BD" w:rsidP="00E4081C">
            <w:pPr>
              <w:rPr>
                <w:lang w:val="en-US"/>
              </w:rPr>
            </w:pPr>
          </w:p>
        </w:tc>
      </w:tr>
    </w:tbl>
    <w:p w:rsidR="00BC0B6F" w:rsidRDefault="00BC0B6F" w:rsidP="00DE4701">
      <w:pPr>
        <w:rPr>
          <w:lang w:val="en-US"/>
        </w:rPr>
      </w:pPr>
    </w:p>
    <w:p w:rsidR="007112AD" w:rsidRPr="00DE4701" w:rsidRDefault="007112AD" w:rsidP="00DE4701">
      <w:pPr>
        <w:rPr>
          <w:lang w:val="en-US"/>
        </w:rPr>
      </w:pPr>
    </w:p>
    <w:sectPr w:rsidR="007112AD" w:rsidRPr="00DE4701" w:rsidSect="00300409">
      <w:headerReference w:type="default" r:id="rId9"/>
      <w:footerReference w:type="default" r:id="rId10"/>
      <w:pgSz w:w="11906" w:h="16838"/>
      <w:pgMar w:top="2070" w:right="850" w:bottom="1134" w:left="1701" w:header="3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F39" w:rsidRDefault="007B4F39" w:rsidP="00E70980">
      <w:pPr>
        <w:spacing w:after="0" w:line="240" w:lineRule="auto"/>
      </w:pPr>
      <w:r>
        <w:separator/>
      </w:r>
    </w:p>
  </w:endnote>
  <w:endnote w:type="continuationSeparator" w:id="0">
    <w:p w:rsidR="007B4F39" w:rsidRDefault="007B4F39" w:rsidP="00E70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980" w:rsidRPr="00300409" w:rsidRDefault="00300409" w:rsidP="00300409">
    <w:pPr>
      <w:pStyle w:val="a5"/>
    </w:pPr>
    <w:r w:rsidRPr="00300409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16B9B3A" wp14:editId="1754EACE">
          <wp:simplePos x="0" y="0"/>
          <wp:positionH relativeFrom="column">
            <wp:posOffset>-541020</wp:posOffset>
          </wp:positionH>
          <wp:positionV relativeFrom="paragraph">
            <wp:posOffset>123190</wp:posOffset>
          </wp:positionV>
          <wp:extent cx="324485" cy="201295"/>
          <wp:effectExtent l="0" t="0" r="0" b="8255"/>
          <wp:wrapNone/>
          <wp:docPr id="170" name="Picture 5" descr="https://upload.wikimedia.org/wikipedia/commons/thumb/9/93/Flag_of_the_Democratic_Republic_of_Armenia.svg/2000px-Flag_of_the_Democratic_Republic_of_Armeni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5" descr="https://upload.wikimedia.org/wikipedia/commons/thumb/9/93/Flag_of_the_Democratic_Republic_of_Armenia.svg/2000px-Flag_of_the_Democratic_Republic_of_Armenia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012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00409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2AA5155" wp14:editId="2FC0A53F">
          <wp:simplePos x="0" y="0"/>
          <wp:positionH relativeFrom="column">
            <wp:posOffset>210820</wp:posOffset>
          </wp:positionH>
          <wp:positionV relativeFrom="paragraph">
            <wp:posOffset>123190</wp:posOffset>
          </wp:positionV>
          <wp:extent cx="329565" cy="201295"/>
          <wp:effectExtent l="0" t="0" r="0" b="8255"/>
          <wp:wrapNone/>
          <wp:docPr id="171" name="Picture 14" descr="http://vignette1.wikia.nocookie.net/icehockey/images/7/78/Flag_of_Belarus.png/revision/20080314171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4" descr="http://vignette1.wikia.nocookie.net/icehockey/images/7/78/Flag_of_Belarus.png/revision/20080314171927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357"/>
                  <a:stretch/>
                </pic:blipFill>
                <pic:spPr bwMode="auto">
                  <a:xfrm>
                    <a:off x="0" y="0"/>
                    <a:ext cx="329565" cy="2012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00409"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5D527206" wp14:editId="0C903583">
          <wp:simplePos x="0" y="0"/>
          <wp:positionH relativeFrom="column">
            <wp:posOffset>-157480</wp:posOffset>
          </wp:positionH>
          <wp:positionV relativeFrom="paragraph">
            <wp:posOffset>124460</wp:posOffset>
          </wp:positionV>
          <wp:extent cx="308610" cy="205105"/>
          <wp:effectExtent l="0" t="0" r="0" b="4445"/>
          <wp:wrapNone/>
          <wp:docPr id="172" name="Picture 20" descr="http://www.cs.mcgill.ca/~rwest/wikispeedia/wpcd/images/138/138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0" descr="http://www.cs.mcgill.ca/~rwest/wikispeedia/wpcd/images/138/13818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2051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00409"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40B3371E" wp14:editId="13618AFB">
          <wp:simplePos x="0" y="0"/>
          <wp:positionH relativeFrom="column">
            <wp:posOffset>626110</wp:posOffset>
          </wp:positionH>
          <wp:positionV relativeFrom="paragraph">
            <wp:posOffset>123190</wp:posOffset>
          </wp:positionV>
          <wp:extent cx="302260" cy="201295"/>
          <wp:effectExtent l="0" t="0" r="2540" b="8255"/>
          <wp:wrapNone/>
          <wp:docPr id="173" name="Picture 2" descr="[Azerbaijan People's Front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[Azerbaijan People's Front]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0129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00409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C83D8C7" wp14:editId="201D6EFD">
          <wp:simplePos x="0" y="0"/>
          <wp:positionH relativeFrom="column">
            <wp:posOffset>1028700</wp:posOffset>
          </wp:positionH>
          <wp:positionV relativeFrom="paragraph">
            <wp:posOffset>118745</wp:posOffset>
          </wp:positionV>
          <wp:extent cx="337185" cy="211455"/>
          <wp:effectExtent l="0" t="0" r="5715" b="0"/>
          <wp:wrapNone/>
          <wp:docPr id="174" name="Picture 10" descr="https://upload.wikimedia.org/wikipedia/commons/thumb/b/bf/Flag_of_Moldova_(3-2).svg/2000px-Flag_of_Moldova_(3-2)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0" descr="https://upload.wikimedia.org/wikipedia/commons/thumb/b/bf/Flag_of_Moldova_(3-2).svg/2000px-Flag_of_Moldova_(3-2).svg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" cy="21145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300409"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5D7E69FC" wp14:editId="2437B568">
          <wp:simplePos x="0" y="0"/>
          <wp:positionH relativeFrom="column">
            <wp:posOffset>1466982</wp:posOffset>
          </wp:positionH>
          <wp:positionV relativeFrom="paragraph">
            <wp:posOffset>118753</wp:posOffset>
          </wp:positionV>
          <wp:extent cx="318925" cy="211498"/>
          <wp:effectExtent l="0" t="0" r="5080" b="0"/>
          <wp:wrapNone/>
          <wp:docPr id="175" name="Picture 12" descr="Image result for ukraine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12" descr="Image result for ukraine fla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925" cy="21149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F39" w:rsidRDefault="007B4F39" w:rsidP="00E70980">
      <w:pPr>
        <w:spacing w:after="0" w:line="240" w:lineRule="auto"/>
      </w:pPr>
      <w:r>
        <w:separator/>
      </w:r>
    </w:p>
  </w:footnote>
  <w:footnote w:type="continuationSeparator" w:id="0">
    <w:p w:rsidR="007B4F39" w:rsidRDefault="007B4F39" w:rsidP="00E70980">
      <w:pPr>
        <w:spacing w:after="0" w:line="240" w:lineRule="auto"/>
      </w:pPr>
      <w:r>
        <w:continuationSeparator/>
      </w:r>
    </w:p>
  </w:footnote>
  <w:footnote w:id="1">
    <w:p w:rsidR="000D2AC0" w:rsidRPr="000D2AC0" w:rsidRDefault="000D2AC0">
      <w:pPr>
        <w:pStyle w:val="a8"/>
        <w:rPr>
          <w:lang w:val="en-US"/>
        </w:rPr>
      </w:pPr>
      <w:r>
        <w:rPr>
          <w:rStyle w:val="aa"/>
        </w:rPr>
        <w:footnoteRef/>
      </w:r>
      <w:r w:rsidRPr="000D2AC0">
        <w:rPr>
          <w:lang w:val="en-US"/>
        </w:rPr>
        <w:t xml:space="preserve"> </w:t>
      </w:r>
      <w:r>
        <w:rPr>
          <w:lang w:val="en-US"/>
        </w:rPr>
        <w:t xml:space="preserve">In case of other than stated Division Duplex scheme, the </w:t>
      </w:r>
      <w:r w:rsidR="002D68F1">
        <w:rPr>
          <w:lang w:val="en-US"/>
        </w:rPr>
        <w:t>relevant</w:t>
      </w:r>
      <w:r>
        <w:rPr>
          <w:lang w:val="en-US"/>
        </w:rPr>
        <w:t xml:space="preserve"> recommendations has to be taken into account</w:t>
      </w:r>
    </w:p>
  </w:footnote>
  <w:footnote w:id="2">
    <w:p w:rsidR="00DE4701" w:rsidRPr="00DE4701" w:rsidRDefault="00DE4701" w:rsidP="00DE4701">
      <w:pPr>
        <w:pStyle w:val="a8"/>
        <w:jc w:val="both"/>
        <w:rPr>
          <w:lang w:val="en-US"/>
        </w:rPr>
      </w:pPr>
      <w:r>
        <w:rPr>
          <w:rStyle w:val="aa"/>
        </w:rPr>
        <w:footnoteRef/>
      </w:r>
      <w:r w:rsidRPr="00DE4701">
        <w:rPr>
          <w:lang w:val="en-US"/>
        </w:rPr>
        <w:t xml:space="preserve"> Accepted interference: Interference at a higher level than that defined as permissible interference and which </w:t>
      </w:r>
      <w:proofErr w:type="gramStart"/>
      <w:r w:rsidRPr="00DE4701">
        <w:rPr>
          <w:lang w:val="en-US"/>
        </w:rPr>
        <w:t>has been agreed</w:t>
      </w:r>
      <w:proofErr w:type="gramEnd"/>
      <w:r w:rsidRPr="00DE4701">
        <w:rPr>
          <w:lang w:val="en-US"/>
        </w:rPr>
        <w:t xml:space="preserve"> upon between two or more administrations without prejudice to other administrations.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409" w:rsidRDefault="00300409" w:rsidP="00300409">
    <w:pPr>
      <w:pStyle w:val="a3"/>
      <w:ind w:left="-900"/>
    </w:pPr>
    <w:r>
      <w:rPr>
        <w:noProof/>
        <w:lang w:eastAsia="ru-RU"/>
      </w:rPr>
      <w:drawing>
        <wp:inline distT="0" distB="0" distL="0" distR="0" wp14:anchorId="0ABAE6C6" wp14:editId="4594E70C">
          <wp:extent cx="881315" cy="581668"/>
          <wp:effectExtent l="0" t="0" r="0" b="8890"/>
          <wp:docPr id="168" name="Bild" descr="Bild Description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" descr="Bild Description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7167" cy="59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                                            </w:t>
    </w:r>
    <w:r>
      <w:rPr>
        <w:noProof/>
        <w:lang w:eastAsia="ru-RU"/>
      </w:rPr>
      <w:drawing>
        <wp:inline distT="0" distB="0" distL="0" distR="0" wp14:anchorId="0DE5D8F0" wp14:editId="793AABB1">
          <wp:extent cx="1397407" cy="570016"/>
          <wp:effectExtent l="0" t="0" r="0" b="1905"/>
          <wp:docPr id="169" name="Bild" descr="Bild Description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" descr="Bild Description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/>
                  <a:srcRect b="24944"/>
                  <a:stretch/>
                </pic:blipFill>
                <pic:spPr bwMode="auto">
                  <a:xfrm>
                    <a:off x="0" y="0"/>
                    <a:ext cx="1431467" cy="58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US" w:eastAsia="ru-RU"/>
      </w:rPr>
      <w:t xml:space="preserve">                                         </w:t>
    </w:r>
    <w:r w:rsidRPr="00E70980">
      <w:rPr>
        <w:rFonts w:asciiTheme="majorHAnsi" w:hAnsiTheme="majorHAnsi"/>
        <w:sz w:val="44"/>
        <w:szCs w:val="44"/>
      </w:rPr>
      <w:object w:dxaOrig="4151" w:dyaOrig="20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48.95pt" o:ole="">
          <v:imagedata r:id="rId3" o:title=""/>
        </v:shape>
        <o:OLEObject Type="Embed" ProgID="CorelDraw.Graphic.19" ShapeID="_x0000_i1025" DrawAspect="Content" ObjectID="_1617695184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6506163"/>
    <w:multiLevelType w:val="hybridMultilevel"/>
    <w:tmpl w:val="D76CE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66E83"/>
    <w:multiLevelType w:val="hybridMultilevel"/>
    <w:tmpl w:val="E4FA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3374C"/>
    <w:multiLevelType w:val="multilevel"/>
    <w:tmpl w:val="F546017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1"/>
      <w:suff w:val="space"/>
      <w:lvlText w:val="%1.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Sub2"/>
      <w:suff w:val="space"/>
      <w:lvlText w:val="%1.%2.%3. 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46759E"/>
    <w:multiLevelType w:val="hybridMultilevel"/>
    <w:tmpl w:val="E836F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1C57"/>
    <w:multiLevelType w:val="hybridMultilevel"/>
    <w:tmpl w:val="C0782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0F"/>
    <w:rsid w:val="000256BD"/>
    <w:rsid w:val="0006484C"/>
    <w:rsid w:val="00067F6F"/>
    <w:rsid w:val="000B62A3"/>
    <w:rsid w:val="000D2AC0"/>
    <w:rsid w:val="0014360A"/>
    <w:rsid w:val="00184A5E"/>
    <w:rsid w:val="001A39F2"/>
    <w:rsid w:val="00271B43"/>
    <w:rsid w:val="002D68F1"/>
    <w:rsid w:val="00300409"/>
    <w:rsid w:val="003206DF"/>
    <w:rsid w:val="00323678"/>
    <w:rsid w:val="003B231D"/>
    <w:rsid w:val="003F120A"/>
    <w:rsid w:val="00440920"/>
    <w:rsid w:val="00464CA1"/>
    <w:rsid w:val="00516015"/>
    <w:rsid w:val="00650515"/>
    <w:rsid w:val="006511B3"/>
    <w:rsid w:val="00703BB1"/>
    <w:rsid w:val="007112AD"/>
    <w:rsid w:val="00772704"/>
    <w:rsid w:val="007B4F39"/>
    <w:rsid w:val="007E72F4"/>
    <w:rsid w:val="0081348D"/>
    <w:rsid w:val="008714B3"/>
    <w:rsid w:val="00875524"/>
    <w:rsid w:val="00880986"/>
    <w:rsid w:val="00887F7F"/>
    <w:rsid w:val="008A2308"/>
    <w:rsid w:val="008A46C5"/>
    <w:rsid w:val="00981BD0"/>
    <w:rsid w:val="009A1F8A"/>
    <w:rsid w:val="009F7611"/>
    <w:rsid w:val="00A02BCC"/>
    <w:rsid w:val="00A646AE"/>
    <w:rsid w:val="00BC0B6F"/>
    <w:rsid w:val="00C05323"/>
    <w:rsid w:val="00C57052"/>
    <w:rsid w:val="00C66ECA"/>
    <w:rsid w:val="00C94B93"/>
    <w:rsid w:val="00CB290F"/>
    <w:rsid w:val="00CF03A1"/>
    <w:rsid w:val="00D075E4"/>
    <w:rsid w:val="00D41AB4"/>
    <w:rsid w:val="00D86AF4"/>
    <w:rsid w:val="00DE4701"/>
    <w:rsid w:val="00E70980"/>
    <w:rsid w:val="00EE7AE9"/>
    <w:rsid w:val="00F10081"/>
    <w:rsid w:val="00F13D04"/>
    <w:rsid w:val="00F14157"/>
    <w:rsid w:val="00F97FE1"/>
    <w:rsid w:val="00F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34ED8-C3E6-46EC-9A3E-BB8A3179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B2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9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2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10"/>
    <w:qFormat/>
    <w:rsid w:val="00CB290F"/>
    <w:pPr>
      <w:numPr>
        <w:numId w:val="1"/>
      </w:numPr>
      <w:pBdr>
        <w:bottom w:val="single" w:sz="4" w:space="1" w:color="auto"/>
      </w:pBdr>
      <w:spacing w:before="480" w:after="240" w:line="240" w:lineRule="auto"/>
    </w:pPr>
    <w:rPr>
      <w:rFonts w:ascii="Sylfaen" w:hAnsi="Sylfaen"/>
      <w:b/>
      <w:bCs/>
      <w:color w:val="auto"/>
      <w:sz w:val="28"/>
      <w:szCs w:val="28"/>
      <w:lang w:val="ka-GE"/>
    </w:rPr>
  </w:style>
  <w:style w:type="paragraph" w:customStyle="1" w:styleId="Sub1">
    <w:name w:val="Sub1"/>
    <w:basedOn w:val="2"/>
    <w:qFormat/>
    <w:rsid w:val="00CB290F"/>
    <w:pPr>
      <w:numPr>
        <w:ilvl w:val="1"/>
        <w:numId w:val="1"/>
      </w:numPr>
      <w:pBdr>
        <w:bottom w:val="dotted" w:sz="4" w:space="1" w:color="auto"/>
      </w:pBdr>
      <w:spacing w:before="200" w:after="120" w:line="276" w:lineRule="auto"/>
    </w:pPr>
    <w:rPr>
      <w:rFonts w:ascii="Sylfaen" w:hAnsi="Sylfaen"/>
      <w:b/>
      <w:bCs/>
      <w:color w:val="auto"/>
      <w:lang w:val="ka-GE"/>
    </w:rPr>
  </w:style>
  <w:style w:type="paragraph" w:customStyle="1" w:styleId="Sub2">
    <w:name w:val="Sub2"/>
    <w:basedOn w:val="3"/>
    <w:qFormat/>
    <w:rsid w:val="00CB290F"/>
    <w:pPr>
      <w:numPr>
        <w:ilvl w:val="2"/>
        <w:numId w:val="1"/>
      </w:numPr>
      <w:spacing w:before="200" w:after="120" w:line="276" w:lineRule="auto"/>
    </w:pPr>
    <w:rPr>
      <w:rFonts w:ascii="Sylfaen" w:hAnsi="Sylfaen" w:cs="Sylfaen"/>
      <w:b/>
      <w:bCs/>
      <w:color w:val="auto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CB2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2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2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7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980"/>
  </w:style>
  <w:style w:type="paragraph" w:styleId="a5">
    <w:name w:val="footer"/>
    <w:basedOn w:val="a"/>
    <w:link w:val="a6"/>
    <w:uiPriority w:val="99"/>
    <w:unhideWhenUsed/>
    <w:rsid w:val="00E70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980"/>
  </w:style>
  <w:style w:type="paragraph" w:styleId="a7">
    <w:name w:val="List Paragraph"/>
    <w:basedOn w:val="a"/>
    <w:uiPriority w:val="34"/>
    <w:qFormat/>
    <w:rsid w:val="00F97FE1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E470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470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E4701"/>
    <w:rPr>
      <w:vertAlign w:val="superscript"/>
    </w:rPr>
  </w:style>
  <w:style w:type="table" w:styleId="ab">
    <w:name w:val="Table Grid"/>
    <w:basedOn w:val="a1"/>
    <w:uiPriority w:val="39"/>
    <w:rsid w:val="00025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gif"/><Relationship Id="rId1" Type="http://schemas.openxmlformats.org/officeDocument/2006/relationships/image" Target="media/image2.gif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034BF92-C023-47EE-A623-49EE2DF77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https://mul-mtc.gov.am/tasks/docs/attachment.php?id=237749&amp;fn=Memorandum.docx&amp;out=0&amp;token=6f52c9934ba16ffe9320</cp:keywords>
</cp:coreProperties>
</file>