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54" w:rsidRDefault="00A01A67">
      <w:pPr>
        <w:pStyle w:val="headingtitleStyle"/>
      </w:pPr>
      <w:bookmarkStart w:id="0" w:name="_Toc1"/>
      <w:r>
        <w:t>Ամփոփաթերթ</w:t>
      </w:r>
      <w:bookmarkEnd w:id="0"/>
    </w:p>
    <w:p w:rsidR="00910854" w:rsidRDefault="00A01A67">
      <w:pPr>
        <w:pStyle w:val="headingtitleStyle"/>
      </w:pPr>
      <w:bookmarkStart w:id="1" w:name="_Toc2"/>
      <w:r>
        <w:t xml:space="preserve">«Հայաստանի Հանրապետության վարչական դատավարության օրենսգրքում փոփոխություններ և լրացումներ </w:t>
      </w:r>
      <w:proofErr w:type="gramStart"/>
      <w:r>
        <w:t>կատարելու  մասին</w:t>
      </w:r>
      <w:proofErr w:type="gramEnd"/>
      <w:r>
        <w:t>» օրենքի և հարակից օրենքների նախագծեր նախագծի վերաբերյալ</w:t>
      </w:r>
      <w:bookmarkEnd w:id="1"/>
    </w:p>
    <w:p w:rsidR="00910854" w:rsidRDefault="00910854"/>
    <w:p w:rsidR="00910854" w:rsidRDefault="00910854"/>
    <w:p w:rsidR="00910854" w:rsidRDefault="00910854"/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454"/>
        <w:gridCol w:w="2167"/>
        <w:gridCol w:w="4957"/>
        <w:gridCol w:w="3466"/>
        <w:gridCol w:w="2873"/>
      </w:tblGrid>
      <w:tr w:rsidR="00910854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Default="00A01A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Default="00A01A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Default="00A01A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Default="00A01A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910854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10854" w:rsidRDefault="00910854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910854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Default="00A01A67">
            <w:pPr>
              <w:jc w:val="center"/>
            </w:pPr>
            <w:bookmarkStart w:id="2" w:name="_GoBack" w:colFirst="3" w:colLast="4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Justice Group</w:t>
            </w:r>
          </w:p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25.12.2018 18:39:24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Default="00A01A6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ԲՀՀ-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Արդարադատության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խմբի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կարծիքը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իրավակարգավորումների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25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դեկտեմբերի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2018թ․ 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նախագիծը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այսուհետ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ՀԿ)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տալիս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ռազմավարությունից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բխող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շահառուների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Ենթաօրենսդրական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իրավաչափությունը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վիճարկելու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․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2 -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լրացումներ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լրացումներ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)։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արտահայտած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դիրքորոշմամբ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հայտնել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ՀԿ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ռազմավարությունից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բխող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գործունեության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շրջանակներում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տեսանկյունից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ենթադրում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վիճարկել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Ենթաօրենսդրական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վիճարկել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անգործությունը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․․․ ՀՀ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2010թ.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սեպտեմբերի</w:t>
            </w:r>
            <w:proofErr w:type="spellEnd"/>
            <w:proofErr w:type="gram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7-ին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906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7-8-րդ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Սահ¬մանադրության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1-ին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ամրագրված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ժողովրդավարական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կայացման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համատեքստում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պետությունում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նշանակության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արտահայտել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դիրքորոշումը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 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հասարակությունն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ինքնուրույն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պետությունից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անկախ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մեխանիզմների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հարաբերությունների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համակարգ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պայման¬ներ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կոլեկտիվների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մասնավոր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պահանջ¬մունքների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բավարարման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բաղա¬դրատարր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հանդիսացող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կառուցակարգերի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շրջանակում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ուրույն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զբաղեցնում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Վերջիններիս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դերն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ինքնանպատակ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միավորումների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գործունեությունը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հիմնարար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ազատությունների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կոնվենցիայով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երկրորդ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կոլեկտիվների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մասնավոր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պահանջմունքների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իրացմանը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կառավարմանը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մասնակցելու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գործառույթ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երրորդ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հասա¬րակությունը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հսկողություն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վերահս¬կողություն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ինքնակառավարման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նկատմամբ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հանգամանքը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հատկապես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կարևորվում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կոլեկտիվ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սուբյեկտի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սուբյեկտիվ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իրավունք¬ների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խախտում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կյանքում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առաջնորդվելով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վերջիններիս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գործու¬նեության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արդյունավետության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բարձրացման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նկատառումներով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գտնում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օրենսգիրքը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շահագրգիռ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կանոնադրական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իրավասությամբ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օժտված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իրավաբանական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տվյալ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խախտված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actio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popularis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բողոքների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ինստիտուտի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առնչությամբ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զարգացումների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միտումները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իրավակարգավորումը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կնպաստեր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խախտված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արդյունավետությանը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կբարձրացներ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բաղադրատարրը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հանդիսացող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ուրիշի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խախտված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պաշտոնատար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սահմանելիս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կլինի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կազմակերպու¬թյուններին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նպատակներից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կոլեկտիվ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համայնքային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կոնկրետ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»: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ՀԿ-ն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191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շրջանակներում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ընդդատյա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ինքնակառավարման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պաշտոնատար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վիճարկման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գերատեսչական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համայնքի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ավագանու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համայնքի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ղեկավարի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համեմատ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բարձր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իրավաբանական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ուժ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Սահմանադրությունից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վիճարկելու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։ 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վկայակոչված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մեկնաբանությունից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կարելի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պնդել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տեսլականն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 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արժանապատվության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ժողովրդավարության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խաղաղության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գերակա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արժեքներով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ձևավորված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»,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ռազմավարական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բխում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տեսլականից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վիճարկելով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գործողությունները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անգործությունը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սահմանափակում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միջամտում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կեպ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վատթարացնում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ազատությունները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ՀԿ-ն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դատարաններում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վիճարկել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իրավաչափությունը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(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անբարենպաստ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ստեղծում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Pr="00F60785" w:rsidRDefault="00F60785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60785">
              <w:rPr>
                <w:rFonts w:ascii="Sylfaen" w:hAnsi="Sylfaen"/>
                <w:sz w:val="24"/>
                <w:szCs w:val="24"/>
              </w:rPr>
              <w:lastRenderedPageBreak/>
              <w:t>Ընդունվել</w:t>
            </w:r>
            <w:proofErr w:type="spellEnd"/>
            <w:r w:rsidRPr="00F60785">
              <w:rPr>
                <w:rFonts w:ascii="Sylfaen" w:hAnsi="Sylfaen"/>
                <w:sz w:val="24"/>
                <w:szCs w:val="24"/>
              </w:rPr>
              <w:t xml:space="preserve"> է ի </w:t>
            </w:r>
            <w:proofErr w:type="spellStart"/>
            <w:r w:rsidRPr="00F60785">
              <w:rPr>
                <w:rFonts w:ascii="Sylfaen" w:hAnsi="Sylfaen"/>
                <w:sz w:val="24"/>
                <w:szCs w:val="24"/>
              </w:rPr>
              <w:t>գիտություն</w:t>
            </w:r>
            <w:proofErr w:type="spellEnd"/>
            <w:r w:rsidRPr="00F60785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854" w:rsidRPr="004B52E9" w:rsidRDefault="004B52E9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Նախագիծն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ուղղված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է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ենթաօրենսդրական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նորմատիվ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իրավական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ակտերի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վիճարկման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վարույթի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բարեփոխմանը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իսկ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անհատական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ակտերի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վիճարկումը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դուրս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է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սույն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նախագծի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կարգավորման</w:t>
            </w:r>
            <w:r w:rsidRPr="004B52E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ոլորտից</w:t>
            </w:r>
            <w:r w:rsidRPr="004B52E9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bookmarkEnd w:id="2"/>
    </w:tbl>
    <w:p w:rsidR="00A01A67" w:rsidRDefault="00A01A67"/>
    <w:sectPr w:rsidR="00A01A67" w:rsidSect="00C863E3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910854"/>
    <w:rsid w:val="004B52E9"/>
    <w:rsid w:val="00910854"/>
    <w:rsid w:val="00A01A67"/>
    <w:rsid w:val="00C863E3"/>
    <w:rsid w:val="00F6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C863E3"/>
    <w:rPr>
      <w:vertAlign w:val="superscript"/>
    </w:rPr>
  </w:style>
  <w:style w:type="paragraph" w:customStyle="1" w:styleId="headingtitleStyle">
    <w:name w:val="heading titleStyle"/>
    <w:basedOn w:val="Normal"/>
    <w:rsid w:val="00C863E3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841</Words>
  <Characters>4800</Characters>
  <Application>Microsoft Office Word</Application>
  <DocSecurity>0</DocSecurity>
  <Lines>40</Lines>
  <Paragraphs>11</Paragraphs>
  <ScaleCrop>false</ScaleCrop>
  <Manager/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L-Petrosyan</cp:lastModifiedBy>
  <cp:revision>3</cp:revision>
  <dcterms:created xsi:type="dcterms:W3CDTF">2019-02-01T14:21:00Z</dcterms:created>
  <dcterms:modified xsi:type="dcterms:W3CDTF">2019-02-18T09:14:00Z</dcterms:modified>
  <cp:category/>
</cp:coreProperties>
</file>