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9" w:rsidRPr="00D069E7" w:rsidRDefault="005E0AB9" w:rsidP="00827706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D069E7">
        <w:rPr>
          <w:rFonts w:ascii="GHEA Grapalat" w:hAnsi="GHEA Grapalat"/>
          <w:color w:val="000000"/>
          <w:sz w:val="24"/>
          <w:szCs w:val="24"/>
        </w:rPr>
        <w:t>ՀԱՅԱՍՏԱՆԻ</w:t>
      </w:r>
      <w:r w:rsidRPr="00D069E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069E7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D069E7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D069E7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D069E7">
        <w:rPr>
          <w:rFonts w:ascii="GHEA Grapalat" w:hAnsi="GHEA Grapalat"/>
          <w:color w:val="000000"/>
          <w:sz w:val="24"/>
          <w:szCs w:val="24"/>
        </w:rPr>
        <w:t>ՕՐԵՆՔԸ</w:t>
      </w:r>
    </w:p>
    <w:p w:rsidR="005E0AB9" w:rsidRPr="00D069E7" w:rsidRDefault="005E0AB9" w:rsidP="005E0AB9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7544E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ՔԱՂԱՔԱՑԻԱԿԱՆ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ՕՐԵՆՍԳՐՔՈՒՄ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7544E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ԼՐԱՑՈՒՄ</w:t>
      </w:r>
      <w:r w:rsidR="00F152E4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ՆԵՐ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903CA9" w:rsidRPr="00D069E7" w:rsidRDefault="00903CA9" w:rsidP="00903CA9">
      <w:pPr>
        <w:pStyle w:val="Body"/>
        <w:widowControl w:val="0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9B03D7" w:rsidRPr="009B03D7" w:rsidRDefault="00903CA9" w:rsidP="009B03D7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27544E" w:rsidRPr="00D069E7">
        <w:rPr>
          <w:rFonts w:ascii="GHEA Grapalat" w:hAnsi="GHEA Grapalat"/>
          <w:sz w:val="24"/>
          <w:szCs w:val="24"/>
          <w:u w:color="000000"/>
          <w:lang w:val="hy-AM"/>
        </w:rPr>
        <w:t>1998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27544E" w:rsidRPr="00D069E7">
        <w:rPr>
          <w:rFonts w:ascii="GHEA Grapalat" w:hAnsi="GHEA Grapalat"/>
          <w:sz w:val="24"/>
          <w:szCs w:val="24"/>
          <w:u w:color="000000"/>
          <w:lang w:val="hy-AM"/>
        </w:rPr>
        <w:t>մայիսի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5-ի </w:t>
      </w:r>
      <w:r w:rsidR="0027544E" w:rsidRPr="00D069E7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B03D7"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>րք</w:t>
      </w:r>
      <w:r w:rsidR="009B03D7" w:rsidRPr="009B03D7">
        <w:rPr>
          <w:rFonts w:ascii="GHEA Grapalat" w:hAnsi="GHEA Grapalat"/>
          <w:sz w:val="24"/>
          <w:szCs w:val="24"/>
          <w:u w:color="000000"/>
          <w:lang w:val="hy-AM"/>
        </w:rPr>
        <w:t>ի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(այսուհետ՝ Օրենսգիրք</w:t>
      </w:r>
      <w:r w:rsidR="00A020F0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9B03D7" w:rsidRPr="009B03D7">
        <w:rPr>
          <w:rFonts w:ascii="GHEA Grapalat" w:hAnsi="GHEA Grapalat"/>
          <w:sz w:val="24"/>
          <w:szCs w:val="24"/>
          <w:u w:color="000000"/>
          <w:lang w:val="hy-AM"/>
        </w:rPr>
        <w:t>448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 w:rsidR="009B03D7">
        <w:rPr>
          <w:rFonts w:ascii="GHEA Grapalat" w:hAnsi="GHEA Grapalat"/>
          <w:sz w:val="24"/>
          <w:szCs w:val="24"/>
          <w:u w:color="000000"/>
          <w:lang w:val="hy-AM"/>
        </w:rPr>
        <w:t>հոդված</w:t>
      </w:r>
      <w:r w:rsidR="00185C3F" w:rsidRPr="00185C3F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="009B03D7" w:rsidRPr="009B03D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B03D7" w:rsidRPr="00D069E7">
        <w:rPr>
          <w:rFonts w:ascii="GHEA Grapalat" w:hAnsi="GHEA Grapalat"/>
          <w:sz w:val="24"/>
          <w:szCs w:val="24"/>
          <w:u w:color="000000"/>
          <w:lang w:val="hy-AM"/>
        </w:rPr>
        <w:t>լրացնել</w:t>
      </w:r>
      <w:r w:rsidR="009B03D7" w:rsidRPr="009B03D7">
        <w:rPr>
          <w:rFonts w:ascii="GHEA Grapalat" w:hAnsi="GHEA Grapalat"/>
          <w:sz w:val="24"/>
          <w:szCs w:val="24"/>
          <w:u w:color="000000"/>
          <w:lang w:val="hy-AM"/>
        </w:rPr>
        <w:t xml:space="preserve"> հետևյալ բովանդակությամբ 3-րդ մաս</w:t>
      </w:r>
      <w:r w:rsidR="00185C3F" w:rsidRPr="00185C3F">
        <w:rPr>
          <w:rFonts w:ascii="GHEA Grapalat" w:hAnsi="GHEA Grapalat"/>
          <w:sz w:val="24"/>
          <w:szCs w:val="24"/>
          <w:u w:color="000000"/>
          <w:lang w:val="hy-AM"/>
        </w:rPr>
        <w:t>ով</w:t>
      </w:r>
      <w:r w:rsidR="00AB0595" w:rsidRPr="00D069E7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8F68DC" w:rsidRPr="008574D8" w:rsidRDefault="009B03D7" w:rsidP="009B03D7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B03D7">
        <w:rPr>
          <w:rFonts w:ascii="GHEA Grapalat" w:hAnsi="GHEA Grapalat"/>
          <w:sz w:val="24"/>
          <w:szCs w:val="24"/>
          <w:u w:color="000000"/>
          <w:lang w:val="hy-AM"/>
        </w:rPr>
        <w:t>«3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>. Հայաստանի Հանրապետության</w:t>
      </w:r>
      <w:r w:rsidR="00F22A0A" w:rsidRPr="00F22A0A">
        <w:rPr>
          <w:rFonts w:ascii="GHEA Grapalat" w:hAnsi="GHEA Grapalat"/>
          <w:sz w:val="24"/>
          <w:szCs w:val="24"/>
          <w:u w:color="000000"/>
          <w:lang w:val="hy-AM"/>
        </w:rPr>
        <w:t xml:space="preserve">, 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ինչպես նաև Հայաստանի Հանրապետության մասնակցությամբ իրավաբանական </w:t>
      </w:r>
      <w:r w:rsidR="00F22A0A">
        <w:rPr>
          <w:rFonts w:ascii="GHEA Grapalat" w:hAnsi="GHEA Grapalat"/>
          <w:sz w:val="24"/>
          <w:szCs w:val="24"/>
          <w:u w:color="000000"/>
          <w:lang w:val="hy-AM"/>
        </w:rPr>
        <w:t>անձ</w:t>
      </w:r>
      <w:r w:rsidR="00F22A0A" w:rsidRPr="00F22A0A">
        <w:rPr>
          <w:rFonts w:ascii="GHEA Grapalat" w:hAnsi="GHEA Grapalat"/>
          <w:sz w:val="24"/>
          <w:szCs w:val="24"/>
          <w:u w:color="000000"/>
          <w:lang w:val="hy-AM"/>
        </w:rPr>
        <w:t>ի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հետ պայմանագիր կնքելիս պայմանագրի մյուս </w:t>
      </w:r>
      <w:r w:rsidR="0019007D">
        <w:rPr>
          <w:rFonts w:ascii="GHEA Grapalat" w:hAnsi="GHEA Grapalat"/>
          <w:sz w:val="24"/>
          <w:szCs w:val="24"/>
          <w:u w:color="000000"/>
          <w:lang w:val="hy-AM"/>
        </w:rPr>
        <w:t>կողմ</w:t>
      </w:r>
      <w:r w:rsidR="0019007D" w:rsidRPr="0019007D">
        <w:rPr>
          <w:rFonts w:ascii="GHEA Grapalat" w:hAnsi="GHEA Grapalat"/>
          <w:sz w:val="24"/>
          <w:szCs w:val="24"/>
          <w:u w:color="000000"/>
          <w:lang w:val="hy-AM"/>
        </w:rPr>
        <w:t xml:space="preserve"> հանդիսացող </w:t>
      </w:r>
      <w:r w:rsidR="0019007D" w:rsidRPr="00D069E7">
        <w:rPr>
          <w:rFonts w:ascii="GHEA Grapalat" w:hAnsi="GHEA Grapalat"/>
          <w:sz w:val="24"/>
          <w:szCs w:val="24"/>
          <w:u w:color="000000"/>
          <w:lang w:val="hy-AM"/>
        </w:rPr>
        <w:t>իրավաբանական անձ</w:t>
      </w:r>
      <w:r w:rsidR="0019007D" w:rsidRPr="0019007D">
        <w:rPr>
          <w:rFonts w:ascii="GHEA Grapalat" w:hAnsi="GHEA Grapalat"/>
          <w:sz w:val="24"/>
          <w:szCs w:val="24"/>
          <w:u w:color="000000"/>
          <w:lang w:val="hy-AM"/>
        </w:rPr>
        <w:t xml:space="preserve">ի ղեկավարը (գործադիր մարմինը) </w:t>
      </w:r>
      <w:r w:rsidR="008F68DC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պարտավոր է </w:t>
      </w:r>
      <w:r w:rsidRPr="009B03D7">
        <w:rPr>
          <w:rFonts w:ascii="GHEA Grapalat" w:hAnsi="GHEA Grapalat"/>
          <w:sz w:val="24"/>
          <w:szCs w:val="24"/>
          <w:u w:color="000000"/>
          <w:lang w:val="hy-AM"/>
        </w:rPr>
        <w:t xml:space="preserve">նախքան պայմանագիր կնքելը 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համապատասխանաբար </w:t>
      </w:r>
      <w:r w:rsidR="004745A4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հետ պայմանագիր կնքելիս՝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Հայաստանի Հանրապետության անունից հանդես եկող պետական մարմնին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>, իսկ</w:t>
      </w:r>
      <w:r w:rsidR="00CC7A95" w:rsidRPr="00CC7A95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4745A4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մասնակցությամբ իրավաբանական </w:t>
      </w:r>
      <w:r w:rsidR="004745A4">
        <w:rPr>
          <w:rFonts w:ascii="GHEA Grapalat" w:hAnsi="GHEA Grapalat"/>
          <w:sz w:val="24"/>
          <w:szCs w:val="24"/>
          <w:u w:color="000000"/>
          <w:lang w:val="hy-AM"/>
        </w:rPr>
        <w:t>անձ</w:t>
      </w:r>
      <w:r w:rsidR="004745A4" w:rsidRPr="00F22A0A">
        <w:rPr>
          <w:rFonts w:ascii="GHEA Grapalat" w:hAnsi="GHEA Grapalat"/>
          <w:sz w:val="24"/>
          <w:szCs w:val="24"/>
          <w:u w:color="000000"/>
          <w:lang w:val="hy-AM"/>
        </w:rPr>
        <w:t>ի</w:t>
      </w:r>
      <w:r w:rsidR="004745A4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հետ 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պայմանագիր կնքելիս՝ պետական գույքի կառավարման </w:t>
      </w:r>
      <w:r w:rsidR="004308D8">
        <w:rPr>
          <w:rFonts w:ascii="GHEA Grapalat" w:hAnsi="GHEA Grapalat"/>
          <w:sz w:val="24"/>
          <w:szCs w:val="24"/>
          <w:u w:color="000000"/>
          <w:lang w:val="hy-AM"/>
        </w:rPr>
        <w:t xml:space="preserve">լիազոր 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մարմնին </w:t>
      </w:r>
      <w:r w:rsidR="00F04AF3" w:rsidRPr="004308D8">
        <w:rPr>
          <w:rFonts w:ascii="GHEA Grapalat" w:hAnsi="GHEA Grapalat"/>
          <w:sz w:val="24"/>
          <w:szCs w:val="24"/>
          <w:u w:color="000000"/>
          <w:lang w:val="hy-AM"/>
        </w:rPr>
        <w:t>և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 այ</w:t>
      </w:r>
      <w:r w:rsidR="00F04AF3" w:rsidRPr="00F04AF3">
        <w:rPr>
          <w:rFonts w:ascii="GHEA Grapalat" w:hAnsi="GHEA Grapalat"/>
          <w:sz w:val="24"/>
          <w:szCs w:val="24"/>
          <w:u w:color="000000"/>
          <w:lang w:val="hy-AM"/>
        </w:rPr>
        <w:t>դ</w:t>
      </w:r>
      <w:r w:rsidR="004745A4" w:rsidRPr="004745A4">
        <w:rPr>
          <w:rFonts w:ascii="GHEA Grapalat" w:hAnsi="GHEA Grapalat"/>
          <w:sz w:val="24"/>
          <w:szCs w:val="24"/>
          <w:u w:color="000000"/>
          <w:lang w:val="hy-AM"/>
        </w:rPr>
        <w:t xml:space="preserve"> իրավաբանական անձին </w:t>
      </w:r>
      <w:r w:rsidR="008574D8" w:rsidRPr="009B03D7">
        <w:rPr>
          <w:rFonts w:ascii="GHEA Grapalat" w:hAnsi="GHEA Grapalat"/>
          <w:sz w:val="24"/>
          <w:szCs w:val="24"/>
          <w:u w:color="000000"/>
          <w:lang w:val="hy-AM"/>
        </w:rPr>
        <w:t xml:space="preserve">տրամադրել </w:t>
      </w:r>
      <w:r w:rsidRPr="009B03D7">
        <w:rPr>
          <w:rFonts w:ascii="GHEA Grapalat" w:hAnsi="GHEA Grapalat"/>
          <w:sz w:val="24"/>
          <w:szCs w:val="24"/>
          <w:u w:color="000000"/>
          <w:lang w:val="hy-AM"/>
        </w:rPr>
        <w:t>նոտարի մոտ արված</w:t>
      </w:r>
      <w:r w:rsidR="009B543E" w:rsidRPr="009B543E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9B03D7">
        <w:rPr>
          <w:rFonts w:ascii="GHEA Grapalat" w:hAnsi="GHEA Grapalat"/>
          <w:sz w:val="24"/>
          <w:szCs w:val="24"/>
          <w:u w:color="000000"/>
          <w:lang w:val="hy-AM"/>
        </w:rPr>
        <w:t>բանավոր հայտարարություն</w:t>
      </w:r>
      <w:r w:rsidR="009B543E" w:rsidRPr="009B543E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D026A" w:rsidRPr="00D069E7">
        <w:rPr>
          <w:rFonts w:ascii="GHEA Grapalat" w:hAnsi="GHEA Grapalat"/>
          <w:sz w:val="24"/>
          <w:szCs w:val="24"/>
          <w:u w:color="000000"/>
          <w:lang w:val="hy-AM"/>
        </w:rPr>
        <w:t>«Փողերի լվացման և ահաբեկչության ֆինանսավորման դեմ պայքարի մասին» օրենքի իմաստով</w:t>
      </w:r>
      <w:r w:rsidR="009D026A" w:rsidRPr="009D026A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B543E" w:rsidRPr="00D069E7">
        <w:rPr>
          <w:rFonts w:ascii="GHEA Grapalat" w:hAnsi="GHEA Grapalat"/>
          <w:sz w:val="24"/>
          <w:szCs w:val="24"/>
          <w:u w:color="000000"/>
          <w:lang w:val="hy-AM"/>
        </w:rPr>
        <w:t>իրական շահառու հանդիսացող անձ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9B543E" w:rsidRPr="00D069E7">
        <w:rPr>
          <w:rFonts w:ascii="GHEA Grapalat" w:hAnsi="GHEA Grapalat"/>
          <w:sz w:val="24"/>
          <w:szCs w:val="24"/>
          <w:u w:color="000000"/>
          <w:lang w:val="hy-AM"/>
        </w:rPr>
        <w:t>վերաբերյալ</w:t>
      </w:r>
      <w:r w:rsidR="0098159C" w:rsidRPr="0098159C">
        <w:rPr>
          <w:rFonts w:ascii="GHEA Grapalat" w:hAnsi="GHEA Grapalat"/>
          <w:sz w:val="24"/>
          <w:szCs w:val="24"/>
          <w:u w:color="000000"/>
          <w:lang w:val="hy-AM"/>
        </w:rPr>
        <w:t>,</w:t>
      </w:r>
      <w:r w:rsidR="00A42A3C" w:rsidRPr="00A42A3C">
        <w:rPr>
          <w:rFonts w:ascii="GHEA Grapalat" w:hAnsi="GHEA Grapalat"/>
          <w:sz w:val="24"/>
          <w:szCs w:val="24"/>
          <w:u w:color="000000"/>
          <w:lang w:val="hy-AM"/>
        </w:rPr>
        <w:t xml:space="preserve"> ինչպես նաև</w:t>
      </w:r>
      <w:r w:rsidR="00185C3F" w:rsidRPr="00185C3F">
        <w:rPr>
          <w:rFonts w:ascii="GHEA Grapalat" w:hAnsi="GHEA Grapalat"/>
          <w:sz w:val="24"/>
          <w:szCs w:val="24"/>
          <w:u w:color="000000"/>
          <w:lang w:val="hy-AM"/>
        </w:rPr>
        <w:t xml:space="preserve"> ներկայացնել</w:t>
      </w:r>
      <w:r w:rsidR="00A42A3C" w:rsidRPr="00A42A3C">
        <w:rPr>
          <w:rFonts w:ascii="GHEA Grapalat" w:hAnsi="GHEA Grapalat"/>
          <w:sz w:val="24"/>
          <w:szCs w:val="24"/>
          <w:u w:color="000000"/>
          <w:lang w:val="hy-AM"/>
        </w:rPr>
        <w:t xml:space="preserve"> գրավոր համաձայնություն՝ պայմանագրի կնքումից հետո սույն մասով սահմանված </w:t>
      </w:r>
      <w:r w:rsidR="00A42A3C">
        <w:rPr>
          <w:rFonts w:ascii="GHEA Grapalat" w:hAnsi="GHEA Grapalat"/>
          <w:sz w:val="24"/>
          <w:szCs w:val="24"/>
          <w:u w:color="000000"/>
          <w:lang w:val="hy-AM"/>
        </w:rPr>
        <w:t>տեղեկատվություն</w:t>
      </w:r>
      <w:r w:rsidR="00A42A3C" w:rsidRPr="00A42A3C">
        <w:rPr>
          <w:rFonts w:ascii="GHEA Grapalat" w:hAnsi="GHEA Grapalat"/>
          <w:sz w:val="24"/>
          <w:szCs w:val="24"/>
          <w:u w:color="000000"/>
          <w:lang w:val="hy-AM"/>
        </w:rPr>
        <w:t>ը հրապարակելու վերաբերյալ:</w:t>
      </w:r>
      <w:r w:rsidR="008574D8" w:rsidRPr="008574D8">
        <w:rPr>
          <w:rFonts w:ascii="GHEA Grapalat" w:hAnsi="GHEA Grapalat"/>
          <w:sz w:val="24"/>
          <w:szCs w:val="24"/>
          <w:u w:color="000000"/>
          <w:lang w:val="hy-AM"/>
        </w:rPr>
        <w:t>»:</w:t>
      </w:r>
    </w:p>
    <w:p w:rsidR="008574D8" w:rsidRPr="008574D8" w:rsidRDefault="008574D8" w:rsidP="009B03D7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F5273B" w:rsidRPr="008574D8" w:rsidRDefault="008574D8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Pr="008574D8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2</w:t>
      </w: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8574D8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>Օրենսգրքի 466-րդ հոդված</w:t>
      </w:r>
      <w:r w:rsidR="00185C3F" w:rsidRPr="00185C3F">
        <w:rPr>
          <w:rFonts w:ascii="GHEA Grapalat" w:hAnsi="GHEA Grapalat"/>
          <w:bCs/>
          <w:sz w:val="24"/>
          <w:szCs w:val="24"/>
          <w:u w:color="000000"/>
          <w:lang w:val="hy-AM"/>
        </w:rPr>
        <w:t>ը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լրացնել հետևյալ բովանդակությամբ 4-րդ </w:t>
      </w:r>
      <w:r w:rsidR="009B543E" w:rsidRPr="009B543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և 5-րդ 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>մաս</w:t>
      </w:r>
      <w:r w:rsidR="009B543E" w:rsidRPr="009B543E">
        <w:rPr>
          <w:rFonts w:ascii="GHEA Grapalat" w:hAnsi="GHEA Grapalat"/>
          <w:bCs/>
          <w:sz w:val="24"/>
          <w:szCs w:val="24"/>
          <w:u w:color="000000"/>
          <w:lang w:val="hy-AM"/>
        </w:rPr>
        <w:t>եր</w:t>
      </w:r>
      <w:r w:rsidR="00185C3F" w:rsidRPr="00185C3F">
        <w:rPr>
          <w:rFonts w:ascii="GHEA Grapalat" w:hAnsi="GHEA Grapalat"/>
          <w:bCs/>
          <w:sz w:val="24"/>
          <w:szCs w:val="24"/>
          <w:u w:color="000000"/>
          <w:lang w:val="hy-AM"/>
        </w:rPr>
        <w:t>ով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>.</w:t>
      </w:r>
    </w:p>
    <w:p w:rsidR="008574D8" w:rsidRPr="008574D8" w:rsidRDefault="008574D8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«4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.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 xml:space="preserve">Պայմանագրի կողմ հանդիսացող՝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անունից հանդես եկող պետական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մարմ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ին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, Հայաստանի Հանրապետության մասնակցությամբ իրավաբանական անձ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Pr="009B03D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 xml:space="preserve">կարող է միակողմանի </w:t>
      </w:r>
      <w:r>
        <w:rPr>
          <w:rFonts w:ascii="GHEA Grapalat" w:hAnsi="GHEA Grapalat"/>
          <w:sz w:val="24"/>
          <w:szCs w:val="24"/>
          <w:u w:color="000000"/>
          <w:lang w:val="hy-AM"/>
        </w:rPr>
        <w:t>հրաժարվել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 xml:space="preserve"> կնքված պայմանագրից, եթե՝</w:t>
      </w:r>
    </w:p>
    <w:p w:rsidR="008574D8" w:rsidRPr="008574D8" w:rsidRDefault="008574D8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1) սույն օրենսգրքի 448-րդ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հոդվածի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3-րդ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մասով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 xml:space="preserve">սահմանված դեպքերում 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t xml:space="preserve">իրական 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 xml:space="preserve">շահառուի վերաբերյալ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ներկայաց</w:t>
      </w:r>
      <w:r w:rsidR="00F94DA2" w:rsidRPr="00F94DA2">
        <w:rPr>
          <w:rFonts w:ascii="GHEA Grapalat" w:hAnsi="GHEA Grapalat"/>
          <w:sz w:val="24"/>
          <w:szCs w:val="24"/>
          <w:u w:color="000000"/>
          <w:lang w:val="hy-AM"/>
        </w:rPr>
        <w:t>վ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ել </w:t>
      </w:r>
      <w:r w:rsidR="00F94DA2" w:rsidRPr="00F94DA2">
        <w:rPr>
          <w:rFonts w:ascii="GHEA Grapalat" w:hAnsi="GHEA Grapalat"/>
          <w:sz w:val="24"/>
          <w:szCs w:val="24"/>
          <w:u w:color="000000"/>
          <w:lang w:val="hy-AM"/>
        </w:rPr>
        <w:t>են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կեղծ տեղեկություններ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8B19D7" w:rsidRPr="008574D8" w:rsidRDefault="008574D8" w:rsidP="008574D8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2) սույն օրենսգրքի 448-րդ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հոդվածի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3-րդ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մասով </w:t>
      </w:r>
      <w:r w:rsidRPr="008574D8">
        <w:rPr>
          <w:rFonts w:ascii="GHEA Grapalat" w:hAnsi="GHEA Grapalat"/>
          <w:sz w:val="24"/>
          <w:szCs w:val="24"/>
          <w:u w:color="000000"/>
          <w:lang w:val="hy-AM"/>
        </w:rPr>
        <w:t>սահմանված դեպքերում արված հայտարարությամբ ներկայացված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t xml:space="preserve">իրական շահառուի 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>փոփոխությ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t>ա</w:t>
      </w:r>
      <w:r w:rsidR="00FB5C2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ն 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դեպքում </w:t>
      </w:r>
      <w:r w:rsidR="00A657A1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փոփոխություն </w:t>
      </w:r>
      <w:r w:rsidR="00FB5C27" w:rsidRPr="00D069E7">
        <w:rPr>
          <w:rFonts w:ascii="GHEA Grapalat" w:hAnsi="GHEA Grapalat"/>
          <w:sz w:val="24"/>
          <w:szCs w:val="24"/>
          <w:u w:color="000000"/>
          <w:lang w:val="hy-AM"/>
        </w:rPr>
        <w:t>տեղի ունենալու</w:t>
      </w:r>
      <w:r w:rsidR="00A657A1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070BD7" w:rsidRPr="00070BD7">
        <w:rPr>
          <w:rFonts w:ascii="GHEA Grapalat" w:hAnsi="GHEA Grapalat"/>
          <w:sz w:val="24"/>
          <w:szCs w:val="24"/>
          <w:u w:color="000000"/>
          <w:lang w:val="hy-AM"/>
        </w:rPr>
        <w:t>օրվանի</w:t>
      </w:r>
      <w:r w:rsidR="00A657A1" w:rsidRPr="00D069E7">
        <w:rPr>
          <w:rFonts w:ascii="GHEA Grapalat" w:hAnsi="GHEA Grapalat"/>
          <w:sz w:val="24"/>
          <w:szCs w:val="24"/>
          <w:u w:color="000000"/>
          <w:lang w:val="hy-AM"/>
        </w:rPr>
        <w:t>ց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ոչ ուշ, քան </w:t>
      </w:r>
      <w:r w:rsidR="009D026A" w:rsidRPr="009D026A">
        <w:rPr>
          <w:rFonts w:ascii="GHEA Grapalat" w:hAnsi="GHEA Grapalat"/>
          <w:sz w:val="24"/>
          <w:szCs w:val="24"/>
          <w:u w:color="000000"/>
          <w:lang w:val="hy-AM"/>
        </w:rPr>
        <w:t>մեկամսյա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ժամկետում </w:t>
      </w:r>
      <w:r w:rsidR="009D026A" w:rsidRPr="009D026A">
        <w:rPr>
          <w:rFonts w:ascii="GHEA Grapalat" w:hAnsi="GHEA Grapalat"/>
          <w:sz w:val="24"/>
          <w:szCs w:val="24"/>
          <w:u w:color="000000"/>
          <w:lang w:val="hy-AM"/>
        </w:rPr>
        <w:t>չի ներկայաց</w:t>
      </w:r>
      <w:r w:rsidR="00F94DA2" w:rsidRPr="00F94DA2">
        <w:rPr>
          <w:rFonts w:ascii="GHEA Grapalat" w:hAnsi="GHEA Grapalat"/>
          <w:sz w:val="24"/>
          <w:szCs w:val="24"/>
          <w:u w:color="000000"/>
          <w:lang w:val="hy-AM"/>
        </w:rPr>
        <w:t>վ</w:t>
      </w:r>
      <w:r w:rsidR="009D026A" w:rsidRPr="009D026A">
        <w:rPr>
          <w:rFonts w:ascii="GHEA Grapalat" w:hAnsi="GHEA Grapalat"/>
          <w:sz w:val="24"/>
          <w:szCs w:val="24"/>
          <w:u w:color="000000"/>
          <w:lang w:val="hy-AM"/>
        </w:rPr>
        <w:t>ել նոր հայտարարություն</w:t>
      </w:r>
      <w:r w:rsidR="008B19D7" w:rsidRPr="00D069E7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9B543E" w:rsidRPr="009B543E" w:rsidRDefault="009B543E" w:rsidP="009B543E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B543E">
        <w:rPr>
          <w:rFonts w:ascii="GHEA Grapalat" w:hAnsi="GHEA Grapalat"/>
          <w:sz w:val="24"/>
          <w:szCs w:val="24"/>
          <w:u w:color="000000"/>
          <w:lang w:val="hy-AM"/>
        </w:rPr>
        <w:t>5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. Սույն հոդվածի </w:t>
      </w:r>
      <w:r w:rsidRPr="009B543E">
        <w:rPr>
          <w:rFonts w:ascii="GHEA Grapalat" w:hAnsi="GHEA Grapalat"/>
          <w:sz w:val="24"/>
          <w:szCs w:val="24"/>
          <w:u w:color="000000"/>
          <w:lang w:val="hy-AM"/>
        </w:rPr>
        <w:t>4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-</w:t>
      </w:r>
      <w:r w:rsidRPr="009B543E">
        <w:rPr>
          <w:rFonts w:ascii="GHEA Grapalat" w:hAnsi="GHEA Grapalat"/>
          <w:sz w:val="24"/>
          <w:szCs w:val="24"/>
          <w:u w:color="000000"/>
          <w:lang w:val="hy-AM"/>
        </w:rPr>
        <w:t>րդ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մասով սահմանված դեպքերում պայմանագրից միակողմանի հրաժարվելու իրավունքը ծագում է անկախ օրեն</w:t>
      </w:r>
      <w:r w:rsidR="0098159C">
        <w:rPr>
          <w:rFonts w:ascii="GHEA Grapalat" w:hAnsi="GHEA Grapalat"/>
          <w:sz w:val="24"/>
          <w:szCs w:val="24"/>
          <w:u w:color="000000"/>
          <w:lang w:val="hy-AM"/>
        </w:rPr>
        <w:t>քով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՝ պայմանագրի համապատասխան տեսակը կարգավորող նորմերով նման իրավունք նախատեսված չլինելու հանգամանքից:</w:t>
      </w:r>
      <w:r w:rsidRPr="009B543E">
        <w:rPr>
          <w:rFonts w:ascii="GHEA Grapalat" w:hAnsi="GHEA Grapalat"/>
          <w:sz w:val="24"/>
          <w:szCs w:val="24"/>
          <w:u w:color="000000"/>
          <w:lang w:val="hy-AM"/>
        </w:rPr>
        <w:t>»:</w:t>
      </w:r>
    </w:p>
    <w:p w:rsidR="008574D8" w:rsidRPr="009B543E" w:rsidRDefault="008574D8" w:rsidP="008574D8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783E7E" w:rsidRPr="00783E7E" w:rsidRDefault="00783E7E" w:rsidP="00783E7E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</w:t>
      </w:r>
      <w:r w:rsidRPr="00783E7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3</w:t>
      </w: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8574D8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>Օրենսգրքի</w:t>
      </w:r>
      <w:r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46</w:t>
      </w:r>
      <w:r w:rsidRPr="00783E7E">
        <w:rPr>
          <w:rFonts w:ascii="GHEA Grapalat" w:hAnsi="GHEA Grapalat"/>
          <w:bCs/>
          <w:sz w:val="24"/>
          <w:szCs w:val="24"/>
          <w:u w:color="000000"/>
          <w:lang w:val="hy-AM"/>
        </w:rPr>
        <w:t>9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-րդ հոդվածում լրացնել հետևյալ բովանդակությամբ </w:t>
      </w:r>
      <w:r w:rsidRPr="00783E7E">
        <w:rPr>
          <w:rFonts w:ascii="GHEA Grapalat" w:hAnsi="GHEA Grapalat"/>
          <w:bCs/>
          <w:sz w:val="24"/>
          <w:szCs w:val="24"/>
          <w:u w:color="000000"/>
          <w:lang w:val="hy-AM"/>
        </w:rPr>
        <w:t>6</w:t>
      </w:r>
      <w:r w:rsidRPr="009B543E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-րդ 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>մաս.</w:t>
      </w:r>
    </w:p>
    <w:p w:rsidR="002E0A93" w:rsidRPr="009B03D7" w:rsidRDefault="00783E7E" w:rsidP="00783E7E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783E7E">
        <w:rPr>
          <w:rFonts w:ascii="GHEA Grapalat" w:hAnsi="GHEA Grapalat"/>
          <w:sz w:val="24"/>
          <w:szCs w:val="24"/>
          <w:u w:color="000000"/>
          <w:lang w:val="hy-AM"/>
        </w:rPr>
        <w:t>«6</w:t>
      </w:r>
      <w:r w:rsidR="00712124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. 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Սույն </w:t>
      </w:r>
      <w:r w:rsidRPr="00783E7E">
        <w:rPr>
          <w:rFonts w:ascii="GHEA Grapalat" w:hAnsi="GHEA Grapalat"/>
          <w:sz w:val="24"/>
          <w:szCs w:val="24"/>
          <w:u w:color="000000"/>
          <w:lang w:val="hy-AM"/>
        </w:rPr>
        <w:t>օրենսգրքի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8574D8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466-րդ </w:t>
      </w:r>
      <w:r>
        <w:rPr>
          <w:rFonts w:ascii="GHEA Grapalat" w:hAnsi="GHEA Grapalat"/>
          <w:bCs/>
          <w:sz w:val="24"/>
          <w:szCs w:val="24"/>
          <w:u w:color="000000"/>
          <w:lang w:val="hy-AM"/>
        </w:rPr>
        <w:t>հոդված</w:t>
      </w:r>
      <w:r w:rsidRPr="00783E7E">
        <w:rPr>
          <w:rFonts w:ascii="GHEA Grapalat" w:hAnsi="GHEA Grapalat"/>
          <w:bCs/>
          <w:sz w:val="24"/>
          <w:szCs w:val="24"/>
          <w:u w:color="000000"/>
          <w:lang w:val="hy-AM"/>
        </w:rPr>
        <w:t>ի 4-րդ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մասով </w:t>
      </w:r>
      <w:r w:rsidRPr="00783E7E">
        <w:rPr>
          <w:rFonts w:ascii="GHEA Grapalat" w:hAnsi="GHEA Grapalat"/>
          <w:sz w:val="24"/>
          <w:szCs w:val="24"/>
          <w:u w:color="000000"/>
          <w:lang w:val="hy-AM"/>
        </w:rPr>
        <w:t>նախատես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ված </w:t>
      </w:r>
      <w:r w:rsidRPr="00783E7E">
        <w:rPr>
          <w:rFonts w:ascii="GHEA Grapalat" w:hAnsi="GHEA Grapalat"/>
          <w:sz w:val="24"/>
          <w:szCs w:val="24"/>
          <w:u w:color="000000"/>
          <w:lang w:val="hy-AM"/>
        </w:rPr>
        <w:t>հիմքերով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պայմանագրից միակողմանի հրաժարվելու դեպքում պայմանագիրը կնքած՝ Հայաստանի Հանրապետության անունից հանդես եկող պետական մարմինը, Հայաստանի Հանրապետության մասնակցությամբ իրավաբանական անձն իրավունք ունի մյուս կողմից պահանջել</w:t>
      </w:r>
      <w:r w:rsidR="00FB3295" w:rsidRPr="00FB3295">
        <w:rPr>
          <w:rFonts w:ascii="GHEA Grapalat" w:hAnsi="GHEA Grapalat"/>
          <w:sz w:val="24"/>
          <w:szCs w:val="24"/>
          <w:u w:color="000000"/>
          <w:lang w:val="hy-AM"/>
        </w:rPr>
        <w:t xml:space="preserve"> հատուցել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ու պայմանագրի լուծմամբ պատճառված </w:t>
      </w:r>
      <w:r w:rsidR="00FB3295">
        <w:rPr>
          <w:rFonts w:ascii="GHEA Grapalat" w:hAnsi="GHEA Grapalat"/>
          <w:sz w:val="24"/>
          <w:szCs w:val="24"/>
          <w:u w:color="000000"/>
          <w:lang w:val="hy-AM"/>
        </w:rPr>
        <w:t>վնասներ</w:t>
      </w:r>
      <w:r w:rsidR="00365F55" w:rsidRPr="00D069E7">
        <w:rPr>
          <w:rFonts w:ascii="GHEA Grapalat" w:hAnsi="GHEA Grapalat"/>
          <w:sz w:val="24"/>
          <w:szCs w:val="24"/>
          <w:u w:color="000000"/>
          <w:lang w:val="hy-AM"/>
        </w:rPr>
        <w:t>ը:</w:t>
      </w:r>
      <w:r w:rsidR="00712124" w:rsidRPr="00D069E7">
        <w:rPr>
          <w:rFonts w:ascii="GHEA Grapalat" w:hAnsi="GHEA Grapalat"/>
          <w:sz w:val="24"/>
          <w:szCs w:val="24"/>
          <w:u w:color="000000"/>
          <w:lang w:val="hy-AM"/>
        </w:rPr>
        <w:t>»:</w:t>
      </w:r>
    </w:p>
    <w:p w:rsidR="00472E83" w:rsidRPr="009B03D7" w:rsidRDefault="00472E83" w:rsidP="00D069E7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20806" w:rsidRPr="00D069E7" w:rsidRDefault="00820806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</w:t>
      </w:r>
      <w:r w:rsidR="00DF1F35"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783E7E" w:rsidRPr="00783E7E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4</w:t>
      </w: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Սույն օրենքն ուժի մեջ է մտնում պաշտոնական հրապարակման</w:t>
      </w:r>
      <w:r w:rsidR="00A1759A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օրվան</w:t>
      </w:r>
      <w:r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ը հաջորդող </w:t>
      </w:r>
      <w:r w:rsidR="00A1759A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տասներորդ </w:t>
      </w:r>
      <w:r w:rsidR="00C65DDB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օր</w:t>
      </w:r>
      <w:r w:rsidR="00A1759A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ը</w:t>
      </w:r>
      <w:r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C65DDB" w:rsidRPr="0098159C" w:rsidRDefault="00C65DDB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9D026A" w:rsidRPr="0098159C" w:rsidRDefault="009D026A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9D026A" w:rsidRPr="0098159C" w:rsidRDefault="009D026A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9D026A" w:rsidRPr="0098159C" w:rsidRDefault="009D026A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CC7A95" w:rsidRDefault="00CC7A95">
      <w:pPr>
        <w:rPr>
          <w:rFonts w:ascii="GHEA Grapalat" w:eastAsia="Arial Unicode MS" w:hAnsi="GHEA Grapalat" w:cs="Arial Unicode MS"/>
          <w:b/>
          <w:bCs/>
          <w:color w:val="000000"/>
          <w:sz w:val="24"/>
          <w:szCs w:val="24"/>
          <w:u w:color="000000"/>
          <w:lang w:val="hy-AM"/>
        </w:rPr>
      </w:pPr>
      <w:r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br w:type="page"/>
      </w:r>
    </w:p>
    <w:p w:rsidR="00CD2BBD" w:rsidRPr="00D069E7" w:rsidRDefault="00CD2BBD" w:rsidP="00CD2BBD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069E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ՀԱՅԱՍՏԱՆԻ ՀԱՆՐԱՊԵՏՈՒԹՅԱՆ</w:t>
      </w:r>
      <w:r w:rsidRPr="00D069E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D069E7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D069E7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CD2BBD" w:rsidRPr="00D069E7" w:rsidRDefault="002E0A93" w:rsidP="002E0A93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«ԳՆՈՒՄՆԵՐԻ ՄԱՍԻՆ» </w:t>
      </w:r>
      <w:r w:rsidR="00CD2BBD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ՕՐԵՆ</w:t>
      </w:r>
      <w:r w:rsidR="00CD2BBD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ՔՈՒՄ </w:t>
      </w:r>
      <w:r w:rsidR="008453A5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CD2BBD" w:rsidRPr="00D069E7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2E0A93" w:rsidRPr="00D069E7" w:rsidRDefault="002E0A93" w:rsidP="002E0A93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D2BBD" w:rsidRPr="003563B8" w:rsidRDefault="002E0A93" w:rsidP="002E0A93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«Գնումների մասին» Հայաստանի Հանրապետության 2016 թվականի դեկտեմբերի 16-ի ՀՕ-21-Ն օրենք</w:t>
      </w:r>
      <w:r w:rsidR="00712685" w:rsidRPr="00712685">
        <w:rPr>
          <w:rFonts w:ascii="GHEA Grapalat" w:hAnsi="GHEA Grapalat"/>
          <w:sz w:val="24"/>
          <w:szCs w:val="24"/>
          <w:u w:color="000000"/>
          <w:lang w:val="hy-AM"/>
        </w:rPr>
        <w:t>ի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712685" w:rsidRPr="00712685">
        <w:rPr>
          <w:rFonts w:ascii="GHEA Grapalat" w:hAnsi="GHEA Grapalat"/>
          <w:sz w:val="24"/>
          <w:szCs w:val="24"/>
          <w:u w:color="000000"/>
          <w:lang w:val="hy-AM"/>
        </w:rPr>
        <w:t xml:space="preserve">28-րդ </w:t>
      </w:r>
      <w:r w:rsidR="00712685">
        <w:rPr>
          <w:rFonts w:ascii="GHEA Grapalat" w:hAnsi="GHEA Grapalat"/>
          <w:sz w:val="24"/>
          <w:szCs w:val="24"/>
          <w:u w:color="000000"/>
          <w:lang w:val="hy-AM"/>
        </w:rPr>
        <w:t>հոդված</w:t>
      </w:r>
      <w:r w:rsidR="00712685" w:rsidRPr="00712685">
        <w:rPr>
          <w:rFonts w:ascii="GHEA Grapalat" w:hAnsi="GHEA Grapalat"/>
          <w:sz w:val="24"/>
          <w:szCs w:val="24"/>
          <w:u w:color="000000"/>
          <w:lang w:val="hy-AM"/>
        </w:rPr>
        <w:t>ի 2-րդ մասի 2-րդ կետի «բ» ենթակետ</w:t>
      </w:r>
      <w:r w:rsidR="003563B8" w:rsidRPr="003563B8">
        <w:rPr>
          <w:rFonts w:ascii="GHEA Grapalat" w:hAnsi="GHEA Grapalat"/>
          <w:sz w:val="24"/>
          <w:szCs w:val="24"/>
          <w:u w:color="000000"/>
          <w:lang w:val="hy-AM"/>
        </w:rPr>
        <w:t>ի առաջին նախադասությունը շարադրել հետևյալ խմբագրությամբ</w:t>
      </w:r>
      <w:r w:rsidRPr="00D069E7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3563B8" w:rsidRPr="003563B8" w:rsidRDefault="003563B8" w:rsidP="002E0A93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3563B8">
        <w:rPr>
          <w:rFonts w:ascii="GHEA Grapalat" w:hAnsi="GHEA Grapalat"/>
          <w:sz w:val="24"/>
          <w:szCs w:val="24"/>
          <w:u w:color="000000"/>
          <w:lang w:val="hy-AM"/>
        </w:rPr>
        <w:t xml:space="preserve">«բ. նոտարի մոտ </w:t>
      </w:r>
      <w:r w:rsidR="009D026A">
        <w:rPr>
          <w:rFonts w:ascii="GHEA Grapalat" w:hAnsi="GHEA Grapalat"/>
          <w:sz w:val="24"/>
          <w:szCs w:val="24"/>
          <w:u w:color="000000"/>
          <w:lang w:val="hy-AM"/>
        </w:rPr>
        <w:t>արված</w:t>
      </w:r>
      <w:r w:rsidR="009D026A" w:rsidRPr="009D026A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3563B8">
        <w:rPr>
          <w:rFonts w:ascii="GHEA Grapalat" w:hAnsi="GHEA Grapalat"/>
          <w:sz w:val="24"/>
          <w:szCs w:val="24"/>
          <w:u w:color="000000"/>
          <w:lang w:val="hy-AM"/>
        </w:rPr>
        <w:t xml:space="preserve">բանավոր հայտարարություն </w:t>
      </w:r>
      <w:r w:rsidR="009D026A" w:rsidRPr="00D069E7">
        <w:rPr>
          <w:rFonts w:ascii="GHEA Grapalat" w:hAnsi="GHEA Grapalat"/>
          <w:sz w:val="24"/>
          <w:szCs w:val="24"/>
          <w:u w:color="000000"/>
          <w:lang w:val="hy-AM"/>
        </w:rPr>
        <w:t>«Փողերի լվացման և ահաբեկչության ֆինանսավորման դեմ պայքարի մասին» օրենքի իմաստով</w:t>
      </w:r>
      <w:r w:rsidRPr="003563B8">
        <w:rPr>
          <w:rFonts w:ascii="GHEA Grapalat" w:hAnsi="GHEA Grapalat"/>
          <w:sz w:val="24"/>
          <w:szCs w:val="24"/>
          <w:u w:color="000000"/>
          <w:lang w:val="hy-AM"/>
        </w:rPr>
        <w:t xml:space="preserve"> իրական շահառու հանդիսացող անձանց վերաբերյալ:»:   </w:t>
      </w:r>
    </w:p>
    <w:p w:rsidR="00472E83" w:rsidRPr="009B03D7" w:rsidRDefault="00472E83" w:rsidP="002E0A93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2E0A93" w:rsidRPr="00D069E7" w:rsidRDefault="009D026A" w:rsidP="009D026A">
      <w:pPr>
        <w:pStyle w:val="Body"/>
        <w:widowControl w:val="0"/>
        <w:tabs>
          <w:tab w:val="left" w:pos="720"/>
          <w:tab w:val="left" w:pos="126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98159C">
        <w:rPr>
          <w:rFonts w:ascii="GHEA Grapalat" w:hAnsi="GHEA Grapalat"/>
          <w:sz w:val="24"/>
          <w:szCs w:val="24"/>
          <w:lang w:val="hy-AM"/>
        </w:rPr>
        <w:tab/>
      </w:r>
      <w:r w:rsidR="002E0A93"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 2.</w:t>
      </w:r>
      <w:r w:rsidR="002E0A93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A1759A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Սույն օրենքն ուժի մեջ է մտնում պաշտոնական հրապարակման օրվանը հաջորդող տասներորդ օրը</w:t>
      </w:r>
      <w:r w:rsidR="002E0A93"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2E0A93" w:rsidRPr="00D069E7" w:rsidRDefault="002E0A93" w:rsidP="002E0A93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2E0A93" w:rsidRPr="00D069E7" w:rsidRDefault="002E0A93" w:rsidP="002E0A93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</w:p>
    <w:p w:rsidR="00A1759A" w:rsidRPr="007D52E6" w:rsidRDefault="00D05F7B" w:rsidP="00CC33FD">
      <w:pP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4D180F" w:rsidRPr="00D069E7" w:rsidRDefault="004D180F" w:rsidP="004D180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69E7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4D180F" w:rsidRPr="00D069E7" w:rsidRDefault="004D180F" w:rsidP="004D180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EF7D09"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ՔԱՂԱՔԱՑԻԱԿԱՆ</w:t>
      </w: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ՕՐԵՆՍԳՐՔՈՒՄ</w:t>
      </w:r>
      <w:r w:rsidRPr="00D069E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F7D09" w:rsidRPr="00D069E7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8669B" w:rsidRPr="00D069E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D069E7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="008453A5" w:rsidRPr="008453A5">
        <w:rPr>
          <w:rFonts w:ascii="GHEA Grapalat" w:hAnsi="GHEA Grapalat"/>
          <w:b/>
          <w:caps/>
          <w:sz w:val="24"/>
          <w:szCs w:val="24"/>
          <w:lang w:val="hy-AM"/>
        </w:rPr>
        <w:t xml:space="preserve"> ԵՎ </w:t>
      </w:r>
      <w:r w:rsidR="002E0A93"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«ԳՆՈՒՄՆԵՐԻ ՄԱՍԻՆ» ՀԱՅԱՍՏԱՆԻ ՀԱՆՐԱՊԵՏՈՒԹՅԱՆ ՕՐԵՆՔՈՒՄ </w:t>
      </w:r>
      <w:r w:rsidR="00D14000" w:rsidRPr="00D14000">
        <w:rPr>
          <w:rFonts w:ascii="GHEA Grapalat" w:hAnsi="GHEA Grapalat"/>
          <w:b/>
          <w:caps/>
          <w:sz w:val="24"/>
          <w:szCs w:val="24"/>
          <w:lang w:val="hy-AM"/>
        </w:rPr>
        <w:t>ՓՈՓՈԽՈՒԹՅՈՒՆ</w:t>
      </w:r>
      <w:r w:rsidR="002E0A93"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ԿԱՏԱՐԵԼՈՒ ՄԱՍԻՆ</w:t>
      </w:r>
      <w:r w:rsidR="008453A5" w:rsidRPr="008453A5">
        <w:rPr>
          <w:rFonts w:ascii="GHEA Grapalat" w:hAnsi="GHEA Grapalat"/>
          <w:b/>
          <w:caps/>
          <w:sz w:val="24"/>
          <w:szCs w:val="24"/>
          <w:lang w:val="hy-AM"/>
        </w:rPr>
        <w:t xml:space="preserve">» 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>օրենք</w:t>
      </w:r>
      <w:r w:rsidR="002E0A93" w:rsidRPr="00D069E7">
        <w:rPr>
          <w:rFonts w:ascii="GHEA Grapalat" w:hAnsi="GHEA Grapalat"/>
          <w:b/>
          <w:caps/>
          <w:sz w:val="24"/>
          <w:szCs w:val="24"/>
          <w:lang w:val="hy-AM"/>
        </w:rPr>
        <w:t>ՆԵՐ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ի </w:t>
      </w:r>
      <w:r w:rsidRPr="00D069E7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4D180F" w:rsidRPr="00D069E7" w:rsidRDefault="004D180F" w:rsidP="004D180F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4D180F" w:rsidRPr="00D069E7" w:rsidRDefault="004D180F" w:rsidP="00F94DA2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069E7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D069E7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D069E7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D069E7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D069E7" w:rsidRPr="009D324B" w:rsidRDefault="003158C4" w:rsidP="00F94DA2">
      <w:pPr>
        <w:tabs>
          <w:tab w:val="left" w:pos="0"/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Ներկայումս քաղաքացիական հարաբերություններում պետության, համ</w:t>
      </w:r>
      <w:r w:rsidR="00185C3F">
        <w:rPr>
          <w:rFonts w:ascii="GHEA Grapalat" w:hAnsi="GHEA Grapalat"/>
          <w:sz w:val="24"/>
          <w:szCs w:val="24"/>
          <w:lang w:val="hy-AM"/>
        </w:rPr>
        <w:t>այնք</w:t>
      </w:r>
      <w:r w:rsidRPr="00D069E7">
        <w:rPr>
          <w:rFonts w:ascii="GHEA Grapalat" w:hAnsi="GHEA Grapalat"/>
          <w:sz w:val="24"/>
          <w:szCs w:val="24"/>
          <w:lang w:val="hy-AM"/>
        </w:rPr>
        <w:t>ի պետ</w:t>
      </w:r>
      <w:r w:rsidR="00184F41" w:rsidRPr="00184F41">
        <w:rPr>
          <w:rFonts w:ascii="GHEA Grapalat" w:hAnsi="GHEA Grapalat"/>
          <w:sz w:val="24"/>
          <w:szCs w:val="24"/>
          <w:lang w:val="hy-AM"/>
        </w:rPr>
        <w:t>ության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մասնակցությամբ կազմակերպությունների </w:t>
      </w:r>
      <w:r w:rsidR="00025DFC" w:rsidRPr="00D069E7">
        <w:rPr>
          <w:rFonts w:ascii="GHEA Grapalat" w:hAnsi="GHEA Grapalat"/>
          <w:sz w:val="24"/>
          <w:szCs w:val="24"/>
          <w:lang w:val="hy-AM"/>
        </w:rPr>
        <w:t xml:space="preserve">հետ </w:t>
      </w:r>
      <w:r w:rsidRPr="00D069E7">
        <w:rPr>
          <w:rFonts w:ascii="GHEA Grapalat" w:hAnsi="GHEA Grapalat"/>
          <w:sz w:val="24"/>
          <w:szCs w:val="24"/>
          <w:lang w:val="hy-AM"/>
        </w:rPr>
        <w:t>պայմանագրեր</w:t>
      </w:r>
      <w:r w:rsidR="00025DFC" w:rsidRPr="00D069E7">
        <w:rPr>
          <w:rFonts w:ascii="GHEA Grapalat" w:hAnsi="GHEA Grapalat"/>
          <w:sz w:val="24"/>
          <w:szCs w:val="24"/>
          <w:lang w:val="hy-AM"/>
        </w:rPr>
        <w:t xml:space="preserve"> կնքելիս վերջիններիս և իրենց կոնտրագենտների </w:t>
      </w:r>
      <w:r w:rsidR="00184F41" w:rsidRPr="00184F41">
        <w:rPr>
          <w:rFonts w:ascii="GHEA Grapalat" w:hAnsi="GHEA Grapalat"/>
          <w:sz w:val="24"/>
          <w:szCs w:val="24"/>
          <w:lang w:val="hy-AM"/>
        </w:rPr>
        <w:t>շահերի բախման բացահայտմա</w:t>
      </w:r>
      <w:r w:rsidR="00184F41" w:rsidRPr="0099555C">
        <w:rPr>
          <w:rFonts w:ascii="GHEA Grapalat" w:hAnsi="GHEA Grapalat"/>
          <w:sz w:val="24"/>
          <w:szCs w:val="24"/>
          <w:lang w:val="hy-AM"/>
        </w:rPr>
        <w:t>ն</w:t>
      </w:r>
      <w:r w:rsidR="00184F41" w:rsidRPr="00184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տեսանկյունից </w:t>
      </w:r>
      <w:r w:rsidR="00025DFC" w:rsidRPr="00D069E7">
        <w:rPr>
          <w:rFonts w:ascii="GHEA Grapalat" w:hAnsi="GHEA Grapalat"/>
          <w:sz w:val="24"/>
          <w:szCs w:val="24"/>
          <w:lang w:val="hy-AM"/>
        </w:rPr>
        <w:t>քաղաքացիական օրենսդրությունը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հստակ մեխանիզմներ </w:t>
      </w:r>
      <w:r w:rsidR="00025DFC" w:rsidRPr="00D069E7">
        <w:rPr>
          <w:rFonts w:ascii="GHEA Grapalat" w:hAnsi="GHEA Grapalat"/>
          <w:sz w:val="24"/>
          <w:szCs w:val="24"/>
          <w:lang w:val="hy-AM"/>
        </w:rPr>
        <w:t>չի սահմանում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069E7" w:rsidRPr="009D324B" w:rsidRDefault="00025DFC" w:rsidP="00025DFC">
      <w:pPr>
        <w:tabs>
          <w:tab w:val="left" w:pos="0"/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ՀՀ ք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>աղաքացիական օրենսգրքի վերլուծությունը ցույց է տալիս, որ պետության</w:t>
      </w:r>
      <w:r w:rsidR="00CC7A95" w:rsidRPr="00CC7A9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99555C" w:rsidRPr="00D069E7">
        <w:rPr>
          <w:rFonts w:ascii="GHEA Grapalat" w:hAnsi="GHEA Grapalat"/>
          <w:sz w:val="24"/>
          <w:szCs w:val="24"/>
          <w:lang w:val="hy-AM"/>
        </w:rPr>
        <w:t>պետ</w:t>
      </w:r>
      <w:r w:rsidR="0099555C" w:rsidRPr="00184F41">
        <w:rPr>
          <w:rFonts w:ascii="GHEA Grapalat" w:hAnsi="GHEA Grapalat"/>
          <w:sz w:val="24"/>
          <w:szCs w:val="24"/>
          <w:lang w:val="hy-AM"/>
        </w:rPr>
        <w:t>ության</w:t>
      </w:r>
      <w:r w:rsidR="0099555C" w:rsidRPr="00D069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>մասնակցությամբ կազմակերպությունների՝ այլ կոնտրագենտների հետ պայմանագիր կնքելիս վերջինիս իրական շահառուների վերաբերյալ տեղեկություններ</w:t>
      </w:r>
      <w:r w:rsidRPr="00D069E7">
        <w:rPr>
          <w:rFonts w:ascii="GHEA Grapalat" w:hAnsi="GHEA Grapalat"/>
          <w:sz w:val="24"/>
          <w:szCs w:val="24"/>
          <w:lang w:val="hy-AM"/>
        </w:rPr>
        <w:t>ը կարող են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sz w:val="24"/>
          <w:szCs w:val="24"/>
          <w:lang w:val="hy-AM"/>
        </w:rPr>
        <w:t>մնալ չբացահայտված, ինչը խոչընդոտում է հատկապես պետության մասնակցությամբ կազմակերպությունների ֆինանսատնտեսական գործունեության թափանցիկությանը, կոնտրագենտների և պաշտոնատար անձանց շահերի բախման</w:t>
      </w:r>
      <w:r w:rsidR="009072BC" w:rsidRPr="00D069E7">
        <w:rPr>
          <w:rFonts w:ascii="GHEA Grapalat" w:hAnsi="GHEA Grapalat"/>
          <w:sz w:val="24"/>
          <w:szCs w:val="24"/>
          <w:lang w:val="hy-AM"/>
        </w:rPr>
        <w:t>, կոռուպցիոն դեպքերի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և այլ չարաշահումների բացառմանը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25DFC" w:rsidRPr="009B03D7" w:rsidRDefault="00025DFC" w:rsidP="00025DFC">
      <w:pPr>
        <w:tabs>
          <w:tab w:val="left" w:pos="0"/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Չնայած կողմերը կարող են պայմանագրային հարաբերությունների շրջանակ</w:t>
      </w:r>
      <w:r w:rsidR="0085574D" w:rsidRPr="00D069E7">
        <w:rPr>
          <w:rFonts w:ascii="GHEA Grapalat" w:hAnsi="GHEA Grapalat"/>
          <w:sz w:val="24"/>
          <w:szCs w:val="24"/>
          <w:lang w:val="hy-AM"/>
        </w:rPr>
        <w:t>ներ</w:t>
      </w:r>
      <w:r w:rsidRPr="00D069E7">
        <w:rPr>
          <w:rFonts w:ascii="GHEA Grapalat" w:hAnsi="GHEA Grapalat"/>
          <w:sz w:val="24"/>
          <w:szCs w:val="24"/>
          <w:lang w:val="hy-AM"/>
        </w:rPr>
        <w:t>ում պայմանագրով նախատեսել նման տեղեկությունների բացահայտման մեխանիզմներ, սակայն</w:t>
      </w:r>
      <w:r w:rsidR="0099555C" w:rsidRPr="0099555C">
        <w:rPr>
          <w:rFonts w:ascii="GHEA Grapalat" w:hAnsi="GHEA Grapalat"/>
          <w:sz w:val="24"/>
          <w:szCs w:val="24"/>
          <w:lang w:val="hy-AM"/>
        </w:rPr>
        <w:t>,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հաշվի առնելով պետության մասնակցությամբ քաղաքացիական հարաբերությունների առանձնահատկություններն ու կարևորությունը՝ խ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>նդիրը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պահանջում է օրենսդրական իմպերատիվ հստակ լուծումներ</w:t>
      </w:r>
      <w:r w:rsidR="009072BC" w:rsidRPr="00D069E7">
        <w:rPr>
          <w:rFonts w:ascii="GHEA Grapalat" w:hAnsi="GHEA Grapalat"/>
          <w:sz w:val="24"/>
          <w:szCs w:val="24"/>
          <w:lang w:val="hy-AM"/>
        </w:rPr>
        <w:t>՝ հարցը չթողնելով կողմերի կամահայտնությանը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D324B" w:rsidRPr="0099555C" w:rsidRDefault="00025DFC" w:rsidP="009D324B">
      <w:pPr>
        <w:tabs>
          <w:tab w:val="left" w:pos="0"/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Հարկ է նշել, որ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74D" w:rsidRPr="00D069E7">
        <w:rPr>
          <w:rFonts w:ascii="GHEA Grapalat" w:hAnsi="GHEA Grapalat"/>
          <w:sz w:val="24"/>
          <w:szCs w:val="24"/>
          <w:lang w:val="hy-AM"/>
        </w:rPr>
        <w:t xml:space="preserve">վերոնշյալ խնդիրը 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մասամբ կարգավորված է </w:t>
      </w:r>
      <w:r w:rsidR="0085574D" w:rsidRPr="00D069E7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գնումների գործընթացում, մասնավորապես՝ </w:t>
      </w:r>
      <w:r w:rsidR="0085574D" w:rsidRPr="00D069E7">
        <w:rPr>
          <w:rFonts w:ascii="GHEA Grapalat" w:hAnsi="GHEA Grapalat"/>
          <w:sz w:val="24"/>
          <w:szCs w:val="24"/>
          <w:lang w:val="hy-AM"/>
        </w:rPr>
        <w:t xml:space="preserve">«Գնումների մասին» ՀՕ-21-Ն օրենքով (28-րդ հոդվածի 2-րդ մասի 2-րդ կետի «բ» ենթակետ) ներդրվել է գնման գործընթացներում պաշտոնյաների հետ փոխկապակցված անձանց գնումներին մասնակցելու դեպքերը հնարավորինս բացառող համակարգ, որով նախատեսվում է, որ մասնակիցը պետք է հայտով ներկայացնի իրական սեփականատերերի վերաբերյալ տվյալները: </w:t>
      </w:r>
      <w:r w:rsidR="00472E83" w:rsidRPr="009B03D7">
        <w:rPr>
          <w:rFonts w:ascii="GHEA Grapalat" w:hAnsi="GHEA Grapalat"/>
          <w:sz w:val="24"/>
          <w:szCs w:val="24"/>
          <w:lang w:val="hy-AM"/>
        </w:rPr>
        <w:t>Բարձրացված խնդիրը, սակայն, գնումներից բացի այլ պայմանագրային հարաբերություններում մնում է չլուծված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>, իսկ գնումների գործընթացում բացահայտման ենթակա՝ մասնակցի իրական շահառուների շրջանակը բավականին նեղ է</w:t>
      </w:r>
      <w:r w:rsidR="0099555C" w:rsidRPr="0099555C">
        <w:rPr>
          <w:rFonts w:ascii="GHEA Grapalat" w:hAnsi="GHEA Grapalat"/>
          <w:sz w:val="24"/>
          <w:szCs w:val="24"/>
          <w:lang w:val="hy-AM"/>
        </w:rPr>
        <w:t xml:space="preserve">, ի տարբերություն, օրինակ, «Փողերի լվացման և ահաբեկչության ֆինասնավորման մասին» օրենքի իմաստով որպես կազմակերպությունների իրական շահառու դիտարկվող անձանց շրջանակի: </w:t>
      </w:r>
    </w:p>
    <w:p w:rsidR="00DE5CB0" w:rsidRPr="00D069E7" w:rsidRDefault="009072BC" w:rsidP="009072BC">
      <w:pPr>
        <w:tabs>
          <w:tab w:val="left" w:pos="0"/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Հատկանշական է, որ պ</w:t>
      </w:r>
      <w:r w:rsidR="003158C4" w:rsidRPr="00D069E7">
        <w:rPr>
          <w:rFonts w:ascii="GHEA Grapalat" w:hAnsi="GHEA Grapalat"/>
          <w:sz w:val="24"/>
          <w:szCs w:val="24"/>
          <w:lang w:val="hy-AM"/>
        </w:rPr>
        <w:t xml:space="preserve">ետական մասնակցությամբ կազմակերպությունների գործունեության թափանցիկության խնդրի կարևորությունը ընդգծվում է նաև միջազգային պրակտիկայում: Այսպես՝ </w:t>
      </w:r>
      <w:r w:rsidR="00DE5CB0" w:rsidRPr="00D069E7">
        <w:rPr>
          <w:rFonts w:ascii="GHEA Grapalat" w:hAnsi="GHEA Grapalat"/>
          <w:sz w:val="24"/>
          <w:szCs w:val="24"/>
          <w:lang w:val="hy-AM"/>
        </w:rPr>
        <w:t>OECD (Organisation for Economic Co-operation and Develompent) 2015 թվականի «Պետական մասնակցությամբ կազմակերպությունների կորպորատիվ կառավարման մասին»</w:t>
      </w:r>
      <w:r w:rsidR="00DE5CB0" w:rsidRPr="00D069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5CB0" w:rsidRPr="00D069E7">
        <w:rPr>
          <w:rFonts w:ascii="GHEA Grapalat" w:hAnsi="GHEA Grapalat"/>
          <w:sz w:val="24"/>
          <w:szCs w:val="24"/>
          <w:lang w:val="hy-AM"/>
        </w:rPr>
        <w:t>ուղեցույցը առաջարկում է պետություններին ջանքեր գործադրել պետական մասնակցությամբ կազմակերպությունների հատվածում թափանցիկությունը և հաշվետվողականությունը բարձրացնելու ուղղությամբ</w:t>
      </w:r>
      <w:r w:rsidR="00DE5CB0" w:rsidRPr="00D069E7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="00DE5CB0" w:rsidRPr="00D069E7">
        <w:rPr>
          <w:rFonts w:ascii="GHEA Grapalat" w:hAnsi="GHEA Grapalat"/>
          <w:sz w:val="24"/>
          <w:szCs w:val="24"/>
          <w:lang w:val="hy-AM"/>
        </w:rPr>
        <w:t>: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CB0" w:rsidRPr="00D069E7">
        <w:rPr>
          <w:rFonts w:ascii="GHEA Grapalat" w:hAnsi="GHEA Grapalat"/>
          <w:sz w:val="24"/>
          <w:szCs w:val="24"/>
          <w:lang w:val="hy-AM"/>
        </w:rPr>
        <w:t xml:space="preserve">2015 թվականից առ այսօր եվրոպական պետությունները համապատասխան օրենսդրական փոփոխությունների միջոցով քայլեր են ձեռնարկում պետական մասնակցությամբ կազմակերպությունների ոլորտում հաշվետվողականությունը և թափանցիկությունն ապահովելու ուղղությամբ: </w:t>
      </w:r>
    </w:p>
    <w:p w:rsidR="00DE5CB0" w:rsidRPr="009D324B" w:rsidRDefault="009072BC" w:rsidP="00DE5CB0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>Ավելին՝</w:t>
      </w:r>
      <w:r w:rsidR="00DE5CB0" w:rsidRPr="00D069E7">
        <w:rPr>
          <w:rFonts w:ascii="GHEA Grapalat" w:hAnsi="GHEA Grapalat"/>
          <w:sz w:val="24"/>
          <w:szCs w:val="24"/>
          <w:lang w:val="hy-AM"/>
        </w:rPr>
        <w:t xml:space="preserve"> Ռուսաստանի Դաշնության կառավարությունը 30.12.2011 թվականի որոշմամբ պարտավորեցրե</w:t>
      </w:r>
      <w:r w:rsidRPr="00D069E7">
        <w:rPr>
          <w:rFonts w:ascii="GHEA Grapalat" w:hAnsi="GHEA Grapalat"/>
          <w:sz w:val="24"/>
          <w:szCs w:val="24"/>
          <w:lang w:val="hy-AM"/>
        </w:rPr>
        <w:t>լ է</w:t>
      </w:r>
      <w:r w:rsidR="00DE5CB0" w:rsidRPr="00D069E7">
        <w:rPr>
          <w:rFonts w:ascii="GHEA Grapalat" w:hAnsi="GHEA Grapalat"/>
          <w:sz w:val="24"/>
          <w:szCs w:val="24"/>
          <w:lang w:val="hy-AM"/>
        </w:rPr>
        <w:t xml:space="preserve"> պետական մասնակցությամբ ընկերություններին և պետական բանկերին բացահայտելու իրենց կոնտրագենտների բենեֆիցիարներին վերաբերող ամբողջ տեղեկատվությունը, որը հայտնի է որպես Know your client (KYC) ընթացակարգ: </w:t>
      </w:r>
    </w:p>
    <w:p w:rsidR="00851E8D" w:rsidRPr="00070BD7" w:rsidRDefault="009072BC" w:rsidP="00070BD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069E7">
        <w:rPr>
          <w:rFonts w:ascii="GHEA Grapalat" w:hAnsi="GHEA Grapalat"/>
          <w:sz w:val="24"/>
          <w:szCs w:val="24"/>
          <w:lang w:val="hy-AM"/>
        </w:rPr>
        <w:t xml:space="preserve">Վերոգրյալը վկայում է </w:t>
      </w:r>
      <w:r w:rsidRPr="009B03D7">
        <w:rPr>
          <w:rFonts w:ascii="GHEA Grapalat" w:hAnsi="GHEA Grapalat"/>
          <w:sz w:val="24"/>
          <w:szCs w:val="24"/>
          <w:lang w:val="hy-AM"/>
        </w:rPr>
        <w:t>ՀՀ քաղաքացիական օրենսգրքում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«Գնումների մասին»</w:t>
      </w:r>
      <w:r w:rsidRPr="009B03D7">
        <w:rPr>
          <w:rFonts w:ascii="GHEA Grapalat" w:hAnsi="GHEA Grapalat"/>
          <w:sz w:val="24"/>
          <w:szCs w:val="24"/>
          <w:lang w:val="hy-AM"/>
        </w:rPr>
        <w:t xml:space="preserve"> օրենքում </w:t>
      </w:r>
      <w:r w:rsidRPr="00D069E7">
        <w:rPr>
          <w:rFonts w:ascii="GHEA Grapalat" w:hAnsi="GHEA Grapalat"/>
          <w:sz w:val="24"/>
          <w:szCs w:val="24"/>
          <w:lang w:val="hy-AM"/>
        </w:rPr>
        <w:t>փոփոխություներ և լրացումներ կատարելու անհրաժեշտության մասին:</w:t>
      </w:r>
    </w:p>
    <w:p w:rsidR="004D180F" w:rsidRPr="00D53E31" w:rsidRDefault="004D180F" w:rsidP="004308D8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069E7">
        <w:rPr>
          <w:rFonts w:ascii="GHEA Grapalat" w:hAnsi="GHEA Grapalat" w:cs="Sylfaen"/>
          <w:b/>
          <w:sz w:val="24"/>
          <w:szCs w:val="24"/>
          <w:lang w:val="hy-AM"/>
        </w:rPr>
        <w:tab/>
        <w:t>2. Առաջարկվող կարգավորման բնույթը</w:t>
      </w:r>
    </w:p>
    <w:p w:rsidR="00055CC6" w:rsidRPr="00D53E31" w:rsidRDefault="00D069E7" w:rsidP="004308D8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3E31">
        <w:rPr>
          <w:rFonts w:ascii="GHEA Grapalat" w:hAnsi="GHEA Grapalat"/>
          <w:sz w:val="24"/>
          <w:szCs w:val="24"/>
          <w:lang w:val="hy-AM"/>
        </w:rPr>
        <w:tab/>
      </w:r>
      <w:r w:rsidR="00055CC6" w:rsidRPr="00D069E7">
        <w:rPr>
          <w:rFonts w:ascii="GHEA Grapalat" w:hAnsi="GHEA Grapalat"/>
          <w:sz w:val="24"/>
          <w:szCs w:val="24"/>
          <w:lang w:val="hy-AM"/>
        </w:rPr>
        <w:t>«Հայաստանի Հանրապետության քաղաքացիական օրենսգրքում լրացումներ կատարելու մասին»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55CC6" w:rsidRPr="00D069E7">
        <w:rPr>
          <w:rFonts w:ascii="GHEA Grapalat" w:hAnsi="GHEA Grapalat"/>
          <w:sz w:val="24"/>
          <w:szCs w:val="24"/>
          <w:lang w:val="hy-AM"/>
        </w:rPr>
        <w:t xml:space="preserve"> «Գնումների մասին» Հայաստանի Հանրապետության օրենքում 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>փոփոխություն</w:t>
      </w:r>
      <w:r w:rsidR="00055CC6" w:rsidRPr="00D069E7">
        <w:rPr>
          <w:rFonts w:ascii="GHEA Grapalat" w:hAnsi="GHEA Grapalat"/>
          <w:sz w:val="24"/>
          <w:szCs w:val="24"/>
          <w:lang w:val="hy-AM"/>
        </w:rPr>
        <w:t xml:space="preserve"> կատարելու մասին» օրենքների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նախագծերով</w:t>
      </w:r>
      <w:r w:rsidR="00472E83" w:rsidRPr="00472E8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339" w:rsidRPr="00EE3339">
        <w:rPr>
          <w:rFonts w:ascii="GHEA Grapalat" w:hAnsi="GHEA Grapalat"/>
          <w:sz w:val="24"/>
          <w:szCs w:val="24"/>
          <w:lang w:val="hy-AM"/>
        </w:rPr>
        <w:t>(այսուհետ՝ Նախագծեր</w:t>
      </w:r>
      <w:r w:rsidR="00A42A3C">
        <w:rPr>
          <w:rFonts w:ascii="GHEA Grapalat" w:hAnsi="GHEA Grapalat"/>
          <w:sz w:val="24"/>
          <w:szCs w:val="24"/>
          <w:lang w:val="hy-AM"/>
        </w:rPr>
        <w:t>)</w:t>
      </w:r>
      <w:r w:rsidR="00D53E31" w:rsidRPr="00D53E31">
        <w:rPr>
          <w:rFonts w:ascii="GHEA Grapalat" w:hAnsi="GHEA Grapalat"/>
          <w:sz w:val="24"/>
          <w:szCs w:val="24"/>
          <w:lang w:val="hy-AM"/>
        </w:rPr>
        <w:t>`</w:t>
      </w:r>
    </w:p>
    <w:p w:rsidR="00472E83" w:rsidRPr="00472E83" w:rsidRDefault="00A42A3C" w:rsidP="004308D8">
      <w:pPr>
        <w:pStyle w:val="NormalWeb"/>
        <w:numPr>
          <w:ilvl w:val="0"/>
          <w:numId w:val="5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42A3C">
        <w:rPr>
          <w:rFonts w:ascii="GHEA Grapalat" w:hAnsi="GHEA Grapalat"/>
          <w:lang w:val="hy-AM"/>
        </w:rPr>
        <w:t xml:space="preserve">նախատեսվել է </w:t>
      </w:r>
      <w:r w:rsidR="00472E83" w:rsidRPr="00472E83">
        <w:rPr>
          <w:rFonts w:ascii="GHEA Grapalat" w:hAnsi="GHEA Grapalat"/>
          <w:lang w:val="hy-AM"/>
        </w:rPr>
        <w:t>պետության</w:t>
      </w:r>
      <w:r w:rsidR="0099555C">
        <w:rPr>
          <w:rFonts w:ascii="GHEA Grapalat" w:hAnsi="GHEA Grapalat"/>
          <w:lang w:val="hy-AM"/>
        </w:rPr>
        <w:t xml:space="preserve">, </w:t>
      </w:r>
      <w:r w:rsidR="00472E83" w:rsidRPr="00472E83">
        <w:rPr>
          <w:rFonts w:ascii="GHEA Grapalat" w:hAnsi="GHEA Grapalat"/>
          <w:lang w:val="hy-AM"/>
        </w:rPr>
        <w:t xml:space="preserve">ինչպես նաև </w:t>
      </w:r>
      <w:r w:rsidR="00DE5CB0" w:rsidRPr="00D069E7">
        <w:rPr>
          <w:rFonts w:ascii="GHEA Grapalat" w:hAnsi="GHEA Grapalat"/>
          <w:lang w:val="hy-AM"/>
        </w:rPr>
        <w:t>պետ</w:t>
      </w:r>
      <w:r w:rsidR="00472E83" w:rsidRPr="00472E83">
        <w:rPr>
          <w:rFonts w:ascii="GHEA Grapalat" w:hAnsi="GHEA Grapalat"/>
          <w:lang w:val="hy-AM"/>
        </w:rPr>
        <w:t>ության</w:t>
      </w:r>
      <w:r w:rsidR="0099555C">
        <w:rPr>
          <w:rFonts w:ascii="GHEA Grapalat" w:hAnsi="GHEA Grapalat"/>
          <w:lang w:val="hy-AM"/>
        </w:rPr>
        <w:t xml:space="preserve"> </w:t>
      </w:r>
      <w:r w:rsidR="00DE5CB0" w:rsidRPr="00D069E7">
        <w:rPr>
          <w:rFonts w:ascii="GHEA Grapalat" w:hAnsi="GHEA Grapalat"/>
          <w:lang w:val="hy-AM"/>
        </w:rPr>
        <w:t>մասնակցությամբ կազմակերպությունների հետ պայ</w:t>
      </w:r>
      <w:r w:rsidR="00472E83">
        <w:rPr>
          <w:rFonts w:ascii="GHEA Grapalat" w:hAnsi="GHEA Grapalat"/>
          <w:lang w:val="hy-AM"/>
        </w:rPr>
        <w:t>մանագիր կնքելիս կոնտրագենտների</w:t>
      </w:r>
      <w:r w:rsidR="00472E83" w:rsidRPr="00472E83">
        <w:rPr>
          <w:rFonts w:ascii="GHEA Grapalat" w:hAnsi="GHEA Grapalat"/>
          <w:lang w:val="hy-AM"/>
        </w:rPr>
        <w:t xml:space="preserve"> </w:t>
      </w:r>
      <w:r w:rsidR="00DE5CB0" w:rsidRPr="00D069E7">
        <w:rPr>
          <w:rFonts w:ascii="GHEA Grapalat" w:hAnsi="GHEA Grapalat"/>
          <w:lang w:val="hy-AM"/>
        </w:rPr>
        <w:t>կողմից իրենց իրական շահառուներին առնչվող տեղեկատվության</w:t>
      </w:r>
      <w:r w:rsidR="00472E83" w:rsidRPr="00472E83">
        <w:rPr>
          <w:rFonts w:ascii="GHEA Grapalat" w:hAnsi="GHEA Grapalat"/>
          <w:lang w:val="hy-AM"/>
        </w:rPr>
        <w:t xml:space="preserve"> </w:t>
      </w:r>
      <w:r w:rsidR="00472E83" w:rsidRPr="00D069E7">
        <w:rPr>
          <w:rFonts w:ascii="GHEA Grapalat" w:hAnsi="GHEA Grapalat"/>
          <w:lang w:val="hy-AM"/>
        </w:rPr>
        <w:t>անվերապահ բացահայտման</w:t>
      </w:r>
      <w:r w:rsidR="007D52E6" w:rsidRPr="007D52E6">
        <w:rPr>
          <w:rFonts w:ascii="GHEA Grapalat" w:hAnsi="GHEA Grapalat"/>
          <w:lang w:val="hy-AM"/>
        </w:rPr>
        <w:t xml:space="preserve"> </w:t>
      </w:r>
      <w:r w:rsidR="00DE5CB0" w:rsidRPr="00D069E7">
        <w:rPr>
          <w:rFonts w:ascii="GHEA Grapalat" w:hAnsi="GHEA Grapalat"/>
          <w:lang w:val="hy-AM"/>
        </w:rPr>
        <w:t>պարտականություն</w:t>
      </w:r>
      <w:r w:rsidR="0099555C" w:rsidRPr="0099555C">
        <w:rPr>
          <w:rFonts w:ascii="GHEA Grapalat" w:hAnsi="GHEA Grapalat"/>
          <w:lang w:val="hy-AM"/>
        </w:rPr>
        <w:t>՝ այդ մասին</w:t>
      </w:r>
      <w:r w:rsidR="00080691" w:rsidRPr="00080691">
        <w:rPr>
          <w:rFonts w:ascii="GHEA Grapalat" w:hAnsi="GHEA Grapalat"/>
          <w:lang w:val="hy-AM"/>
        </w:rPr>
        <w:t xml:space="preserve"> նոտարի մոտ արված</w:t>
      </w:r>
      <w:r w:rsidR="0099555C" w:rsidRPr="0099555C">
        <w:rPr>
          <w:rFonts w:ascii="GHEA Grapalat" w:hAnsi="GHEA Grapalat"/>
          <w:lang w:val="hy-AM"/>
        </w:rPr>
        <w:t xml:space="preserve"> </w:t>
      </w:r>
      <w:r w:rsidR="00080691" w:rsidRPr="00080691">
        <w:rPr>
          <w:rFonts w:ascii="GHEA Grapalat" w:hAnsi="GHEA Grapalat"/>
          <w:lang w:val="hy-AM"/>
        </w:rPr>
        <w:t>բանավոր</w:t>
      </w:r>
      <w:r w:rsidR="0099555C" w:rsidRPr="0099555C">
        <w:rPr>
          <w:rFonts w:ascii="GHEA Grapalat" w:hAnsi="GHEA Grapalat"/>
          <w:lang w:val="hy-AM"/>
        </w:rPr>
        <w:t xml:space="preserve"> հայտարարություն ներկայացնելու միջոցով</w:t>
      </w:r>
      <w:r w:rsidR="0098159C">
        <w:rPr>
          <w:rFonts w:ascii="GHEA Grapalat" w:hAnsi="GHEA Grapalat"/>
          <w:lang w:val="hy-AM"/>
        </w:rPr>
        <w:t xml:space="preserve">, ընդ որում, </w:t>
      </w:r>
      <w:r w:rsidR="00CC7A95" w:rsidRPr="00CC7A95">
        <w:rPr>
          <w:rFonts w:ascii="GHEA Grapalat" w:hAnsi="GHEA Grapalat"/>
          <w:lang w:val="hy-AM"/>
        </w:rPr>
        <w:t>նոտարի մոտ արված բանավոր հայտարարությունը ճշմարտացի լինելու վերաբերյալ կեղծ երդում տալու համար քրեական պատասխանատվություն է նախատեսված ՀՀ քրեական օրենսգրքի 338.1-ին հոդվածով.</w:t>
      </w:r>
    </w:p>
    <w:p w:rsidR="00A35876" w:rsidRPr="00070BD7" w:rsidRDefault="007D52E6" w:rsidP="00070BD7">
      <w:pPr>
        <w:pStyle w:val="NormalWeb"/>
        <w:numPr>
          <w:ilvl w:val="0"/>
          <w:numId w:val="5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D52E6">
        <w:rPr>
          <w:rFonts w:ascii="GHEA Grapalat" w:hAnsi="GHEA Grapalat"/>
          <w:lang w:val="hy-AM"/>
        </w:rPr>
        <w:t xml:space="preserve">կեղծ </w:t>
      </w:r>
      <w:r w:rsidR="00472E83" w:rsidRPr="00472E83">
        <w:rPr>
          <w:rFonts w:ascii="GHEA Grapalat" w:hAnsi="GHEA Grapalat"/>
          <w:lang w:val="hy-AM"/>
        </w:rPr>
        <w:t>տեղեկություններ</w:t>
      </w:r>
      <w:r w:rsidRPr="007D52E6">
        <w:rPr>
          <w:rFonts w:ascii="GHEA Grapalat" w:hAnsi="GHEA Grapalat"/>
          <w:lang w:val="hy-AM"/>
        </w:rPr>
        <w:t xml:space="preserve"> տրամադրելու կամ տրամադրված տեղեկություններում փոփոխություն տեղ</w:t>
      </w:r>
      <w:r w:rsidR="00472E83" w:rsidRPr="00472E83">
        <w:rPr>
          <w:rFonts w:ascii="GHEA Grapalat" w:hAnsi="GHEA Grapalat"/>
          <w:lang w:val="hy-AM"/>
        </w:rPr>
        <w:t>ի</w:t>
      </w:r>
      <w:r w:rsidRPr="007D52E6">
        <w:rPr>
          <w:rFonts w:ascii="GHEA Grapalat" w:hAnsi="GHEA Grapalat"/>
          <w:lang w:val="hy-AM"/>
        </w:rPr>
        <w:t xml:space="preserve"> ունենալու </w:t>
      </w:r>
      <w:r w:rsidR="00381B45" w:rsidRPr="00381B45">
        <w:rPr>
          <w:rFonts w:ascii="GHEA Grapalat" w:hAnsi="GHEA Grapalat"/>
          <w:lang w:val="hy-AM"/>
        </w:rPr>
        <w:t>պարագայում</w:t>
      </w:r>
      <w:r w:rsidRPr="007D52E6">
        <w:rPr>
          <w:rFonts w:ascii="GHEA Grapalat" w:hAnsi="GHEA Grapalat"/>
          <w:lang w:val="hy-AM"/>
        </w:rPr>
        <w:t xml:space="preserve"> այդ մասի</w:t>
      </w:r>
      <w:r w:rsidRPr="00381B45">
        <w:rPr>
          <w:rFonts w:ascii="GHEA Grapalat" w:hAnsi="GHEA Grapalat"/>
          <w:lang w:val="hy-AM"/>
        </w:rPr>
        <w:t>ն</w:t>
      </w:r>
      <w:r w:rsidR="00472E83" w:rsidRPr="00472E83">
        <w:rPr>
          <w:rFonts w:ascii="GHEA Grapalat" w:hAnsi="GHEA Grapalat"/>
          <w:lang w:val="hy-AM"/>
        </w:rPr>
        <w:t xml:space="preserve"> </w:t>
      </w:r>
      <w:r w:rsidR="00A42A3C" w:rsidRPr="00A42A3C">
        <w:rPr>
          <w:rFonts w:ascii="GHEA Grapalat" w:hAnsi="GHEA Grapalat"/>
          <w:lang w:val="hy-AM"/>
        </w:rPr>
        <w:t>նոր հայտարարարություն չներկայացնելու</w:t>
      </w:r>
      <w:r w:rsidR="00381B45" w:rsidRPr="00381B45">
        <w:rPr>
          <w:rFonts w:ascii="GHEA Grapalat" w:hAnsi="GHEA Grapalat"/>
          <w:lang w:val="hy-AM"/>
        </w:rPr>
        <w:t xml:space="preserve"> </w:t>
      </w:r>
      <w:r w:rsidR="00080691" w:rsidRPr="00080691">
        <w:rPr>
          <w:rFonts w:ascii="GHEA Grapalat" w:hAnsi="GHEA Grapalat"/>
          <w:lang w:val="hy-AM"/>
        </w:rPr>
        <w:t>համար</w:t>
      </w:r>
      <w:r w:rsidR="00CC7A95" w:rsidRPr="00CC7A95">
        <w:rPr>
          <w:rFonts w:ascii="GHEA Grapalat" w:hAnsi="GHEA Grapalat"/>
          <w:lang w:val="hy-AM"/>
        </w:rPr>
        <w:t xml:space="preserve"> նախատեսվել է</w:t>
      </w:r>
      <w:r w:rsidR="00DE5CB0" w:rsidRPr="00472E83">
        <w:rPr>
          <w:rFonts w:ascii="GHEA Grapalat" w:hAnsi="GHEA Grapalat"/>
          <w:lang w:val="hy-AM"/>
        </w:rPr>
        <w:t xml:space="preserve"> </w:t>
      </w:r>
      <w:r w:rsidR="00381B45" w:rsidRPr="00472E83">
        <w:rPr>
          <w:rFonts w:ascii="GHEA Grapalat" w:hAnsi="GHEA Grapalat"/>
          <w:lang w:val="hy-AM"/>
        </w:rPr>
        <w:t>պետության</w:t>
      </w:r>
      <w:r w:rsidR="0099555C">
        <w:rPr>
          <w:rFonts w:ascii="GHEA Grapalat" w:hAnsi="GHEA Grapalat"/>
          <w:lang w:val="hy-AM"/>
        </w:rPr>
        <w:t xml:space="preserve">, </w:t>
      </w:r>
      <w:r w:rsidR="00381B45" w:rsidRPr="00472E83">
        <w:rPr>
          <w:rFonts w:ascii="GHEA Grapalat" w:hAnsi="GHEA Grapalat"/>
          <w:lang w:val="hy-AM"/>
        </w:rPr>
        <w:t xml:space="preserve">ինչպես նաև </w:t>
      </w:r>
      <w:r w:rsidR="00381B45" w:rsidRPr="00D069E7">
        <w:rPr>
          <w:rFonts w:ascii="GHEA Grapalat" w:hAnsi="GHEA Grapalat"/>
          <w:lang w:val="hy-AM"/>
        </w:rPr>
        <w:t>պետ</w:t>
      </w:r>
      <w:r w:rsidR="00381B45" w:rsidRPr="00472E83">
        <w:rPr>
          <w:rFonts w:ascii="GHEA Grapalat" w:hAnsi="GHEA Grapalat"/>
          <w:lang w:val="hy-AM"/>
        </w:rPr>
        <w:t>ության</w:t>
      </w:r>
      <w:r w:rsidR="00381B45" w:rsidRPr="00D53E31">
        <w:rPr>
          <w:rFonts w:ascii="GHEA Grapalat" w:hAnsi="GHEA Grapalat"/>
          <w:lang w:val="hy-AM"/>
        </w:rPr>
        <w:t xml:space="preserve"> </w:t>
      </w:r>
      <w:r w:rsidR="00381B45" w:rsidRPr="00D069E7">
        <w:rPr>
          <w:rFonts w:ascii="GHEA Grapalat" w:hAnsi="GHEA Grapalat"/>
          <w:lang w:val="hy-AM"/>
        </w:rPr>
        <w:t>մասն</w:t>
      </w:r>
      <w:r w:rsidR="00381B45">
        <w:rPr>
          <w:rFonts w:ascii="GHEA Grapalat" w:hAnsi="GHEA Grapalat"/>
          <w:lang w:val="hy-AM"/>
        </w:rPr>
        <w:t>ակցությամբ կազմակերպությունների</w:t>
      </w:r>
      <w:r w:rsidR="00381B45" w:rsidRPr="00381B45">
        <w:rPr>
          <w:rFonts w:ascii="GHEA Grapalat" w:hAnsi="GHEA Grapalat"/>
          <w:lang w:val="hy-AM"/>
        </w:rPr>
        <w:t xml:space="preserve">՝ </w:t>
      </w:r>
      <w:r w:rsidR="00CC7A95" w:rsidRPr="00CC7A95">
        <w:rPr>
          <w:rFonts w:ascii="GHEA Grapalat" w:hAnsi="GHEA Grapalat"/>
          <w:lang w:val="hy-AM"/>
        </w:rPr>
        <w:t xml:space="preserve">կնքված </w:t>
      </w:r>
      <w:r w:rsidR="00DE5CB0" w:rsidRPr="00472E83">
        <w:rPr>
          <w:rFonts w:ascii="GHEA Grapalat" w:hAnsi="GHEA Grapalat"/>
          <w:lang w:val="hy-AM"/>
        </w:rPr>
        <w:t>պայմանագրի</w:t>
      </w:r>
      <w:r w:rsidR="00472E83" w:rsidRPr="00472E83">
        <w:rPr>
          <w:rFonts w:ascii="GHEA Grapalat" w:hAnsi="GHEA Grapalat"/>
          <w:lang w:val="hy-AM"/>
        </w:rPr>
        <w:t>ց միակողմանի</w:t>
      </w:r>
      <w:r w:rsidR="00DE5CB0" w:rsidRPr="00472E83">
        <w:rPr>
          <w:rFonts w:ascii="GHEA Grapalat" w:hAnsi="GHEA Grapalat"/>
          <w:lang w:val="hy-AM"/>
        </w:rPr>
        <w:t xml:space="preserve"> </w:t>
      </w:r>
      <w:r w:rsidR="00472E83" w:rsidRPr="00472E83">
        <w:rPr>
          <w:rFonts w:ascii="GHEA Grapalat" w:hAnsi="GHEA Grapalat"/>
          <w:lang w:val="hy-AM"/>
        </w:rPr>
        <w:t>հրաժարվելու</w:t>
      </w:r>
      <w:r w:rsidR="00DE5CB0" w:rsidRPr="00472E83">
        <w:rPr>
          <w:rFonts w:ascii="GHEA Grapalat" w:hAnsi="GHEA Grapalat"/>
          <w:lang w:val="hy-AM"/>
        </w:rPr>
        <w:t xml:space="preserve"> </w:t>
      </w:r>
      <w:r w:rsidR="00472E83">
        <w:rPr>
          <w:rFonts w:ascii="GHEA Grapalat" w:hAnsi="GHEA Grapalat"/>
          <w:lang w:val="hy-AM"/>
        </w:rPr>
        <w:t>և պայմանագր</w:t>
      </w:r>
      <w:r w:rsidR="00DE5CB0" w:rsidRPr="00472E83">
        <w:rPr>
          <w:rFonts w:ascii="GHEA Grapalat" w:hAnsi="GHEA Grapalat"/>
          <w:lang w:val="hy-AM"/>
        </w:rPr>
        <w:t>ի լուծմ</w:t>
      </w:r>
      <w:r w:rsidR="00381B45">
        <w:rPr>
          <w:rFonts w:ascii="GHEA Grapalat" w:hAnsi="GHEA Grapalat"/>
          <w:lang w:val="hy-AM"/>
        </w:rPr>
        <w:t>ամբ պատճառված վնասների հատուց</w:t>
      </w:r>
      <w:r w:rsidR="00381B45" w:rsidRPr="00381B45">
        <w:rPr>
          <w:rFonts w:ascii="GHEA Grapalat" w:hAnsi="GHEA Grapalat"/>
          <w:lang w:val="hy-AM"/>
        </w:rPr>
        <w:t>ում պահանջելու իրավունք</w:t>
      </w:r>
      <w:r w:rsidR="00CC7A95" w:rsidRPr="00CC7A95">
        <w:rPr>
          <w:rFonts w:ascii="GHEA Grapalat" w:hAnsi="GHEA Grapalat"/>
          <w:lang w:val="hy-AM"/>
        </w:rPr>
        <w:t>ը:</w:t>
      </w:r>
      <w:r w:rsidR="00DE5CB0" w:rsidRPr="00472E83">
        <w:rPr>
          <w:rFonts w:ascii="GHEA Grapalat" w:hAnsi="GHEA Grapalat"/>
          <w:lang w:val="hy-AM"/>
        </w:rPr>
        <w:t xml:space="preserve"> </w:t>
      </w:r>
    </w:p>
    <w:p w:rsidR="004D180F" w:rsidRPr="00D069E7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 w:cs="Sylfaen"/>
          <w:sz w:val="24"/>
          <w:szCs w:val="24"/>
          <w:lang w:val="hy-AM"/>
        </w:rPr>
        <w:tab/>
      </w:r>
      <w:r w:rsidRPr="00D069E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4D180F" w:rsidRPr="00070BD7" w:rsidRDefault="004D180F" w:rsidP="00070BD7">
      <w:pPr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</w:rPr>
      </w:pPr>
      <w:r w:rsidRPr="00D069E7">
        <w:rPr>
          <w:rFonts w:ascii="GHEA Grapalat" w:hAnsi="GHEA Grapalat"/>
          <w:lang w:val="hy-AM"/>
        </w:rPr>
        <w:tab/>
      </w:r>
      <w:r w:rsidR="009D324B" w:rsidRPr="00521CE1">
        <w:rPr>
          <w:rFonts w:ascii="GHEA Grapalat" w:hAnsi="GHEA Grapalat" w:cs="GHEA Mariam"/>
          <w:sz w:val="24"/>
          <w:szCs w:val="24"/>
          <w:lang w:val="hy-AM"/>
        </w:rPr>
        <w:t xml:space="preserve">Նախագծերը մշակվել են </w:t>
      </w:r>
      <w:r w:rsidR="009D324B">
        <w:rPr>
          <w:rFonts w:ascii="GHEA Grapalat" w:hAnsi="GHEA Grapalat" w:cs="GHEA Mariam"/>
          <w:sz w:val="24"/>
          <w:szCs w:val="24"/>
          <w:lang w:val="hy-AM"/>
        </w:rPr>
        <w:t>Ա</w:t>
      </w:r>
      <w:r w:rsidR="009D324B" w:rsidRPr="00521CE1">
        <w:rPr>
          <w:rFonts w:ascii="GHEA Grapalat" w:hAnsi="GHEA Grapalat" w:cs="GHEA Mariam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</w:t>
      </w:r>
      <w:r w:rsidR="009D324B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DE5CB0" w:rsidRPr="00070BD7" w:rsidRDefault="004D180F" w:rsidP="00070BD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en-US"/>
        </w:rPr>
      </w:pPr>
      <w:r w:rsidRPr="00D069E7">
        <w:rPr>
          <w:rFonts w:ascii="GHEA Grapalat" w:hAnsi="GHEA Grapalat"/>
          <w:sz w:val="24"/>
          <w:szCs w:val="24"/>
          <w:lang w:val="hy-AM"/>
        </w:rPr>
        <w:tab/>
      </w:r>
      <w:r w:rsidRPr="00D069E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D069E7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D069E7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D069E7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080691" w:rsidRDefault="00472E83" w:rsidP="00080691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B03D7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472E83">
        <w:rPr>
          <w:rFonts w:ascii="GHEA Grapalat" w:eastAsia="Times New Roman" w:hAnsi="GHEA Grapalat"/>
          <w:sz w:val="24"/>
          <w:szCs w:val="24"/>
          <w:lang w:val="hy-AM"/>
        </w:rPr>
        <w:t xml:space="preserve">Նախագծերի ընդունման արդյունքում ակնկալվում է </w:t>
      </w:r>
      <w:r w:rsidR="004308D8">
        <w:rPr>
          <w:rFonts w:ascii="GHEA Grapalat" w:eastAsia="Times New Roman" w:hAnsi="GHEA Grapalat"/>
          <w:sz w:val="24"/>
          <w:szCs w:val="24"/>
          <w:lang w:val="hy-AM"/>
        </w:rPr>
        <w:t xml:space="preserve">կանխել և վերացնել </w:t>
      </w:r>
      <w:r w:rsidRPr="00472E8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պետության </w:t>
      </w:r>
      <w:r w:rsidR="004308D8">
        <w:rPr>
          <w:rFonts w:ascii="GHEA Grapalat" w:hAnsi="GHEA Grapalat"/>
          <w:sz w:val="24"/>
          <w:szCs w:val="24"/>
          <w:lang w:val="hy-AM"/>
        </w:rPr>
        <w:t>և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8D8">
        <w:rPr>
          <w:rFonts w:ascii="GHEA Grapalat" w:hAnsi="GHEA Grapalat"/>
          <w:sz w:val="24"/>
          <w:szCs w:val="24"/>
          <w:lang w:val="hy-AM"/>
        </w:rPr>
        <w:t xml:space="preserve">պետության մասնակցությամբ </w:t>
      </w:r>
      <w:r w:rsidRPr="00D069E7">
        <w:rPr>
          <w:rFonts w:ascii="GHEA Grapalat" w:hAnsi="GHEA Grapalat"/>
          <w:sz w:val="24"/>
          <w:szCs w:val="24"/>
          <w:lang w:val="hy-AM"/>
        </w:rPr>
        <w:t>կազմակերպություններ</w:t>
      </w:r>
      <w:r w:rsidRPr="009B03D7">
        <w:rPr>
          <w:rFonts w:ascii="GHEA Grapalat" w:hAnsi="GHEA Grapalat"/>
          <w:sz w:val="24"/>
          <w:szCs w:val="24"/>
          <w:lang w:val="hy-AM"/>
        </w:rPr>
        <w:t xml:space="preserve">ի և </w:t>
      </w:r>
      <w:r w:rsidRPr="00472E83">
        <w:rPr>
          <w:rFonts w:ascii="GHEA Grapalat" w:eastAsia="Times New Roman" w:hAnsi="GHEA Grapalat"/>
          <w:sz w:val="24"/>
          <w:szCs w:val="24"/>
          <w:lang w:val="hy-AM"/>
        </w:rPr>
        <w:t xml:space="preserve">նրանց կոնտրագենտների </w:t>
      </w:r>
      <w:r w:rsidR="004308D8">
        <w:rPr>
          <w:rFonts w:ascii="GHEA Grapalat" w:eastAsia="Times New Roman" w:hAnsi="GHEA Grapalat"/>
          <w:sz w:val="24"/>
          <w:szCs w:val="24"/>
          <w:lang w:val="hy-AM"/>
        </w:rPr>
        <w:t>միջև պայմանագրեր կնքելիս</w:t>
      </w:r>
      <w:r w:rsidR="00D14000" w:rsidRPr="00D069E7">
        <w:rPr>
          <w:rFonts w:ascii="GHEA Grapalat" w:hAnsi="GHEA Grapalat"/>
          <w:sz w:val="24"/>
          <w:szCs w:val="24"/>
          <w:lang w:val="hy-AM"/>
        </w:rPr>
        <w:t xml:space="preserve"> պաշտոնատար անձանց 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>շահերի բախումը</w:t>
      </w:r>
      <w:r w:rsidRPr="009B03D7">
        <w:rPr>
          <w:rFonts w:ascii="GHEA Grapalat" w:hAnsi="GHEA Grapalat"/>
          <w:sz w:val="24"/>
          <w:szCs w:val="24"/>
          <w:lang w:val="hy-AM"/>
        </w:rPr>
        <w:t>:</w:t>
      </w:r>
    </w:p>
    <w:p w:rsidR="004D180F" w:rsidRPr="00080691" w:rsidRDefault="004D180F" w:rsidP="00070BD7">
      <w:pPr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4D180F" w:rsidRPr="00D069E7" w:rsidRDefault="00EE3339" w:rsidP="00EE333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«ՀԱՅԱՍՏԱՆԻ ՀԱՆՐԱՊԵՏՈՒԹՅԱՆ ՔԱՂԱՔԱՑԻԱԿԱՆ ՕՐԵՆՍԳՐՔՈՒՄ</w:t>
      </w:r>
      <w:r w:rsidRPr="00D069E7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ԼՐԱՑՈՒՄՆԵՐ ԿԱՏԱՐԵԼՈՒ ՄԱՍԻՆ»</w:t>
      </w:r>
      <w:r w:rsidR="00D14000" w:rsidRPr="00D14000">
        <w:rPr>
          <w:rFonts w:ascii="GHEA Grapalat" w:hAnsi="GHEA Grapalat"/>
          <w:b/>
          <w:caps/>
          <w:sz w:val="24"/>
          <w:szCs w:val="24"/>
          <w:lang w:val="hy-AM"/>
        </w:rPr>
        <w:t xml:space="preserve"> ԵՎ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«ԳՆՈՒՄՆԵՐԻ ՄԱՍԻՆ» ՀԱՅԱՍՏԱՆԻ ՀԱՆՐԱՊԵՏՈՒԹՅԱՆ ՕՐԵՆՔՈՒՄ </w:t>
      </w:r>
      <w:r w:rsidR="00D14000" w:rsidRPr="00D14000">
        <w:rPr>
          <w:rFonts w:ascii="GHEA Grapalat" w:hAnsi="GHEA Grapalat"/>
          <w:b/>
          <w:caps/>
          <w:sz w:val="24"/>
          <w:szCs w:val="24"/>
          <w:lang w:val="hy-AM"/>
        </w:rPr>
        <w:t>ՓՈՓՈԽՈՒԹՅՈՒՆ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ԿԱՏԱՐԵԼՈՒ ՄԱՍԻՆ» օրենքՆԵՐի </w:t>
      </w:r>
      <w:r w:rsidRPr="00D069E7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4D180F" w:rsidRPr="00D069E7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4D180F" w:rsidRPr="00D069E7" w:rsidRDefault="004D180F" w:rsidP="004D180F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180F" w:rsidRPr="00D069E7" w:rsidRDefault="004D180F" w:rsidP="004D18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="00EE3339" w:rsidRPr="00D069E7">
        <w:rPr>
          <w:rFonts w:ascii="GHEA Grapalat" w:hAnsi="GHEA Grapalat"/>
          <w:sz w:val="24"/>
          <w:szCs w:val="24"/>
          <w:lang w:val="hy-AM"/>
        </w:rPr>
        <w:t>Հայաստանի Հանրապետության քաղաքացիական օրենսգրքում լրացումներ կատարելու մասին»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E3339" w:rsidRPr="00D069E7">
        <w:rPr>
          <w:rFonts w:ascii="GHEA Grapalat" w:hAnsi="GHEA Grapalat"/>
          <w:sz w:val="24"/>
          <w:szCs w:val="24"/>
          <w:lang w:val="hy-AM"/>
        </w:rPr>
        <w:t xml:space="preserve"> «Գնումների մասին» Հայաստանի Հանրապետության օրենքում 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="00EE3339" w:rsidRPr="00D069E7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="00D14000">
        <w:rPr>
          <w:rFonts w:ascii="GHEA Grapalat" w:hAnsi="GHEA Grapalat"/>
          <w:sz w:val="24"/>
          <w:szCs w:val="24"/>
          <w:lang w:val="hy-AM"/>
        </w:rPr>
        <w:t>»</w:t>
      </w:r>
      <w:r w:rsidR="00D14000" w:rsidRPr="00D14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339" w:rsidRPr="00D069E7">
        <w:rPr>
          <w:rFonts w:ascii="GHEA Grapalat" w:hAnsi="GHEA Grapalat"/>
          <w:sz w:val="24"/>
          <w:szCs w:val="24"/>
          <w:lang w:val="hy-AM"/>
        </w:rPr>
        <w:t xml:space="preserve">օրենքների 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Pr="00D069E7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D069E7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D069E7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D069E7">
        <w:rPr>
          <w:rFonts w:ascii="GHEA Grapalat" w:hAnsi="GHEA Grapalat" w:cs="Sylfaen"/>
          <w:sz w:val="24"/>
          <w:szCs w:val="24"/>
          <w:lang w:val="hy-AM"/>
        </w:rPr>
        <w:softHyphen/>
        <w:t xml:space="preserve">յամբ </w:t>
      </w:r>
      <w:r w:rsidR="00EE3339" w:rsidRPr="00EE3339">
        <w:rPr>
          <w:rFonts w:ascii="GHEA Grapalat" w:hAnsi="GHEA Grapalat" w:cs="Sylfaen"/>
          <w:sz w:val="24"/>
          <w:szCs w:val="24"/>
          <w:lang w:val="hy-AM"/>
        </w:rPr>
        <w:t xml:space="preserve">անհրաժեշտ է </w:t>
      </w:r>
      <w:r w:rsidR="00185C3F" w:rsidRPr="00185C3F">
        <w:rPr>
          <w:rFonts w:ascii="GHEA Grapalat" w:hAnsi="GHEA Grapalat" w:cs="Sylfaen"/>
          <w:sz w:val="24"/>
          <w:szCs w:val="24"/>
          <w:lang w:val="hy-AM"/>
        </w:rPr>
        <w:t>փոփոխություն կատարել</w:t>
      </w:r>
      <w:r w:rsidR="00185C3F" w:rsidRPr="008D62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6286" w:rsidRPr="008D628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մեջ</w:t>
      </w:r>
      <w:r w:rsidRPr="00D069E7">
        <w:rPr>
          <w:rFonts w:ascii="GHEA Grapalat" w:hAnsi="GHEA Grapalat"/>
          <w:sz w:val="24"/>
          <w:szCs w:val="24"/>
          <w:lang w:val="hy-AM"/>
        </w:rPr>
        <w:t>:</w:t>
      </w:r>
    </w:p>
    <w:p w:rsidR="004D180F" w:rsidRPr="00D069E7" w:rsidRDefault="004D180F" w:rsidP="004D180F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D069E7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D069E7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D069E7" w:rsidRDefault="004D180F" w:rsidP="004D180F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069E7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  <w:t xml:space="preserve">ՏԵՂԵԿԱՆՔ </w:t>
      </w:r>
    </w:p>
    <w:p w:rsidR="004D180F" w:rsidRPr="00D069E7" w:rsidRDefault="00EE3339" w:rsidP="00EE333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069E7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«ՀԱՅԱՍՏԱՆԻ ՀԱՆՐԱՊԵՏՈՒԹՅԱՆ ՔԱՂԱՔԱՑԻԱԿԱՆ ՕՐԵՆՍԳՐՔՈՒՄ</w:t>
      </w:r>
      <w:r w:rsidRPr="00D069E7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ԼՐԱՑՈՒՄՆԵՐ ԿԱՏԱՐԵԼՈՒ ՄԱՍԻՆ»</w:t>
      </w:r>
      <w:r w:rsidR="00CC33FD" w:rsidRPr="00CC33FD">
        <w:rPr>
          <w:rFonts w:ascii="GHEA Grapalat" w:hAnsi="GHEA Grapalat"/>
          <w:b/>
          <w:caps/>
          <w:sz w:val="24"/>
          <w:szCs w:val="24"/>
          <w:lang w:val="hy-AM"/>
        </w:rPr>
        <w:t xml:space="preserve"> ԵՎ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«ԳՆՈՒՄՆԵՐԻ ՄԱՍԻՆ» ՀԱՅԱՍՏԱՆԻ ՀԱՆՐԱՊԵՏՈՒԹՅԱՆ ՕՐԵՆՔՈՒՄ </w:t>
      </w:r>
      <w:r w:rsidR="00CC33FD" w:rsidRPr="00CC33FD">
        <w:rPr>
          <w:rFonts w:ascii="GHEA Grapalat" w:hAnsi="GHEA Grapalat"/>
          <w:b/>
          <w:caps/>
          <w:sz w:val="24"/>
          <w:szCs w:val="24"/>
          <w:lang w:val="hy-AM"/>
        </w:rPr>
        <w:t>ՓՈՓՈԽՈՒԹՅՈՒՆ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 ԿԱՏԱՐԵԼՈՒ ՄԱՍԻՆ</w:t>
      </w:r>
      <w:r w:rsidR="00CC33FD" w:rsidRPr="00CC33FD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D069E7">
        <w:rPr>
          <w:rFonts w:ascii="GHEA Grapalat" w:hAnsi="GHEA Grapalat"/>
          <w:b/>
          <w:caps/>
          <w:sz w:val="24"/>
          <w:szCs w:val="24"/>
          <w:lang w:val="hy-AM"/>
        </w:rPr>
        <w:t xml:space="preserve">օրենքՆԵՐի </w:t>
      </w:r>
      <w:r w:rsidRPr="00D069E7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4D180F" w:rsidRPr="00D069E7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</w:t>
      </w:r>
      <w:r w:rsidR="004D180F" w:rsidRPr="00D069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180F" w:rsidRPr="00D069E7">
        <w:rPr>
          <w:rFonts w:ascii="GHEA Grapalat" w:hAnsi="GHEA Grapalat"/>
          <w:b/>
          <w:bCs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903CA9" w:rsidRPr="00D069E7" w:rsidRDefault="004D180F" w:rsidP="00903CA9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69E7">
        <w:rPr>
          <w:rFonts w:ascii="GHEA Grapalat" w:hAnsi="GHEA Grapalat"/>
          <w:sz w:val="24"/>
          <w:szCs w:val="24"/>
          <w:lang w:val="hy-AM"/>
        </w:rPr>
        <w:tab/>
      </w:r>
    </w:p>
    <w:p w:rsidR="004D180F" w:rsidRPr="00D069E7" w:rsidRDefault="00CC33FD" w:rsidP="00903CA9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069E7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D069E7">
        <w:rPr>
          <w:rFonts w:ascii="GHEA Grapalat" w:hAnsi="GHEA Grapalat"/>
          <w:sz w:val="24"/>
          <w:szCs w:val="24"/>
          <w:lang w:val="hy-AM"/>
        </w:rPr>
        <w:t>Հայաստանի Հանրապետության քաղաքացիական օրենսգրքում լրացումներ կատարելու մասին»</w:t>
      </w:r>
      <w:r w:rsidRPr="00D14000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069E7">
        <w:rPr>
          <w:rFonts w:ascii="GHEA Grapalat" w:hAnsi="GHEA Grapalat"/>
          <w:sz w:val="24"/>
          <w:szCs w:val="24"/>
          <w:lang w:val="hy-AM"/>
        </w:rPr>
        <w:t xml:space="preserve"> «Գնումների մասին» Հայաստանի Հանրապետության օրենքում </w:t>
      </w:r>
      <w:r w:rsidRPr="00D14000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Pr="00D069E7">
        <w:rPr>
          <w:rFonts w:ascii="GHEA Grapalat" w:hAnsi="GHEA Grapalat"/>
          <w:sz w:val="24"/>
          <w:szCs w:val="24"/>
          <w:lang w:val="hy-AM"/>
        </w:rPr>
        <w:t>կատարելու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D14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339" w:rsidRPr="00D069E7">
        <w:rPr>
          <w:rFonts w:ascii="GHEA Grapalat" w:hAnsi="GHEA Grapalat"/>
          <w:sz w:val="24"/>
          <w:szCs w:val="24"/>
          <w:lang w:val="hy-AM"/>
        </w:rPr>
        <w:t xml:space="preserve">օրենքների 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t>ընդունման կապակ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="004D180F" w:rsidRPr="00D069E7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4D180F" w:rsidRPr="00D069E7" w:rsidRDefault="004D180F" w:rsidP="004D180F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D180F" w:rsidRPr="00D069E7" w:rsidRDefault="004D180F" w:rsidP="004D180F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EA4EAA" w:rsidRPr="00D069E7" w:rsidRDefault="00EA4EAA">
      <w:pPr>
        <w:rPr>
          <w:rFonts w:ascii="GHEA Grapalat" w:hAnsi="GHEA Grapalat"/>
          <w:sz w:val="24"/>
          <w:szCs w:val="24"/>
          <w:lang w:val="hy-AM"/>
        </w:rPr>
      </w:pPr>
    </w:p>
    <w:p w:rsidR="00A35876" w:rsidRPr="00D069E7" w:rsidRDefault="00A35876">
      <w:pPr>
        <w:rPr>
          <w:rFonts w:ascii="GHEA Grapalat" w:hAnsi="GHEA Grapalat"/>
          <w:sz w:val="24"/>
          <w:szCs w:val="24"/>
          <w:lang w:val="hy-AM"/>
        </w:rPr>
      </w:pPr>
    </w:p>
    <w:sectPr w:rsidR="00A35876" w:rsidRPr="00D069E7" w:rsidSect="00080691">
      <w:headerReference w:type="default" r:id="rId8"/>
      <w:footerReference w:type="default" r:id="rId9"/>
      <w:headerReference w:type="first" r:id="rId10"/>
      <w:pgSz w:w="12240" w:h="15840"/>
      <w:pgMar w:top="460" w:right="850" w:bottom="630" w:left="1530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5D" w:rsidRDefault="003F775D" w:rsidP="005E0AB9">
      <w:pPr>
        <w:spacing w:after="0" w:line="240" w:lineRule="auto"/>
      </w:pPr>
      <w:r>
        <w:separator/>
      </w:r>
    </w:p>
  </w:endnote>
  <w:endnote w:type="continuationSeparator" w:id="0">
    <w:p w:rsidR="003F775D" w:rsidRDefault="003F775D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4472"/>
      <w:docPartObj>
        <w:docPartGallery w:val="Page Numbers (Bottom of Page)"/>
        <w:docPartUnique/>
      </w:docPartObj>
    </w:sdtPr>
    <w:sdtContent>
      <w:p w:rsidR="00F94DA2" w:rsidRDefault="00AB3216">
        <w:pPr>
          <w:pStyle w:val="Footer"/>
          <w:jc w:val="center"/>
        </w:pPr>
        <w:fldSimple w:instr=" PAGE   \* MERGEFORMAT ">
          <w:r w:rsidR="00070BD7">
            <w:rPr>
              <w:noProof/>
            </w:rPr>
            <w:t>8</w:t>
          </w:r>
        </w:fldSimple>
      </w:p>
    </w:sdtContent>
  </w:sdt>
  <w:p w:rsidR="00F94DA2" w:rsidRDefault="00F94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5D" w:rsidRDefault="003F775D" w:rsidP="005E0AB9">
      <w:pPr>
        <w:spacing w:after="0" w:line="240" w:lineRule="auto"/>
      </w:pPr>
      <w:r>
        <w:separator/>
      </w:r>
    </w:p>
  </w:footnote>
  <w:footnote w:type="continuationSeparator" w:id="0">
    <w:p w:rsidR="003F775D" w:rsidRDefault="003F775D" w:rsidP="005E0AB9">
      <w:pPr>
        <w:spacing w:after="0" w:line="240" w:lineRule="auto"/>
      </w:pPr>
      <w:r>
        <w:continuationSeparator/>
      </w:r>
    </w:p>
  </w:footnote>
  <w:footnote w:id="1">
    <w:p w:rsidR="00F94DA2" w:rsidRPr="00080691" w:rsidRDefault="00F94DA2" w:rsidP="00DE5CB0">
      <w:pPr>
        <w:pStyle w:val="FootnoteText"/>
        <w:rPr>
          <w:rFonts w:ascii="GHEA Grapalat" w:hAnsi="GHEA Grapalat"/>
          <w:lang w:val="ru-RU"/>
        </w:rPr>
      </w:pPr>
      <w:r w:rsidRPr="00080691">
        <w:rPr>
          <w:rStyle w:val="FootnoteReference"/>
          <w:rFonts w:ascii="GHEA Grapalat" w:hAnsi="GHEA Grapalat"/>
        </w:rPr>
        <w:footnoteRef/>
      </w:r>
      <w:r w:rsidRPr="00080691">
        <w:rPr>
          <w:rFonts w:ascii="GHEA Grapalat" w:hAnsi="GHEA Grapalat"/>
          <w:lang w:val="ru-RU"/>
        </w:rPr>
        <w:t xml:space="preserve">Տե՛ս </w:t>
      </w:r>
      <w:hyperlink r:id="rId1" w:history="1">
        <w:r w:rsidRPr="00080691">
          <w:rPr>
            <w:rStyle w:val="Hyperlink"/>
            <w:rFonts w:ascii="GHEA Grapalat" w:hAnsi="GHEA Grapalat"/>
          </w:rPr>
          <w:t>https</w:t>
        </w:r>
        <w:r w:rsidRPr="00080691">
          <w:rPr>
            <w:rStyle w:val="Hyperlink"/>
            <w:rFonts w:ascii="GHEA Grapalat" w:hAnsi="GHEA Grapalat"/>
            <w:lang w:val="ru-RU"/>
          </w:rPr>
          <w:t>://</w:t>
        </w:r>
        <w:r w:rsidRPr="00080691">
          <w:rPr>
            <w:rStyle w:val="Hyperlink"/>
            <w:rFonts w:ascii="GHEA Grapalat" w:hAnsi="GHEA Grapalat"/>
          </w:rPr>
          <w:t>www</w:t>
        </w:r>
        <w:r w:rsidRPr="00080691">
          <w:rPr>
            <w:rStyle w:val="Hyperlink"/>
            <w:rFonts w:ascii="GHEA Grapalat" w:hAnsi="GHEA Grapalat"/>
            <w:lang w:val="ru-RU"/>
          </w:rPr>
          <w:t>.</w:t>
        </w:r>
        <w:proofErr w:type="spellStart"/>
        <w:r w:rsidRPr="00080691">
          <w:rPr>
            <w:rStyle w:val="Hyperlink"/>
            <w:rFonts w:ascii="GHEA Grapalat" w:hAnsi="GHEA Grapalat"/>
          </w:rPr>
          <w:t>oecd</w:t>
        </w:r>
        <w:proofErr w:type="spellEnd"/>
        <w:r w:rsidRPr="00080691">
          <w:rPr>
            <w:rStyle w:val="Hyperlink"/>
            <w:rFonts w:ascii="GHEA Grapalat" w:hAnsi="GHEA Grapalat"/>
            <w:lang w:val="ru-RU"/>
          </w:rPr>
          <w:t>.</w:t>
        </w:r>
        <w:r w:rsidRPr="00080691">
          <w:rPr>
            <w:rStyle w:val="Hyperlink"/>
            <w:rFonts w:ascii="GHEA Grapalat" w:hAnsi="GHEA Grapalat"/>
          </w:rPr>
          <w:t>org</w:t>
        </w:r>
        <w:r w:rsidRPr="00080691">
          <w:rPr>
            <w:rStyle w:val="Hyperlink"/>
            <w:rFonts w:ascii="GHEA Grapalat" w:hAnsi="GHEA Grapalat"/>
            <w:lang w:val="ru-RU"/>
          </w:rPr>
          <w:t>/</w:t>
        </w:r>
        <w:proofErr w:type="spellStart"/>
        <w:r w:rsidRPr="00080691">
          <w:rPr>
            <w:rStyle w:val="Hyperlink"/>
            <w:rFonts w:ascii="GHEA Grapalat" w:hAnsi="GHEA Grapalat"/>
          </w:rPr>
          <w:t>daf</w:t>
        </w:r>
        <w:proofErr w:type="spellEnd"/>
        <w:r w:rsidRPr="00080691">
          <w:rPr>
            <w:rStyle w:val="Hyperlink"/>
            <w:rFonts w:ascii="GHEA Grapalat" w:hAnsi="GHEA Grapalat"/>
            <w:lang w:val="ru-RU"/>
          </w:rPr>
          <w:t>/</w:t>
        </w:r>
        <w:r w:rsidRPr="00080691">
          <w:rPr>
            <w:rStyle w:val="Hyperlink"/>
            <w:rFonts w:ascii="GHEA Grapalat" w:hAnsi="GHEA Grapalat"/>
          </w:rPr>
          <w:t>ca</w:t>
        </w:r>
        <w:r w:rsidRPr="00080691">
          <w:rPr>
            <w:rStyle w:val="Hyperlink"/>
            <w:rFonts w:ascii="GHEA Grapalat" w:hAnsi="GHEA Grapalat"/>
            <w:lang w:val="ru-RU"/>
          </w:rPr>
          <w:t>/2016-</w:t>
        </w:r>
        <w:r w:rsidRPr="00080691">
          <w:rPr>
            <w:rStyle w:val="Hyperlink"/>
            <w:rFonts w:ascii="GHEA Grapalat" w:hAnsi="GHEA Grapalat"/>
          </w:rPr>
          <w:t>SOEs</w:t>
        </w:r>
        <w:r w:rsidRPr="00080691">
          <w:rPr>
            <w:rStyle w:val="Hyperlink"/>
            <w:rFonts w:ascii="GHEA Grapalat" w:hAnsi="GHEA Grapalat"/>
            <w:lang w:val="ru-RU"/>
          </w:rPr>
          <w:t>-</w:t>
        </w:r>
        <w:r w:rsidRPr="00080691">
          <w:rPr>
            <w:rStyle w:val="Hyperlink"/>
            <w:rFonts w:ascii="GHEA Grapalat" w:hAnsi="GHEA Grapalat"/>
          </w:rPr>
          <w:t>issues</w:t>
        </w:r>
        <w:r w:rsidRPr="00080691">
          <w:rPr>
            <w:rStyle w:val="Hyperlink"/>
            <w:rFonts w:ascii="GHEA Grapalat" w:hAnsi="GHEA Grapalat"/>
            <w:lang w:val="ru-RU"/>
          </w:rPr>
          <w:t>%20</w:t>
        </w:r>
        <w:r w:rsidRPr="00080691">
          <w:rPr>
            <w:rStyle w:val="Hyperlink"/>
            <w:rFonts w:ascii="GHEA Grapalat" w:hAnsi="GHEA Grapalat"/>
          </w:rPr>
          <w:t>paper</w:t>
        </w:r>
        <w:r w:rsidRPr="00080691">
          <w:rPr>
            <w:rStyle w:val="Hyperlink"/>
            <w:rFonts w:ascii="GHEA Grapalat" w:hAnsi="GHEA Grapalat"/>
            <w:lang w:val="ru-RU"/>
          </w:rPr>
          <w:t>-</w:t>
        </w:r>
        <w:r w:rsidRPr="00080691">
          <w:rPr>
            <w:rStyle w:val="Hyperlink"/>
            <w:rFonts w:ascii="GHEA Grapalat" w:hAnsi="GHEA Grapalat"/>
          </w:rPr>
          <w:t>Transparency</w:t>
        </w:r>
        <w:r w:rsidRPr="00080691">
          <w:rPr>
            <w:rStyle w:val="Hyperlink"/>
            <w:rFonts w:ascii="GHEA Grapalat" w:hAnsi="GHEA Grapalat"/>
            <w:lang w:val="ru-RU"/>
          </w:rPr>
          <w:t>-</w:t>
        </w:r>
        <w:r w:rsidRPr="00080691">
          <w:rPr>
            <w:rStyle w:val="Hyperlink"/>
            <w:rFonts w:ascii="GHEA Grapalat" w:hAnsi="GHEA Grapalat"/>
          </w:rPr>
          <w:t>and</w:t>
        </w:r>
        <w:r w:rsidRPr="00080691">
          <w:rPr>
            <w:rStyle w:val="Hyperlink"/>
            <w:rFonts w:ascii="GHEA Grapalat" w:hAnsi="GHEA Grapalat"/>
            <w:lang w:val="ru-RU"/>
          </w:rPr>
          <w:t>-</w:t>
        </w:r>
        <w:r w:rsidRPr="00080691">
          <w:rPr>
            <w:rStyle w:val="Hyperlink"/>
            <w:rFonts w:ascii="GHEA Grapalat" w:hAnsi="GHEA Grapalat"/>
          </w:rPr>
          <w:t>disclosure</w:t>
        </w:r>
        <w:r w:rsidRPr="00080691">
          <w:rPr>
            <w:rStyle w:val="Hyperlink"/>
            <w:rFonts w:ascii="GHEA Grapalat" w:hAnsi="GHEA Grapalat"/>
            <w:lang w:val="ru-RU"/>
          </w:rPr>
          <w:t>-</w:t>
        </w:r>
        <w:r w:rsidRPr="00080691">
          <w:rPr>
            <w:rStyle w:val="Hyperlink"/>
            <w:rFonts w:ascii="GHEA Grapalat" w:hAnsi="GHEA Grapalat"/>
          </w:rPr>
          <w:t>measures</w:t>
        </w:r>
        <w:r w:rsidRPr="00080691">
          <w:rPr>
            <w:rStyle w:val="Hyperlink"/>
            <w:rFonts w:ascii="GHEA Grapalat" w:hAnsi="GHEA Grapalat"/>
            <w:lang w:val="ru-RU"/>
          </w:rPr>
          <w:t>.</w:t>
        </w:r>
        <w:proofErr w:type="spellStart"/>
        <w:r w:rsidRPr="00080691">
          <w:rPr>
            <w:rStyle w:val="Hyperlink"/>
            <w:rFonts w:ascii="GHEA Grapalat" w:hAnsi="GHEA Grapalat"/>
          </w:rPr>
          <w:t>pdf</w:t>
        </w:r>
        <w:proofErr w:type="spellEnd"/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A2" w:rsidRDefault="00F94DA2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F94DA2" w:rsidRPr="00BC2834" w:rsidRDefault="00F94DA2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F94DA2" w:rsidRDefault="00F94D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A2" w:rsidRDefault="00F94DA2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F94DA2" w:rsidRPr="00BC2834" w:rsidRDefault="00F94DA2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F94DA2" w:rsidRDefault="00F94DA2" w:rsidP="00A35876">
    <w:pPr>
      <w:pStyle w:val="Header"/>
    </w:pPr>
  </w:p>
  <w:p w:rsidR="00F94DA2" w:rsidRDefault="00F94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A80"/>
    <w:multiLevelType w:val="hybridMultilevel"/>
    <w:tmpl w:val="B02070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3B75C4"/>
    <w:multiLevelType w:val="hybridMultilevel"/>
    <w:tmpl w:val="968862C8"/>
    <w:lvl w:ilvl="0" w:tplc="0E701DB8">
      <w:start w:val="1"/>
      <w:numFmt w:val="decimal"/>
      <w:lvlText w:val="%1."/>
      <w:lvlJc w:val="left"/>
      <w:pPr>
        <w:ind w:left="33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3E0146"/>
    <w:multiLevelType w:val="hybridMultilevel"/>
    <w:tmpl w:val="01E623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D49AE"/>
    <w:multiLevelType w:val="hybridMultilevel"/>
    <w:tmpl w:val="2D4ACD3A"/>
    <w:lvl w:ilvl="0" w:tplc="7AE8A7F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E0AB9"/>
    <w:rsid w:val="00025DFC"/>
    <w:rsid w:val="000427E2"/>
    <w:rsid w:val="00046493"/>
    <w:rsid w:val="00055CC6"/>
    <w:rsid w:val="000655FC"/>
    <w:rsid w:val="00070BD7"/>
    <w:rsid w:val="00080691"/>
    <w:rsid w:val="000A12A9"/>
    <w:rsid w:val="000F32A3"/>
    <w:rsid w:val="000F4781"/>
    <w:rsid w:val="000F50E0"/>
    <w:rsid w:val="001365B3"/>
    <w:rsid w:val="00160C8B"/>
    <w:rsid w:val="00184F41"/>
    <w:rsid w:val="00185C3F"/>
    <w:rsid w:val="0019007D"/>
    <w:rsid w:val="00190D62"/>
    <w:rsid w:val="001A136C"/>
    <w:rsid w:val="001A153E"/>
    <w:rsid w:val="001B290A"/>
    <w:rsid w:val="001B625E"/>
    <w:rsid w:val="001D1D0A"/>
    <w:rsid w:val="001F0DB4"/>
    <w:rsid w:val="001F4676"/>
    <w:rsid w:val="002023F8"/>
    <w:rsid w:val="0020523A"/>
    <w:rsid w:val="00241842"/>
    <w:rsid w:val="00246C2C"/>
    <w:rsid w:val="00250BE6"/>
    <w:rsid w:val="00265F1C"/>
    <w:rsid w:val="0026753D"/>
    <w:rsid w:val="0027544E"/>
    <w:rsid w:val="00280A55"/>
    <w:rsid w:val="00283B7A"/>
    <w:rsid w:val="00294D07"/>
    <w:rsid w:val="002A6232"/>
    <w:rsid w:val="002D2FFD"/>
    <w:rsid w:val="002E0A93"/>
    <w:rsid w:val="002E40CB"/>
    <w:rsid w:val="003158C4"/>
    <w:rsid w:val="00334189"/>
    <w:rsid w:val="003417C6"/>
    <w:rsid w:val="003563B8"/>
    <w:rsid w:val="003623FD"/>
    <w:rsid w:val="00365F55"/>
    <w:rsid w:val="00381B45"/>
    <w:rsid w:val="003C1341"/>
    <w:rsid w:val="003E655D"/>
    <w:rsid w:val="003F0A74"/>
    <w:rsid w:val="003F47BA"/>
    <w:rsid w:val="003F775D"/>
    <w:rsid w:val="00415F18"/>
    <w:rsid w:val="00422AC0"/>
    <w:rsid w:val="00424E45"/>
    <w:rsid w:val="004308D8"/>
    <w:rsid w:val="00436879"/>
    <w:rsid w:val="00437241"/>
    <w:rsid w:val="00472E83"/>
    <w:rsid w:val="004745A4"/>
    <w:rsid w:val="004777B1"/>
    <w:rsid w:val="004A5AC2"/>
    <w:rsid w:val="004D1507"/>
    <w:rsid w:val="004D180F"/>
    <w:rsid w:val="004D71C2"/>
    <w:rsid w:val="00506521"/>
    <w:rsid w:val="00550974"/>
    <w:rsid w:val="00584D7A"/>
    <w:rsid w:val="0059030F"/>
    <w:rsid w:val="005D0612"/>
    <w:rsid w:val="005E0AB9"/>
    <w:rsid w:val="005E204A"/>
    <w:rsid w:val="005E2810"/>
    <w:rsid w:val="005F3556"/>
    <w:rsid w:val="006104BF"/>
    <w:rsid w:val="00641C24"/>
    <w:rsid w:val="006467BA"/>
    <w:rsid w:val="00650046"/>
    <w:rsid w:val="00655098"/>
    <w:rsid w:val="00664284"/>
    <w:rsid w:val="006A221F"/>
    <w:rsid w:val="006A27F2"/>
    <w:rsid w:val="006F021F"/>
    <w:rsid w:val="006F6108"/>
    <w:rsid w:val="006F7CDA"/>
    <w:rsid w:val="00702D38"/>
    <w:rsid w:val="00707777"/>
    <w:rsid w:val="00712124"/>
    <w:rsid w:val="00712685"/>
    <w:rsid w:val="00721892"/>
    <w:rsid w:val="00723057"/>
    <w:rsid w:val="00725AE5"/>
    <w:rsid w:val="00742C19"/>
    <w:rsid w:val="0074463C"/>
    <w:rsid w:val="00752D86"/>
    <w:rsid w:val="00781475"/>
    <w:rsid w:val="00783E7E"/>
    <w:rsid w:val="00796DE6"/>
    <w:rsid w:val="00796F5C"/>
    <w:rsid w:val="007D52E6"/>
    <w:rsid w:val="00804497"/>
    <w:rsid w:val="008173E1"/>
    <w:rsid w:val="00820806"/>
    <w:rsid w:val="00827706"/>
    <w:rsid w:val="008453A5"/>
    <w:rsid w:val="0085031F"/>
    <w:rsid w:val="00851E8D"/>
    <w:rsid w:val="0085574D"/>
    <w:rsid w:val="008574D8"/>
    <w:rsid w:val="00862CF7"/>
    <w:rsid w:val="008634BE"/>
    <w:rsid w:val="0089190B"/>
    <w:rsid w:val="008A3DD5"/>
    <w:rsid w:val="008B19D7"/>
    <w:rsid w:val="008B5039"/>
    <w:rsid w:val="008D3DDC"/>
    <w:rsid w:val="008D6286"/>
    <w:rsid w:val="008E2DDF"/>
    <w:rsid w:val="008E5DDF"/>
    <w:rsid w:val="008F3332"/>
    <w:rsid w:val="008F68DC"/>
    <w:rsid w:val="00903CA9"/>
    <w:rsid w:val="009072BC"/>
    <w:rsid w:val="0092533D"/>
    <w:rsid w:val="00934AE5"/>
    <w:rsid w:val="00940287"/>
    <w:rsid w:val="00962753"/>
    <w:rsid w:val="0098159C"/>
    <w:rsid w:val="009860E0"/>
    <w:rsid w:val="0099555C"/>
    <w:rsid w:val="009B03D7"/>
    <w:rsid w:val="009B543E"/>
    <w:rsid w:val="009C0C9B"/>
    <w:rsid w:val="009D01AD"/>
    <w:rsid w:val="009D026A"/>
    <w:rsid w:val="009D324B"/>
    <w:rsid w:val="009E7FC2"/>
    <w:rsid w:val="009F4B43"/>
    <w:rsid w:val="00A020F0"/>
    <w:rsid w:val="00A02448"/>
    <w:rsid w:val="00A05945"/>
    <w:rsid w:val="00A1007B"/>
    <w:rsid w:val="00A1759A"/>
    <w:rsid w:val="00A31875"/>
    <w:rsid w:val="00A33418"/>
    <w:rsid w:val="00A35876"/>
    <w:rsid w:val="00A42A3C"/>
    <w:rsid w:val="00A657A1"/>
    <w:rsid w:val="00A67608"/>
    <w:rsid w:val="00A854A4"/>
    <w:rsid w:val="00A90334"/>
    <w:rsid w:val="00A96708"/>
    <w:rsid w:val="00AB02DE"/>
    <w:rsid w:val="00AB0595"/>
    <w:rsid w:val="00AB3216"/>
    <w:rsid w:val="00AB379F"/>
    <w:rsid w:val="00AD25C4"/>
    <w:rsid w:val="00AD4FEB"/>
    <w:rsid w:val="00AF5CDC"/>
    <w:rsid w:val="00B004CB"/>
    <w:rsid w:val="00B158F2"/>
    <w:rsid w:val="00B34FB7"/>
    <w:rsid w:val="00B3632C"/>
    <w:rsid w:val="00B41A67"/>
    <w:rsid w:val="00B46AF0"/>
    <w:rsid w:val="00B47E4D"/>
    <w:rsid w:val="00B61C36"/>
    <w:rsid w:val="00B80EC3"/>
    <w:rsid w:val="00B8669B"/>
    <w:rsid w:val="00B86803"/>
    <w:rsid w:val="00BB5FFD"/>
    <w:rsid w:val="00C05E04"/>
    <w:rsid w:val="00C65DDB"/>
    <w:rsid w:val="00C7662F"/>
    <w:rsid w:val="00C837E3"/>
    <w:rsid w:val="00CA6601"/>
    <w:rsid w:val="00CB012C"/>
    <w:rsid w:val="00CC33FD"/>
    <w:rsid w:val="00CC7A95"/>
    <w:rsid w:val="00CD2BBD"/>
    <w:rsid w:val="00CF4FF8"/>
    <w:rsid w:val="00D05F7B"/>
    <w:rsid w:val="00D060F2"/>
    <w:rsid w:val="00D069E7"/>
    <w:rsid w:val="00D14000"/>
    <w:rsid w:val="00D16D2B"/>
    <w:rsid w:val="00D26570"/>
    <w:rsid w:val="00D333FD"/>
    <w:rsid w:val="00D53E31"/>
    <w:rsid w:val="00D5795F"/>
    <w:rsid w:val="00D60525"/>
    <w:rsid w:val="00D619D2"/>
    <w:rsid w:val="00D929DB"/>
    <w:rsid w:val="00DA0E54"/>
    <w:rsid w:val="00DA13A7"/>
    <w:rsid w:val="00DB6201"/>
    <w:rsid w:val="00DB6BF6"/>
    <w:rsid w:val="00DB717E"/>
    <w:rsid w:val="00DC702A"/>
    <w:rsid w:val="00DD4877"/>
    <w:rsid w:val="00DD720D"/>
    <w:rsid w:val="00DE5CB0"/>
    <w:rsid w:val="00DF1F35"/>
    <w:rsid w:val="00E23BDB"/>
    <w:rsid w:val="00E32DD4"/>
    <w:rsid w:val="00E50D65"/>
    <w:rsid w:val="00E64C5D"/>
    <w:rsid w:val="00E70CA9"/>
    <w:rsid w:val="00E8021A"/>
    <w:rsid w:val="00E827FB"/>
    <w:rsid w:val="00E83E73"/>
    <w:rsid w:val="00EA4EAA"/>
    <w:rsid w:val="00EA78B0"/>
    <w:rsid w:val="00EE04F0"/>
    <w:rsid w:val="00EE3339"/>
    <w:rsid w:val="00EE637D"/>
    <w:rsid w:val="00EF7D09"/>
    <w:rsid w:val="00F02B0E"/>
    <w:rsid w:val="00F02B9F"/>
    <w:rsid w:val="00F04AF3"/>
    <w:rsid w:val="00F152E4"/>
    <w:rsid w:val="00F22A0A"/>
    <w:rsid w:val="00F239AC"/>
    <w:rsid w:val="00F32274"/>
    <w:rsid w:val="00F43FE3"/>
    <w:rsid w:val="00F5273B"/>
    <w:rsid w:val="00F556A7"/>
    <w:rsid w:val="00F802C9"/>
    <w:rsid w:val="00F94DA2"/>
    <w:rsid w:val="00FA503F"/>
    <w:rsid w:val="00FA52FA"/>
    <w:rsid w:val="00FB2A6C"/>
    <w:rsid w:val="00FB3295"/>
    <w:rsid w:val="00FB5C27"/>
    <w:rsid w:val="00FD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CB0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CB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C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daf/ca/2016-SOEs-issues%20paper-Transparency-and-disclosure-measur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CBC0-87D0-455A-977C-A55A4C3E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http://mul-moj.gov.am/tasks/docs/attachment.php?id=212719&amp;fn=Naxagic_irakan_shaharu.docx&amp;out=0&amp;token=783cec0ce3f9ac8d788f</cp:keywords>
</cp:coreProperties>
</file>