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6F" w:rsidRPr="005B4B85" w:rsidRDefault="00FC4044" w:rsidP="0052679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4B85">
        <w:rPr>
          <w:rFonts w:ascii="GHEA Grapalat" w:hAnsi="GHEA Grapalat"/>
          <w:b/>
          <w:sz w:val="24"/>
          <w:szCs w:val="24"/>
          <w:lang w:val="hy-AM"/>
        </w:rPr>
        <w:t>Ա Մ Փ Ո Փ Ա Թ Ե Ր Թ</w:t>
      </w:r>
    </w:p>
    <w:p w:rsidR="00FC4044" w:rsidRPr="005B4B85" w:rsidRDefault="0037426C" w:rsidP="0052679C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5B4B8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օրենքի </w:t>
      </w:r>
      <w:r w:rsidR="00FC4044" w:rsidRPr="005B4B85">
        <w:rPr>
          <w:rFonts w:ascii="GHEA Grapalat" w:hAnsi="GHEA Grapalat"/>
          <w:sz w:val="24"/>
          <w:szCs w:val="24"/>
          <w:lang w:val="hy-AM"/>
        </w:rPr>
        <w:t>նախագծի վերաբերյալ շահագրգիռ մարմինների կողմից ներկայացված կարծիքների քննարկման արդյունքների վերաբերյալ</w:t>
      </w:r>
    </w:p>
    <w:p w:rsidR="00FC4044" w:rsidRPr="005B4B85" w:rsidRDefault="00FC4044" w:rsidP="0052679C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217"/>
        <w:gridCol w:w="4233"/>
        <w:gridCol w:w="4434"/>
        <w:gridCol w:w="3356"/>
      </w:tblGrid>
      <w:tr w:rsidR="00012A73" w:rsidRPr="00D8584A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Մարմինը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բովանդակությունը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քննարկման արդյունքները</w:t>
            </w:r>
          </w:p>
        </w:tc>
        <w:tc>
          <w:tcPr>
            <w:tcW w:w="3356" w:type="dxa"/>
          </w:tcPr>
          <w:p w:rsidR="00D8584A" w:rsidRPr="00D43373" w:rsidRDefault="00D43373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23.10.2018թ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ԱԹ/11.2/15318-18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Բնապահպանության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1/04.3/12296-18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C9354E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B4B85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ներգետիկ ենթակառուցվածքների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պաշարների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01ԳԲ/13.2ՀովԲ/6172-18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1)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ab/>
              <w:t>300-րդ հոդվածի 2-րդ մասի «4» բառը փոխարինել «3» բառով, քանի որ պարզեցված վարույթի կարգով գործի քննության դեպքում ողջամիտ է սահմանել առավել կարճ ժամկետ,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1A1A83" w:rsidRDefault="001A1A83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3356" w:type="dxa"/>
          </w:tcPr>
          <w:p w:rsidR="00D8584A" w:rsidRPr="001A1A83" w:rsidRDefault="009D2FAF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792"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հաշվարկելիս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հիմք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ընդունվում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այս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ընթացքում կատարվող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ողջամտորեն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պահանջվող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ժամկետները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: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չի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բացառում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հնարավորության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lastRenderedPageBreak/>
              <w:t>կոնկրետ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սեղմ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քննելը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: Ավելին սեղմ ժամկետներում գործը քննելը բխում է դատավորի վա</w:t>
            </w:r>
            <w:r w:rsidR="00005E8B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քագծի կանոններից,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012A73" w:rsidRPr="00713502" w:rsidTr="00425C27">
        <w:tc>
          <w:tcPr>
            <w:tcW w:w="3217" w:type="dxa"/>
          </w:tcPr>
          <w:p w:rsidR="00D8584A" w:rsidRPr="00C9354E" w:rsidRDefault="00D8584A" w:rsidP="0052679C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2)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ab/>
              <w:t>302-րդ հոդվածի 2-րդ ենթակետում նշված երկու հանգամանքները առանձին առանձին արդեն իսկ կարող են հիմք հանդիսանալ 1-ին կետի գործողությունն իրականացնելու համար, այդ իսկ պատճառով «և կայացված վճիռն անբարենպաստ է գործին մասնակցող այդ անձի համար» բառերը հանել և սահմանել առանձին 3-րդ ենթակետով: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A577CB" w:rsidRDefault="004F38C1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  <w:r w:rsidR="00A577CB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356" w:type="dxa"/>
          </w:tcPr>
          <w:p w:rsidR="00D8584A" w:rsidRPr="00A577CB" w:rsidRDefault="00A577CB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</w:t>
            </w:r>
            <w:r w:rsidR="00CA02F4">
              <w:rPr>
                <w:rFonts w:ascii="GHEA Grapalat" w:hAnsi="GHEA Grapalat"/>
                <w:sz w:val="24"/>
                <w:szCs w:val="24"/>
                <w:lang w:val="en-US"/>
              </w:rPr>
              <w:t>ի համապատասխան դրույթը շարադրվել է այլ խմբագրությամբ, որի պարագայում նշված առաջարկը քննարկելու անհրաժեշտությունը բացակայում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24.10.2018թ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ԳԳ/ԳԱ-1/8225-18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713502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Մարդու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իրավունքների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պաշտպանի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գրասենյակ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3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01/13.4/5723-18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Նախագծի 1-ին հոդվածով նախատեսվում է Հայաստանի Հանրապետության քաղաքացիական դատավարության օրենսգրքի 41-րդ գլուխը շարադրել նոր խմբագրությամբ, որի 302-րդ հոդվածի 1-ին մասով սահմանվում է, որ պարզեցված վարույթի կարգով գործի քննության արդյունքում կայացվող վճիռը չի պարունակում պատճառաբանական մաս, բացառությամբ այն դեպքի, երբ մինչև գործով եզրափակիչ դատական ակտը հրապարակելը գործին մասնակցող անձը ներկայացրել է վճիռը պատճառաբանելու վերաբերյալ դիմում, և կայացված վճիռն անբարենպաստ է գործին մասնակցող այդ անձի համար: 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Վերոգրյալի վերլուծության արդյունքում պարզ է դառնում, որ պարզեցված վարույթի կարգով գործի քննության արդյունքում կայացվող վճռի պատճառաբանական մաս պարունակելու համար գործին մասնակցող անձը մինչև գործով </w:t>
            </w: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եզրափակիչ դատական ակտը հրապարակելը դիմում պետք է ներկայացնի վճիռը պատճառաբանելու վերաբերյալ միայն այն դեպքում, երբ կայացված վճիռը անբարենպաստ է տվյալ անձի համար: Այսինքն, վերոհիշյալից կարելի է եզրակացնել, որ  նշված կետի ուժով վճռի պատճառաբանական մասի առկայության համար պարտադիր է 2 պայմանների միաժամանակյա առկայություն՝</w:t>
            </w:r>
          </w:p>
          <w:p w:rsidR="00D8584A" w:rsidRPr="005B4B85" w:rsidRDefault="00D8584A" w:rsidP="0052679C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</w:tabs>
              <w:spacing w:line="276" w:lineRule="auto"/>
              <w:ind w:left="0"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վճիռը պատճառաբանելու վերաբերյալ դիմում կարող է ներկայացնել այն անձը, ում համար տվյալ վճիռն անբարենպաստ է, և</w:t>
            </w:r>
          </w:p>
          <w:p w:rsidR="00D8584A" w:rsidRPr="005B4B85" w:rsidRDefault="00D8584A" w:rsidP="0052679C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</w:tabs>
              <w:spacing w:line="276" w:lineRule="auto"/>
              <w:ind w:left="0"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տվյալ անձը վճիռը պատճառաբանելու վերաբերյալ դիմում պետք է ներկայացնի մինչև գործով եզրափակիչ դատական ակտը հրապարակելը: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Սակայն հարկ է փաստել, որ հնարավոր չէ ապահովել վերը նշված 2 պայմանների միաժամանակյա առկայությունը՝ հետևաբար նաև՝ տվյալ կարգավորման գործելը։ Այսպես, </w:t>
            </w: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գործին մասնակցող անձը մինչև գործով եզրափակիչ դատական ակտի հրապարակումը չի կարող որոշել վճռի իր համար բարենպաստ կամ անբարենպաստ լինելը, դրա բովանդակության ծանոթ չլինելու պատճառով: Արդյունքում՝ կարգավորման երկու բաղադրիչները հակասում են միմյանց, հետևաբար խաթարելով նշված կարգավորման գործողության մեջ դնելը: Նշվածն էլ իր հերթին խաթարում է անձի՝ վճիռը վերադասության կարգով բողոքարկման իրավունքի իրացումը։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Ելնելով վերոգրյալից՝ առաջարկում ենք վերանայել նշված կարգավորումը՝ վերացնելով քննարկված հակասությունները, միևնույն ժամանակ սահմանելով նաև հստակ ժամկետներ գործին մասնակցող անձի կողմից վճիռը պատճառաբանելու վերաբերյալ դիմումի ներկայացման և դատարանի կողմից վճիռը պատճառաբանելու վերաբերյալ։  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6235C1" w:rsidRDefault="006235C1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D8584A" w:rsidRPr="005B4B85" w:rsidRDefault="0093520F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 համապատասխան դրույթը շարադրվել է այլ խմբագրությամբ, որի պարագայում նշված առաջարկը քննարկելու անհրաժեշտությունը բացակայում է: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Սպորտի և երիտասարդության հարցերի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23.10.2018թ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1/12/1355-18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sv-FI"/>
              </w:rPr>
              <w:t>Մշակույթի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.10.2018թ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01/5.1/7402-18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713502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Տարածքային կառավարման և զարգացման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4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.10.2018թ</w:t>
            </w:r>
            <w:r w:rsidRPr="005B4B85">
              <w:rPr>
                <w:rFonts w:ascii="GHEA Grapalat" w:hAnsi="GHEA Grapalat"/>
                <w:sz w:val="24"/>
                <w:szCs w:val="24"/>
              </w:rPr>
              <w:t>.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01/21/8410-18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4F38C1" w:rsidRDefault="00D8584A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հստակեցվել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դատավարությունում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Սակայն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հնարավորություն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ընձեռնվել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ներկայացնել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ընթացակարգի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6235C1" w:rsidRPr="004F38C1" w:rsidRDefault="006235C1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297-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սահմանվում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դեպքերը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դատարանին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lastRenderedPageBreak/>
              <w:t>հնարավորություն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հայեցողությամբ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միանձնյա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նախաձեռնելու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որոշելու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դեպքերը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բովանդակությունից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զրկված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ներկայացնելու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հնարավորությունից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Ելնելով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վերագրյալից՝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297-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մասը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կետով՝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բովանդակությամբ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. «6)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կողմերից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մեկի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միջնորդությամբ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դատարանը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եկել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եզրահանգման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6235C1" w:rsidRPr="004F38C1" w:rsidRDefault="006235C1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>»:</w:t>
            </w:r>
          </w:p>
          <w:p w:rsidR="00D8584A" w:rsidRPr="004F38C1" w:rsidRDefault="00D8584A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434" w:type="dxa"/>
          </w:tcPr>
          <w:p w:rsidR="00D8584A" w:rsidRPr="006235C1" w:rsidRDefault="00707A7F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3356" w:type="dxa"/>
          </w:tcPr>
          <w:p w:rsidR="00707A7F" w:rsidRPr="006235C1" w:rsidRDefault="0069045C" w:rsidP="005A64A6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Նախագծով նախատեսված են գործը պարզեցված վարույթի կարգով քննելու արգելքները</w:t>
            </w:r>
            <w:r w:rsidR="000C7C4C">
              <w:rPr>
                <w:rFonts w:ascii="GHEA Grapalat" w:hAnsi="GHEA Grapalat"/>
                <w:sz w:val="24"/>
                <w:szCs w:val="24"/>
                <w:lang w:val="en-US"/>
              </w:rPr>
              <w:t>, որոնց առկայությ</w:t>
            </w:r>
            <w:r w:rsidR="005A64A6">
              <w:rPr>
                <w:rFonts w:ascii="GHEA Grapalat" w:hAnsi="GHEA Grapalat"/>
                <w:sz w:val="24"/>
                <w:szCs w:val="24"/>
                <w:lang w:val="en-US"/>
              </w:rPr>
              <w:t>ունը կարող է վերհանվել ինչպես դատարանի նախաձեռնությամբ, այնպես էլ գործին մասնակցող անձանց: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և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01/15904-18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Տ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րանսպորտի,կապի և տեղեկատվական տեխնոլոգիաների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01/16.1/16952-18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FF1C7E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Աշխատանքի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սոցիալական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հարցերի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</w:p>
          <w:p w:rsidR="00D8584A" w:rsidRPr="00CB30E7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F1C7E">
              <w:rPr>
                <w:rFonts w:ascii="GHEA Grapalat" w:hAnsi="GHEA Grapalat"/>
                <w:sz w:val="24"/>
                <w:szCs w:val="24"/>
              </w:rPr>
              <w:t>5</w:t>
            </w: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</w:rPr>
              <w:t>ՄԹ/16542-18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Սփյուռքի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01/16.1/2433-18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Սփյուռքի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6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ՄԹ/16542-18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դատախազություն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9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04/12013-18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Ֆինանսների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01/11-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4/19454-18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Պետական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եկամուտների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կոմիտե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7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01/11-1/64484-18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Տնտեսական զարգացման և ներդրումների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</w:rPr>
              <w:t>30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01/22.2/8815-18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6B233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Արտակարգ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իրավիճակների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6B233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B233A">
              <w:rPr>
                <w:rFonts w:ascii="GHEA Grapalat" w:hAnsi="GHEA Grapalat"/>
                <w:sz w:val="24"/>
                <w:szCs w:val="24"/>
              </w:rPr>
              <w:t>25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1/06.1/12863-18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Պաշտպանության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28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1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/510-625205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Կենտրոնական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բանկ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27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15.1-06/000695-18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2A4D24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Արտաքին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գործերի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2A4D24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2A4D24">
              <w:rPr>
                <w:rFonts w:ascii="GHEA Grapalat" w:hAnsi="GHEA Grapalat"/>
                <w:sz w:val="24"/>
                <w:szCs w:val="24"/>
                <w:lang w:val="it-IT"/>
              </w:rPr>
              <w:t>05</w:t>
            </w:r>
            <w:r w:rsidRPr="002A4D24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2A4D24">
              <w:rPr>
                <w:rFonts w:ascii="GHEA Grapalat" w:hAnsi="GHEA Grapalat"/>
                <w:sz w:val="24"/>
                <w:szCs w:val="24"/>
                <w:lang w:val="it-IT"/>
              </w:rPr>
              <w:t>1</w:t>
            </w:r>
            <w:r w:rsidRPr="002A4D24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1111/3478-18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005E8B" w:rsidTr="00425C27">
        <w:tc>
          <w:tcPr>
            <w:tcW w:w="3217" w:type="dxa"/>
          </w:tcPr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Բանկերի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միության</w:t>
            </w:r>
          </w:p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02.11.2018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թվականի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ՀԲՄ -2018-033</w:t>
            </w:r>
          </w:p>
        </w:tc>
        <w:tc>
          <w:tcPr>
            <w:tcW w:w="4233" w:type="dxa"/>
          </w:tcPr>
          <w:p w:rsidR="00D8584A" w:rsidRPr="00822576" w:rsidRDefault="00D8584A" w:rsidP="0052679C">
            <w:pPr>
              <w:pStyle w:val="a0"/>
              <w:shd w:val="clear" w:color="auto" w:fill="auto"/>
              <w:tabs>
                <w:tab w:val="left" w:pos="5794"/>
              </w:tabs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 xml:space="preserve">Համաձայն ՀՀ քաղաքացիական դատավարության օրենսգրքի /այսուհետ’ Օրենսգիրք/ 297-րդ հոդվածի' առաջին ատյանի դատարանը կարող Է պարզեցված վարույթի կարգով քննել նան այլ գործեր, եթե առկա </w:t>
            </w:r>
            <w:r w:rsidR="00A37C4A">
              <w:rPr>
                <w:rFonts w:ascii="GHEA Grapalat" w:hAnsi="GHEA Grapalat"/>
                <w:sz w:val="24"/>
                <w:szCs w:val="24"/>
              </w:rPr>
              <w:t>է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գործին մասնակցող բոլոր անձանց միջ</w:t>
            </w:r>
            <w:r w:rsidR="003F33FB">
              <w:rPr>
                <w:rFonts w:ascii="GHEA Grapalat" w:hAnsi="GHEA Grapalat"/>
                <w:sz w:val="24"/>
                <w:szCs w:val="24"/>
              </w:rPr>
              <w:t>և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կնքված' գործը պարզեցված վարույթի կարգով քննելու վերաբերյալ գրավոր համաձայնություն, </w:t>
            </w:r>
            <w:r w:rsidR="003F33FB">
              <w:rPr>
                <w:rFonts w:ascii="GHEA Grapalat" w:hAnsi="GHEA Grapalat"/>
                <w:sz w:val="24"/>
                <w:szCs w:val="24"/>
              </w:rPr>
              <w:t>և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հայցադիմումի պատասխան ներկայացնելու համար սահմանված ժամկետում գործին մասնակցող որևէ անձ չի առարկել գործը պարզեցված վարույթի կարգով քննելու դեմ:</w:t>
            </w:r>
            <w:r w:rsidRPr="00822576">
              <w:rPr>
                <w:rFonts w:ascii="GHEA Grapalat" w:hAnsi="GHEA Grapalat"/>
                <w:sz w:val="24"/>
                <w:szCs w:val="24"/>
              </w:rPr>
              <w:tab/>
              <w:t>Նախագծով նախատեսվող</w:t>
            </w:r>
          </w:p>
          <w:p w:rsidR="00D8584A" w:rsidRPr="00822576" w:rsidRDefault="00D8584A" w:rsidP="0052679C">
            <w:pPr>
              <w:pStyle w:val="a0"/>
              <w:shd w:val="clear" w:color="auto" w:fill="auto"/>
              <w:spacing w:after="24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 xml:space="preserve">փոփոխությունների շրջանակներում ընդլայնվում է այս կարգով պարզեցված վարույթի շրջանակներում քննվող գործերի շրջանակը, սակայն պահպանվում է այն մոտեցումը, որ սահմանված </w:t>
            </w:r>
            <w:r w:rsidRPr="00822576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դեպքերում դատարանն իր հայեցողությամբ է լուծում գործը պարզեցված վարույթի կարգով քննելու կամ չքննելու հարցը /«առաջին ատյանի դատարանը կարողի ...»/ թեն. Օրենսգրքի 297-րդ հոդվածի թե՛ գործող; և թե' առաջարկվող խմբագրությամբ սահմանվում են այդ վարույթով գործը քննելու հնարավորությունը բացառող դեպքերը, ինչպես նաև կողմերի համաձայնության պարագայում առկա է նաև գործին մասնակցող որևէ անձի կողմից այս կարգով գործը քննելու դեմ առարկելու հնարավորությունը: Նշվածը հաշվի առնելով՝ կարծում ենք, որ եթե բացակայում </w:t>
            </w:r>
            <w:r w:rsidR="003F33FB">
              <w:rPr>
                <w:rFonts w:ascii="GHEA Grapalat" w:hAnsi="GHEA Grapalat"/>
                <w:sz w:val="24"/>
                <w:szCs w:val="24"/>
              </w:rPr>
              <w:t>ե</w:t>
            </w:r>
            <w:r w:rsidRPr="00822576">
              <w:rPr>
                <w:rFonts w:ascii="GHEA Grapalat" w:hAnsi="GHEA Grapalat"/>
                <w:sz w:val="24"/>
                <w:szCs w:val="24"/>
              </w:rPr>
              <w:t>ն Օրենսգրքի 297-րդ հոդվածով սահմանված հիմքերը, դատարանը պետք է քննի գործը պարզեցված</w:t>
            </w:r>
            <w:r w:rsidR="00B172B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br w:type="page"/>
              <w:t>վարույթի կարգով, հատակապես, երբ խոսքը գնում է կողմերի միջև նախապես ձեռք բերված համաձայնության դեպքի մասին, երբ որևէ կողմ չի առարկում գործի' նման կարգով քննության դեմ:</w:t>
            </w:r>
          </w:p>
        </w:tc>
        <w:tc>
          <w:tcPr>
            <w:tcW w:w="4434" w:type="dxa"/>
          </w:tcPr>
          <w:p w:rsidR="00D8584A" w:rsidRPr="00B172B9" w:rsidRDefault="00B172B9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9D4883" w:rsidRPr="00005E8B" w:rsidRDefault="000C7C4C" w:rsidP="0052679C">
            <w:pPr>
              <w:spacing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 xml:space="preserve">աշվի առնելով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պարզեցված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վարույթ</w:t>
            </w:r>
            <w:r w:rsidR="006F3DEC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ի</w:t>
            </w:r>
            <w:r w:rsidR="006F3DEC" w:rsidRPr="006F3DE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6F3DEC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կարգով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քննվող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այլ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գործերի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>բնույթը, գործի բարդությունը</w:t>
            </w:r>
            <w:r w:rsidR="00D93F0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՝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 xml:space="preserve"> դրանք յուրաքանչյուր դեպքում ենթակա են գնահատման և դատարանի հայեցողական լիազորությունն է որոշելու թե արդյոք այդ գործերը կարող են քննվել պարզեցված վարույթի կարգով, թե ոչ:</w:t>
            </w:r>
          </w:p>
          <w:p w:rsidR="0066252A" w:rsidRPr="0066252A" w:rsidRDefault="0066252A" w:rsidP="0066252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it-IT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դատավորը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կաշկանդված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դատավորի վա</w:t>
            </w:r>
            <w:r w:rsidR="00005E8B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քագծի կանոններ</w:t>
            </w:r>
            <w:r>
              <w:rPr>
                <w:rFonts w:ascii="GHEA Grapalat" w:hAnsi="GHEA Grapalat"/>
                <w:sz w:val="24"/>
                <w:szCs w:val="24"/>
              </w:rPr>
              <w:t>ով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012A73" w:rsidRPr="00713502" w:rsidTr="00425C27">
        <w:tc>
          <w:tcPr>
            <w:tcW w:w="3217" w:type="dxa"/>
          </w:tcPr>
          <w:p w:rsidR="00D8584A" w:rsidRPr="0066252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</w:p>
        </w:tc>
        <w:tc>
          <w:tcPr>
            <w:tcW w:w="4233" w:type="dxa"/>
          </w:tcPr>
          <w:p w:rsidR="00D8584A" w:rsidRPr="00005E8B" w:rsidRDefault="00D8584A" w:rsidP="0052679C">
            <w:pPr>
              <w:pStyle w:val="a0"/>
              <w:shd w:val="clear" w:color="auto" w:fill="auto"/>
              <w:spacing w:after="24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it-IT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302-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5-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կետի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ենք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վճիռը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օրինական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ուժի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մեջ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մտնի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վճռի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հրապարակման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պահից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վճիռը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չէ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բողոքարկման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>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434" w:type="dxa"/>
          </w:tcPr>
          <w:p w:rsidR="00D8584A" w:rsidRPr="001744EC" w:rsidRDefault="001744EC" w:rsidP="00912D5D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Չի ընդունվել:</w:t>
            </w:r>
          </w:p>
        </w:tc>
        <w:tc>
          <w:tcPr>
            <w:tcW w:w="3356" w:type="dxa"/>
          </w:tcPr>
          <w:p w:rsidR="00D8584A" w:rsidRPr="007D646E" w:rsidRDefault="003A5482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Բողոքարկման արգելքը նախագծում վերանայվել է, որպիսի պայմաններում առաջարկի քննարկման անհրաժեշտությունը վերանում է</w:t>
            </w:r>
            <w:r w:rsidR="000A419B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7D646E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233" w:type="dxa"/>
          </w:tcPr>
          <w:p w:rsidR="00D8584A" w:rsidRPr="003A5482" w:rsidRDefault="00D8584A" w:rsidP="0052679C">
            <w:pPr>
              <w:pStyle w:val="a0"/>
              <w:shd w:val="clear" w:color="auto" w:fill="auto"/>
              <w:spacing w:after="478" w:line="276" w:lineRule="auto"/>
              <w:ind w:left="20" w:right="20"/>
              <w:jc w:val="both"/>
              <w:rPr>
                <w:lang w:val="en-US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302-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5-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կետի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ենթակետով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բացառությունը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կարիք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ունի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որոշակի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խմբագրման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հաշվի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առնելով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այն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հանգամանքը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եզրափակիչ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դատական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ակտի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հրապարակումը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անձը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է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չունենալ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հստակ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իմանալու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կայացվելիք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անբարենպաստ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է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լինելու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իր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թե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ոչ</w:t>
            </w:r>
            <w:r w:rsidRPr="003A5482">
              <w:rPr>
                <w:lang w:val="en-US"/>
              </w:rPr>
              <w:t>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434" w:type="dxa"/>
          </w:tcPr>
          <w:p w:rsidR="00D8584A" w:rsidRPr="00594D0F" w:rsidRDefault="008464ED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  <w:r w:rsidR="00594D0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:rsidR="00D8584A" w:rsidRPr="005B60EF" w:rsidRDefault="008464ED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8464E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BF2D32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Բարձրագույն դատական խորհրդի</w:t>
            </w:r>
          </w:p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.11.2018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թվականի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-2018-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8973</w:t>
            </w:r>
          </w:p>
        </w:tc>
        <w:tc>
          <w:tcPr>
            <w:tcW w:w="4233" w:type="dxa"/>
          </w:tcPr>
          <w:p w:rsidR="00D8584A" w:rsidRPr="00822576" w:rsidRDefault="00D8584A" w:rsidP="0052679C">
            <w:pPr>
              <w:pStyle w:val="a0"/>
              <w:shd w:val="clear" w:color="auto" w:fill="auto"/>
              <w:spacing w:after="478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538F7" w:rsidRPr="000538F7" w:rsidTr="00425C27">
        <w:tc>
          <w:tcPr>
            <w:tcW w:w="3217" w:type="dxa"/>
          </w:tcPr>
          <w:p w:rsidR="000538F7" w:rsidRPr="008C79EE" w:rsidRDefault="000538F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Լոռու մարզի ընդհանուր իրավասության դատարանի</w:t>
            </w:r>
          </w:p>
          <w:p w:rsidR="000538F7" w:rsidRPr="004F38C1" w:rsidRDefault="000538F7" w:rsidP="0052679C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դ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ատավոր</w:t>
            </w:r>
            <w:r w:rsidRPr="008C7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8C79E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Մկրտչյան</w:t>
            </w:r>
          </w:p>
        </w:tc>
        <w:tc>
          <w:tcPr>
            <w:tcW w:w="4233" w:type="dxa"/>
          </w:tcPr>
          <w:p w:rsidR="000538F7" w:rsidRPr="008C79EE" w:rsidRDefault="000538F7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>1. 297-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րդ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հոդվածի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3-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րդ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մասի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1-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ին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կետը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շարադրել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հետևյալ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բովանդակությամբ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>` «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առկա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է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գործին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մասնակցող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անձանց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կողմից ստորագրված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գրավոր համաձայնություն`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գործը պարզեցված վարույթի կարգով քննելու վերաբերյալ,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» այնուհետև` ըստ տեքստի: </w:t>
            </w:r>
          </w:p>
          <w:p w:rsidR="000538F7" w:rsidRPr="008C79EE" w:rsidRDefault="000538F7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i w:val="0"/>
                <w:color w:val="auto"/>
                <w:sz w:val="24"/>
                <w:szCs w:val="24"/>
                <w:u w:val="single"/>
                <w:lang w:val="hy-AM"/>
              </w:rPr>
              <w:t>Հիմնավորում`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«կնքված» արտահայտությունը չի սահմանում համաձայնության ստորագրված լինելը: </w:t>
            </w:r>
          </w:p>
          <w:p w:rsidR="000538F7" w:rsidRPr="008C79EE" w:rsidRDefault="000538F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0538F7" w:rsidRPr="00021C7A" w:rsidRDefault="00021C7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3356" w:type="dxa"/>
          </w:tcPr>
          <w:p w:rsidR="000538F7" w:rsidRPr="00021C7A" w:rsidRDefault="00021C7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Քաղաքացիական օրենսդրությունը </w:t>
            </w:r>
            <w:r w:rsidRPr="00021C7A">
              <w:rPr>
                <w:rFonts w:ascii="GHEA Grapalat" w:hAnsi="GHEA Grapalat"/>
                <w:sz w:val="24"/>
                <w:szCs w:val="24"/>
              </w:rPr>
              <w:t xml:space="preserve">օգտագործում է </w:t>
            </w:r>
            <w:r w:rsidRPr="00021C7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21C7A">
              <w:rPr>
                <w:rFonts w:ascii="GHEA Grapalat" w:hAnsi="GHEA Grapalat"/>
                <w:sz w:val="24"/>
                <w:szCs w:val="24"/>
              </w:rPr>
              <w:t>կնքել</w:t>
            </w:r>
            <w:r w:rsidRPr="00021C7A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21C7A">
              <w:rPr>
                <w:rFonts w:ascii="GHEA Grapalat" w:hAnsi="GHEA Grapalat"/>
                <w:sz w:val="24"/>
                <w:szCs w:val="24"/>
              </w:rPr>
              <w:t xml:space="preserve"> բառը, այսպես քաղաքացիական օրենսգրքի 296-րդ հոդվածի 1-ին մասի համաձայն՝ </w:t>
            </w:r>
            <w:r w:rsidRPr="00021C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գրավոր գործարքը պետք է կնքվի փաստաթուղթ կազմելու միջոցով, որն արտահայտում է գործարքի բովանդակությունը և ստորագրված է գործարք կնքող անձի կամ անձանց կամ նրանց կողմից պատշաճ ձևով լիազորված անձանց կողմից: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2. 299-րդ հոդվածի 4-րդ մասում, «անձի» բառից հետո ավելացնել «հիմնավորված» բառը: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Նույն իրավանորմի վերջում, «որոշմամբ» բառից հետո, ավելացնել «ոչ ավելի երկու շաբաթից» բառերը: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Հիմնավորում`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նշված իրավանորմով սահմանված ժամկետի երկարաձգումը յուրաքանչյուր միջնորդության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դեպքում կհանգեցնի դատական ակտի կայացման համար սահմանված ժամկետի խախտմանը, նպատակահարմար է, որ միջնորդությունը լինի հիմնավորված: Սույն առաջարկով նաև կսահմանվի առարկությունների, դրանց և պահանջների հիմքում ընկած փաստերը հիմնավորող ապացույցների, միջնորդությունների և հակընդդեմ հայցի ներկայացման համար երկարաձգվող ժամկետը: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5B4B85" w:rsidRDefault="00021C7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A57981" w:rsidRPr="00A57981" w:rsidRDefault="00A57981" w:rsidP="00A5798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7981"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րենսգ</w:t>
            </w:r>
            <w:r w:rsidRPr="00A57981">
              <w:rPr>
                <w:rFonts w:ascii="GHEA Grapalat" w:hAnsi="GHEA Grapalat"/>
                <w:sz w:val="24"/>
                <w:szCs w:val="24"/>
                <w:lang w:val="hy-AM"/>
              </w:rPr>
              <w:t>իրքը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պարունակում </w:t>
            </w:r>
            <w:r w:rsidR="0073744B">
              <w:rPr>
                <w:rFonts w:ascii="GHEA Grapalat" w:hAnsi="GHEA Grapalat"/>
                <w:sz w:val="24"/>
                <w:szCs w:val="24"/>
                <w:lang w:val="hy-AM"/>
              </w:rPr>
              <w:t>միջնորդությ</w:t>
            </w:r>
            <w:r w:rsidR="00FF06D0">
              <w:rPr>
                <w:rFonts w:ascii="GHEA Grapalat" w:hAnsi="GHEA Grapalat"/>
                <w:sz w:val="24"/>
                <w:szCs w:val="24"/>
                <w:lang w:val="hy-AM"/>
              </w:rPr>
              <w:t>ուններ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 xml:space="preserve">ը հիմնավորված </w:t>
            </w:r>
            <w:r w:rsidR="00FF06D0">
              <w:rPr>
                <w:rFonts w:ascii="GHEA Grapalat" w:hAnsi="GHEA Grapalat"/>
                <w:sz w:val="24"/>
                <w:szCs w:val="24"/>
                <w:lang w:val="hy-AM"/>
              </w:rPr>
              <w:t>ներկայաց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>նելու պահանջ, քանի որ ակնհայտ է, որ անհիմն միջնորդությունները ենթակա են մերժման</w:t>
            </w:r>
            <w:r w:rsidR="00012A73" w:rsidRPr="00012A73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012A73" w:rsidRPr="00012A73" w:rsidRDefault="00012A73" w:rsidP="00A5798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2A73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 վերաբերում է դատարանի կողմից </w:t>
            </w:r>
            <w:r w:rsidRPr="00012A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դատավարական գործողությունների կատարման համար ժամկետը երկարաձգելու հնարավորությունը երկշաբաթյա ժամկետով սահմանափակելուն, ապա նման կարգավորման անհրաժեշտությունը բացակայում է, քանի որ դատարանը սահմանափակված է պարզեցված վարույթ կիրառելու վերաբերյալ որոշում կայացնելու</w:t>
            </w:r>
            <w:r w:rsidRPr="00012A73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օրվանից չորս ամսվա ընթացքում եզրափակիչ դատական ակտը կայացնելու և հրապարակելու</w:t>
            </w:r>
            <w:r w:rsidR="00425C27" w:rsidRPr="00425C27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կանոնով</w:t>
            </w:r>
            <w:r w:rsidRPr="00012A73">
              <w:rPr>
                <w:rFonts w:ascii="GHEA Grapalat" w:hAnsi="GHEA Grapalat" w:cs="Courier New"/>
                <w:sz w:val="24"/>
                <w:szCs w:val="24"/>
                <w:lang w:val="hy-AM"/>
              </w:rPr>
              <w:t>:</w:t>
            </w:r>
          </w:p>
        </w:tc>
      </w:tr>
      <w:tr w:rsidR="00425C27" w:rsidRPr="000538F7" w:rsidTr="00425C27">
        <w:tc>
          <w:tcPr>
            <w:tcW w:w="3217" w:type="dxa"/>
          </w:tcPr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3. 302-րդ հոդվածի 1-ին մասը շարադրել հետևյալ բովանդակությամբ.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«1/ Պարզեցված վարույթի կարգով գործի քննության արդյունքում կայացվող վճիռը պատճառաբանական մաս չի պարունակում, բացառությամբ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գործի քննության ընթացքում հայցի դեմ առարկություն ներկայացվելու դեպքի: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2/ Գործին մասնակցող անձը,  իր համար անբարենպաստ վճիռ կայացվելու դեպքում, վճռի հրապարակումից 15 օրյա ժամկետում իրավունք ունի դիմում ներկայացնել վճռի պատճառաբանական մաս ստանալու պահանջով: Դատարանը, դիմումն ստանալուց հետո եռօրյա ժամկետում, դիմումատուին տրամադրում է վճռի պատճառաբանական մասը: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3/ Սույն մասի 2-րդ կետում սահմանված դեպքում վերաքննիչ բողոք կարող է ներկայացվել դիմում ներկայացված գործին մասնակցող անձի կողմից վճռի պատճառաբանական մասն ստանալուց հետո 15 օրյա ժամկետում:»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Հիմնավորում.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Նախագծով առաջարկվող տարբերակով վճռում պատճառաբանական մասի առկայության նախապայման է սահմանվել մինչև եզրափակիչ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դատական ակտը հրապարակվելը գործին մասնակցող անձի կողմից վճռի պատճառաբանման պահանջով դիմումը` կայացված վճիռը նրա համար անբարենպաստ լինելու դեպքում: Սակայն մինչև դատական ակտի հրապարակումը գործին մասնակցող անձը չի կարող իմանալ վճռի բովանդակությունը, հետևաբար նրա համար անբարենպաստ լինելը չի կարող ենթադրելի լինել և հիմք տալ վճռի պատճառաբանական մաս պահանջելու դիմում ներկայացնելուն: Առաջարկվող տարբերակով գործին մասնակցող անձը վճռի պատճառաբանական մաս կարող է պահանջել վճռի հրապարակումից հետո: Նաև կսահմանվի վճռի դեմ վերաքննիչ բողոք բերելու ժամկետ: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425C27" w:rsidRPr="00594D0F" w:rsidRDefault="0073744B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</w:t>
            </w:r>
            <w:r w:rsidR="00425C2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:rsidR="00425C27" w:rsidRPr="0073744B" w:rsidRDefault="0073744B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73744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4. 302-րդ հոդվածի 3-րդ մասում, «եթե» բառից հետո ավելացնել «նշված ժամկետում» բառերը: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7D60C7" w:rsidRDefault="00425C27" w:rsidP="00A4565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t>Չի ընդունվել:</w:t>
            </w:r>
          </w:p>
          <w:p w:rsidR="00CD17CA" w:rsidRPr="007D60C7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D17CA" w:rsidRPr="007D60C7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8C79EE" w:rsidRPr="00647D4C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Նման կարգավորման անհրաժեշտությունը բացակայում է, քանի որ դատական ակտը կարող է բողոքարկվել մինչև դրա ուժի մեջ մտնելը, իսկ տվյալ </w:t>
            </w: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դեպքում ուժի մեջ մտնելու համար 15 օր նախատեսելն արդեն իսկ ենթադրում է այդ ժամկետում բողոքարկման հնարավորություն:</w:t>
            </w:r>
          </w:p>
          <w:p w:rsidR="00A130BD" w:rsidRPr="00647D4C" w:rsidRDefault="00A130BD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7D4C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Բացի այդ, օրենսգրքի </w:t>
            </w:r>
            <w:r w:rsidR="00F91085" w:rsidRPr="00647D4C">
              <w:rPr>
                <w:rFonts w:ascii="GHEA Grapalat" w:hAnsi="GHEA Grapalat"/>
                <w:sz w:val="24"/>
                <w:szCs w:val="24"/>
                <w:lang w:val="hy-AM"/>
              </w:rPr>
              <w:t>այլ հոդվածներ ևս նմանատիպ կարգավորումներ են պարունակում:</w:t>
            </w:r>
          </w:p>
        </w:tc>
      </w:tr>
      <w:tr w:rsidR="008C79EE" w:rsidRPr="000538F7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5. 302-րդ հոդվածի 5-րդ մասը շարադրել հետևյալ բովանդակությամբ.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«Պարզեցված վարույթի կարգով կայացված վճիռը ենթակա չէ բողոքարկման, բացառությամբ սույն հոդվածի  1-ին մասի 1-ին և 2-րդ կետերով նախատեսված դեպքերի»: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B15F36" w:rsidRDefault="00CD17CA" w:rsidP="00220CE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3356" w:type="dxa"/>
          </w:tcPr>
          <w:p w:rsidR="008C79EE" w:rsidRPr="00B15F36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B15F3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21DE3" w:rsidRPr="000538F7" w:rsidTr="00425C27">
        <w:tc>
          <w:tcPr>
            <w:tcW w:w="3217" w:type="dxa"/>
          </w:tcPr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6. Սույն առաջարկությունների 3-րդ և 5-րդ կետերի հետ փոխկապակցված` օրենսգրքի 362-րդ հոդվածի 2-րդ մասը շարադրել հետևյալ բովանդակությամբ. </w:t>
            </w:r>
          </w:p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Պարզեցված վարույթի կարգով կայացված վճռի,  գործի վարույթը կարճելու մասին որոշման կամ վճռի 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դեմ դեմ վերաքննիչ բողոք կարող է բերվել վճիռը հրապարակելու օրվանից տասնհինգօրյա ժամկետում: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Սույն օրենսգրքի 302-րդ հոդվածի 1-ին մասի    2-րդ կետում սահմանված դեպքում վճռի դեմ վերաքննիչ բողոք կարող է ներկայացվել վճռի պատճառաբանական մասը դիմում ներկայացրած` գործին մասնակցող անձի կողմից ստանալուց հետո 15 օրյա ժամկետում»:</w:t>
            </w:r>
          </w:p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Հիմնավորում.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 Նախագծով վճռի պատճառաբանական մաս տրամադրելու կարգավորումների սահմանման հետ կապված` առաջարկով սահմանվում է պարզեցված վարույթի կարգով կայացված վճռի դեմ վերաքննիչ բողոք բերելու ժամկետը` նաև վճռի պատճառաբանական մասն ստանալու պահից սկսած ժամկետի հաշվառմամբ: Նաև տարանջատվում է դատարանի վճռի և 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վարույթը կարճելու մասին որոշման կամ վճռի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դեմ վերաքննիչ բողոք բերելու ժամկետները:</w:t>
            </w:r>
            <w:r w:rsidRPr="008C79EE">
              <w:rPr>
                <w:rFonts w:ascii="GHEA Grapalat" w:hAnsi="GHEA Grapalat"/>
                <w:lang w:val="hy-AM"/>
              </w:rPr>
              <w:t xml:space="preserve"> </w:t>
            </w:r>
          </w:p>
          <w:p w:rsidR="00721DE3" w:rsidRPr="008C79EE" w:rsidRDefault="00721DE3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721DE3" w:rsidRPr="00594D0F" w:rsidRDefault="00CD17CA" w:rsidP="0013643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  <w:tc>
          <w:tcPr>
            <w:tcW w:w="3356" w:type="dxa"/>
          </w:tcPr>
          <w:p w:rsidR="00721DE3" w:rsidRPr="00594D0F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721DE3" w:rsidRPr="00594D0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CD17CA" w:rsidRPr="00647D4C" w:rsidRDefault="00FA216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Փաստաբան</w:t>
            </w:r>
            <w:r w:rsidR="00CD17CA">
              <w:rPr>
                <w:rFonts w:ascii="GHEA Grapalat" w:hAnsi="GHEA Grapalat"/>
                <w:sz w:val="24"/>
                <w:szCs w:val="24"/>
                <w:lang w:val="en-US"/>
              </w:rPr>
              <w:t>ներ</w:t>
            </w:r>
          </w:p>
          <w:p w:rsidR="00FA2169" w:rsidRPr="00647D4C" w:rsidRDefault="00FA216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Կարապետ</w:t>
            </w:r>
            <w:r w:rsidRPr="00647D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Բադալյան</w:t>
            </w:r>
          </w:p>
          <w:p w:rsidR="00695C42" w:rsidRPr="00647D4C" w:rsidRDefault="00695C42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Անահիտ</w:t>
            </w:r>
            <w:r w:rsidRPr="00647D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Բեգլարյան</w:t>
            </w:r>
          </w:p>
          <w:p w:rsidR="00695C42" w:rsidRPr="00DE396C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Անուշ</w:t>
            </w:r>
            <w:r w:rsidRPr="00DE39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</w:t>
            </w:r>
          </w:p>
          <w:p w:rsidR="007C69D9" w:rsidRPr="003A5482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Աղավնի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Մադոյան</w:t>
            </w:r>
          </w:p>
          <w:p w:rsidR="007C69D9" w:rsidRPr="003A5482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Արմինե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</w:p>
          <w:p w:rsidR="00DE396C" w:rsidRPr="003A5482" w:rsidRDefault="00DE396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5482">
              <w:rPr>
                <w:rFonts w:ascii="GHEA Grapalat" w:hAnsi="GHEA Grapalat"/>
                <w:sz w:val="24"/>
                <w:szCs w:val="24"/>
              </w:rPr>
              <w:t xml:space="preserve">09.11.2018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</w:p>
          <w:p w:rsidR="00DE396C" w:rsidRPr="00DE396C" w:rsidRDefault="00DE396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E39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B5DF-A8A5-E1AB գրություն</w:t>
            </w:r>
          </w:p>
          <w:p w:rsidR="007C69D9" w:rsidRPr="00FA2169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57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298-</w:t>
            </w:r>
            <w:r w:rsidRPr="008E55A0">
              <w:rPr>
                <w:rFonts w:ascii="GHEA Grapalat" w:hAnsi="GHEA Grapalat"/>
                <w:sz w:val="24"/>
                <w:szCs w:val="24"/>
              </w:rPr>
              <w:t>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հոդվածով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ըստ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հանվելն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կարգով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քննելու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առաջին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ատյանի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որոշումը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ոչ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ուշ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կայացնելու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հաջորդ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անձանց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պարտականությունը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ինչն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անտրամաբանական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նույն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հողվածի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8E55A0">
              <w:rPr>
                <w:rFonts w:ascii="GHEA Grapalat" w:hAnsi="GHEA Grapalat"/>
                <w:sz w:val="24"/>
                <w:szCs w:val="24"/>
              </w:rPr>
              <w:t>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կիրառելու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հետ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մեկտեղ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ուղարկվում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գրավոր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պարզաբանում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47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Ելնելով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բուն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էությունը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չխաթարելու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նկատառումներից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ենք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վերոնշյալ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որոշումը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պարտադիր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պետք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ուղարկվի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անձնաց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ոչ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ուշ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կայացնելու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հաջորդ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անկախ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իշխանության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պաշտոնական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կայքում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հրապարակվելու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հանգամանքից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8C79EE" w:rsidRPr="004F38C1" w:rsidRDefault="008C79EE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434" w:type="dxa"/>
          </w:tcPr>
          <w:p w:rsidR="008C79EE" w:rsidRPr="00A31DF8" w:rsidRDefault="00A31DF8" w:rsidP="00FB12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8C79EE" w:rsidRPr="00D34727" w:rsidRDefault="00A31DF8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Նշված հարցը կարգավորվում է ՀՀ քաղաքացիական </w:t>
            </w:r>
            <w:r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դատավարության օրենսգրքի ընդհանուր նորմերով: Այսպես, օրենսգրքի </w:t>
            </w:r>
            <w:r w:rsidR="00842C4B"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125-րդ հոդվածի </w:t>
            </w:r>
            <w:r w:rsidR="00D34727"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2-րդ մասի համաձայն՝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այցադիմումը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ընդունելու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կայացնելու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օրվանից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եռօրյա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ատյանի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ուղարկում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մասնակցող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անձանց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 դատ օրի 299-րդ հոդվածի 5-րդ մասով առաջարկվում է, որ դատարանը ուղարկողին վերադարձնի նույն հոդվածի 1-3 մասերով նախատեսված պահանջների խախտմամբ ներկայացված փաստաթղթերն ու ապացույցները: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Դատարանին ներկայացված փաստաթղթերն ու ապացույցները պետք է մնան գործում, քանի որ դրանք ուղարկողին վերադարձնելը անձին կզրկի այն հիմքերից, որոնցով կարող է ակտը բողոքարկվել: Ատացվում է, որ փաստաթղթերը վերադարձնելիս դատարանի գործողության հիմնավորվածություեն ու օրինականությունը բողոքարկման դեպքում ստուգելու հնարավորություն չի լինի: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47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Առաջարկում ենք բոլոր դեպքերում փաստաթղթերն ու ապացու]ցեերը պահպանել գործում, և դատարանին պարտավորեցնել դրանց տալ իրավական գնահատական գործն ըստ էության 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լուծող եզրափակիչ դատական ակտով:</w:t>
            </w:r>
          </w:p>
          <w:p w:rsidR="008C79EE" w:rsidRPr="008E55A0" w:rsidRDefault="008C79EE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697DD4" w:rsidRDefault="00697DD4" w:rsidP="00FB12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8C79EE" w:rsidRPr="00697DD4" w:rsidRDefault="0061667A" w:rsidP="00D43B3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դատարաններում գործավարության կանոններից հետևում է, որ հ</w:t>
            </w:r>
            <w:r w:rsidR="00697DD4">
              <w:rPr>
                <w:rFonts w:ascii="GHEA Grapalat" w:hAnsi="GHEA Grapalat"/>
                <w:sz w:val="24"/>
                <w:szCs w:val="24"/>
                <w:lang w:val="en-US"/>
              </w:rPr>
              <w:t>այցադիմումը կամ այլ փաստաթղթերը վերադարձնելու պարագայում դրանց պատճենները պահվում են գործում:</w:t>
            </w:r>
            <w:r w:rsidR="00852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Ուստի, նման </w:t>
            </w:r>
            <w:r w:rsidR="00D43B32">
              <w:rPr>
                <w:rFonts w:ascii="GHEA Grapalat" w:hAnsi="GHEA Grapalat"/>
                <w:sz w:val="24"/>
                <w:szCs w:val="24"/>
              </w:rPr>
              <w:t>պարագայում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պատճենները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ևս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կպահպանվեն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գործում</w:t>
            </w:r>
            <w:r w:rsidR="0085209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52093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093">
              <w:rPr>
                <w:rFonts w:ascii="GHEA Grapalat" w:hAnsi="GHEA Grapalat"/>
                <w:sz w:val="24"/>
                <w:szCs w:val="24"/>
                <w:lang w:val="hy-AM"/>
              </w:rPr>
              <w:t xml:space="preserve">300-րդ հոդվածով սահմանված դատական նիստ հրավիրելու հիմքերը արդարացված 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>չեն: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6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Եթե դրանցից ա</w:t>
            </w:r>
            <w:r w:rsidR="00485C8C" w:rsidRPr="00485C8C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աջինի դեպքում դատարանը կարիք ունի պարզաբանումներ ստանալու, ապա դա արդեն իսկ ընդհանուր հայցային վարույթի անցնելու հիմք է: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54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>Մյուս հայցվորի հայցից հրաժարվելու ն հաշտություն կնքելու դեպքերում էլ դատարանի նիստ հրավիրելու անհրաժեշտությունը հիմնավորված չէ: Կարիք չկա ծանրաբեոնել դատարանին այդ դեպքերում նիստ հրավիրելու պարտականությամբ, քանի որ առանց նիստի էլ կարող է դատական ակտի կայացմանը անցնել: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42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 300-րդ հոդվածի 1-ին մասից բացառության կանոնը դրանով նախատեսված նիստ </w:t>
            </w: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հրավիրելու դեպքերը հանել:</w:t>
            </w:r>
          </w:p>
          <w:p w:rsidR="008C79EE" w:rsidRPr="004F38C1" w:rsidRDefault="008C79EE" w:rsidP="0052679C">
            <w:pPr>
              <w:pStyle w:val="a0"/>
              <w:shd w:val="clear" w:color="auto" w:fill="auto"/>
              <w:spacing w:after="482" w:line="276" w:lineRule="auto"/>
              <w:ind w:left="20" w:right="20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485C8C" w:rsidRDefault="00485C8C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մասնակի:</w:t>
            </w:r>
          </w:p>
        </w:tc>
        <w:tc>
          <w:tcPr>
            <w:tcW w:w="3356" w:type="dxa"/>
          </w:tcPr>
          <w:p w:rsidR="008C79EE" w:rsidRDefault="00485C8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300-րդ հոդվածով որպես դատական նիստ հրավիրելու հիմք է նախատեսվել ոչ թե ցանկացած հանգամանքի վերաբերյալ պարզաբանում ստանալը, այլ գործին մասնակցող անձանց կողմից վկայակոչված:</w:t>
            </w:r>
          </w:p>
          <w:p w:rsidR="004E7A49" w:rsidRPr="00485C8C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Ինչ վերաբերում է մյուս հիմքերին, ապա ՀՀ քաղաքացիական </w:t>
            </w:r>
            <w:r w:rsidRPr="00D34727"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 օրենսգրքի ընդհանուր նորմեր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 այդ դեպքերի համար նախատեսում են դատական նիստի անցկացում:</w:t>
            </w:r>
          </w:p>
        </w:tc>
      </w:tr>
      <w:tr w:rsidR="004E7A49" w:rsidRPr="00713502" w:rsidTr="00425C27">
        <w:tc>
          <w:tcPr>
            <w:tcW w:w="3217" w:type="dxa"/>
          </w:tcPr>
          <w:p w:rsidR="004E7A49" w:rsidRPr="008C79EE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4E7A49" w:rsidRPr="004E7A49" w:rsidRDefault="004E7A49" w:rsidP="0052679C">
            <w:pPr>
              <w:pStyle w:val="a0"/>
              <w:shd w:val="clear" w:color="auto" w:fill="auto"/>
              <w:spacing w:after="11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Օրինագծով 300-րդ հոդվածի 2-րդ կետը նախատեսում է հետ</w:t>
            </w:r>
            <w:r w:rsidR="00FB1246" w:rsidRPr="00FB1246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յալը առաջին ատյանի դատարանը պարզեցված վարույթի կարգով գործի քննության արդյունքում եզրափակիչ դատական ակտը կայացնում </w:t>
            </w:r>
            <w:r w:rsidR="00FB1246" w:rsidRPr="00FB1246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հրապարակում է գործով պարզեցված վարույթը կիրառելու վերաբերյալ որոշում կայացնելու չորս ամսվա ընքացքում:</w:t>
            </w:r>
          </w:p>
          <w:p w:rsidR="004E7A49" w:rsidRPr="004E7A49" w:rsidRDefault="004E7A49" w:rsidP="0052679C">
            <w:pPr>
              <w:pStyle w:val="a0"/>
              <w:shd w:val="clear" w:color="auto" w:fill="auto"/>
              <w:spacing w:after="76" w:line="276" w:lineRule="auto"/>
              <w:ind w:lef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Առաջարկում եմ &lt;&lt;չորս ամսվա ընթացքը &gt;&gt; փոխարինել «երեք ամսվա ընթացքով&gt;&gt;:</w:t>
            </w:r>
          </w:p>
          <w:p w:rsidR="004E7A49" w:rsidRPr="004E7A49" w:rsidRDefault="004E7A49" w:rsidP="0052679C">
            <w:pPr>
              <w:pStyle w:val="a0"/>
              <w:shd w:val="clear" w:color="auto" w:fill="auto"/>
              <w:spacing w:after="482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Նման փոփոխություններ չկատարելու դեպքում կխախտվի նախագծի հետագայում նաև օրենքի տրամաբանությունը, որը այլոց թվում նպատակաուդդված է հնարավոր սեղմ ժամկետում գործի քննությունը ապահովելուն:</w:t>
            </w:r>
          </w:p>
          <w:p w:rsidR="004E7A49" w:rsidRPr="00852093" w:rsidRDefault="004E7A49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4E7A49" w:rsidRPr="004E7A49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4E7A49" w:rsidRPr="004E7A49" w:rsidRDefault="00CF71A1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792"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հաշվարկելիս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հիմք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ընդունվում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այս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ընթացքում կատարվող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ողջամտորեն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պահանջվող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ժամկետները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: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չի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բացառում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հնարավորության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կոնկրետ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սեղմ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քննելը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: Ավելին սեղմ ժամկետներում գործը քննելը բխում է դատավորի վա</w:t>
            </w:r>
            <w:r w:rsidR="002B545A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քագծի կանոններից,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8E55A0" w:rsidRPr="00713502" w:rsidTr="00425C27">
        <w:tc>
          <w:tcPr>
            <w:tcW w:w="3217" w:type="dxa"/>
          </w:tcPr>
          <w:p w:rsidR="008E55A0" w:rsidRPr="008C79EE" w:rsidRDefault="008E55A0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6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 դատ-ի 302֊րդ հոդվածով նախատեսված իրավակարգավորումը առաջարկում ենք վերանայել: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125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Պարզեցված վարույթի կարգով գործի քննության արդյունքում կայացվող վճիռը չի պարունակում պատճառաբանական մաս, բացառությամբ այն դեպքերի, երբ &lt;&lt;..,.&gt;&gt;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142" w:line="276" w:lineRule="auto"/>
              <w:ind w:lef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Քաղ. դատի 6-րդ հոդվածը սահմանում է</w:t>
            </w:r>
          </w:p>
          <w:p w:rsidR="008E55A0" w:rsidRPr="008E55A0" w:rsidRDefault="00D56E5D" w:rsidP="0052679C">
            <w:pPr>
              <w:pStyle w:val="a0"/>
              <w:shd w:val="clear" w:color="auto" w:fill="auto"/>
              <w:spacing w:after="65" w:line="276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6E5D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ակտը պետք է լինի օրինական:</w:t>
            </w:r>
          </w:p>
          <w:p w:rsidR="008E55A0" w:rsidRPr="008E55A0" w:rsidRDefault="00D56E5D" w:rsidP="0052679C">
            <w:pPr>
              <w:pStyle w:val="a0"/>
              <w:shd w:val="clear" w:color="auto" w:fill="auto"/>
              <w:spacing w:after="66" w:line="276" w:lineRule="auto"/>
              <w:ind w:right="2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6E5D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ակտը պետք է լինի հիմնավորված ն պատճառաբանված, եթե այլ բան նախատեսված չէ սույն օրենսգրքով: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6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Այսինքն, քաղ. դատի 6-րդ հոդվածը թույլ է տալիս սահմանել բացառություն, սակայն, գտնում ենք, որ ցանկացած բացառություն կարող է հանգեցնել արդար 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դատաքննության իրավունքի խախտման: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Պարզեցված վարույթի կարգով կայացված վճիռը ենթակա չէ բողոքարկման, եթե այն պատճառաբանված չէ, </w:t>
            </w:r>
            <w:r w:rsidR="00D56E5D" w:rsidRPr="00D56E5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սույն հոդվածի 1-ին մասի 1-ին և 2-րդ կետերի ուժով առկա չի եղել այն պատճառաբանելու անհրաժեշտություն: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113" w:line="276" w:lineRule="auto"/>
              <w:ind w:left="1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 </w:t>
            </w:r>
            <w:r w:rsidR="00D56E5D" w:rsidRPr="00D56E5D">
              <w:rPr>
                <w:rFonts w:ascii="GHEA Grapalat" w:hAnsi="GHEA Grapalat"/>
                <w:sz w:val="24"/>
                <w:szCs w:val="24"/>
                <w:lang w:val="hy-AM"/>
              </w:rPr>
              <w:t>նշանակում</w:t>
            </w: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Եվրադատարանի բազմաթիվ որոշումներ: Արդար դատաքննության իրավունքի կոպիա ոտնահարում: ՄԻԵԴ նախադեպային որոշումներում բազմիցս մատնանշվել է, որ ՄԻԵԿ 6(1) հոդվածը պարտավորեցնում է դատարաններին հիմնավորել իրենց վճիռները: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76" w:line="276" w:lineRule="auto"/>
              <w:ind w:left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Առաջարկում ենք հետնյալը</w:t>
            </w:r>
          </w:p>
          <w:p w:rsidR="008E55A0" w:rsidRPr="008E55A0" w:rsidRDefault="008E55A0" w:rsidP="0052679C">
            <w:pPr>
              <w:pStyle w:val="a0"/>
              <w:numPr>
                <w:ilvl w:val="0"/>
                <w:numId w:val="17"/>
              </w:numPr>
              <w:shd w:val="clear" w:color="auto" w:fill="auto"/>
              <w:tabs>
                <w:tab w:val="left" w:pos="563"/>
              </w:tabs>
              <w:spacing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 xml:space="preserve"> Պարզեցված վարույթով բոլոր դատական ակտերը թոդ պատճառաբանվեն: Կարելի է դատական ակտի համառոտ պատճառաբանման կարզ </w:t>
            </w:r>
            <w:r w:rsidRPr="008E55A0">
              <w:rPr>
                <w:rFonts w:ascii="GHEA Grapalat" w:hAnsi="GHEA Grapalat"/>
                <w:sz w:val="24"/>
                <w:szCs w:val="24"/>
              </w:rPr>
              <w:lastRenderedPageBreak/>
              <w:t>սահմանել, որ ստիպված չլինեն երկար զրելու իմաստազրկվի պարզեցվածի իմաստն ու արագությունը:</w:t>
            </w:r>
          </w:p>
          <w:p w:rsidR="008E55A0" w:rsidRPr="008E55A0" w:rsidRDefault="008E55A0" w:rsidP="0052679C">
            <w:pPr>
              <w:pStyle w:val="a0"/>
              <w:numPr>
                <w:ilvl w:val="0"/>
                <w:numId w:val="17"/>
              </w:numPr>
              <w:shd w:val="clear" w:color="auto" w:fill="auto"/>
              <w:spacing w:after="52"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 xml:space="preserve"> Բոլոր ակտերն էլ պետք է լինեն բողոքարկման ենթակա:</w:t>
            </w:r>
          </w:p>
          <w:p w:rsidR="008E55A0" w:rsidRPr="00D56E5D" w:rsidRDefault="008E55A0" w:rsidP="0052679C">
            <w:pPr>
              <w:pStyle w:val="a0"/>
              <w:shd w:val="clear" w:color="auto" w:fill="auto"/>
              <w:spacing w:after="488"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Սա արդար դատաքննության իրավունքի պահանջ է, ն գործնականում մեծ հավանականությամբ պրակտիկան հանգելու է դրան:</w:t>
            </w:r>
          </w:p>
        </w:tc>
        <w:tc>
          <w:tcPr>
            <w:tcW w:w="4434" w:type="dxa"/>
          </w:tcPr>
          <w:p w:rsidR="008E55A0" w:rsidRPr="004E7A49" w:rsidRDefault="000362E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մասնակի</w:t>
            </w:r>
            <w:r w:rsidR="004E7A4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356" w:type="dxa"/>
          </w:tcPr>
          <w:p w:rsidR="004E7A49" w:rsidRPr="004D458C" w:rsidRDefault="000362E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արկ է նշել, որ դատական ակտերի պատճառաբանվածության պահանջը բացարձակ չէ, և դրանից շեղումը չի կարող համարվել Եվրոպական դատարանի նախադեպային իրավունքին հակասող: Այսպես,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Մարդու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եվրոպական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դատարանը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անդրադառնալով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ակտերի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պատճառաբանվածությանը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նշել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է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որ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կոնվենցիայի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րդ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հոդվածի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ին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մասը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թեև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պարտավորեցնում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է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դատարանին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պատճառաբանելու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ակտը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այն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չի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կարող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մեկնաբանվել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որպես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ցանկացած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փաստարկի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հիմնավոր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պատասխան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>ի ներկայացում</w:t>
            </w:r>
            <w:r w:rsidR="004E7A49" w:rsidRPr="004D458C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1"/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ակտը պատճառաբանելու պարտականությունը կարող է տարբերվել կախված որոշման բնույթից</w:t>
            </w:r>
            <w:r w:rsidR="004E7A49" w:rsidRPr="004D458C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2"/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դրա կիրառումը կարող է որոշվել գործի փաստական հանգամանքները հաշվի առնելով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D60C7" w:rsidRDefault="007D60C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Միջազգային փորձ</w:t>
            </w:r>
            <w:r w:rsidR="00D56E5D">
              <w:rPr>
                <w:rFonts w:ascii="GHEA Grapalat" w:hAnsi="GHEA Grapalat"/>
                <w:sz w:val="24"/>
                <w:szCs w:val="24"/>
                <w:lang w:val="en-US"/>
              </w:rPr>
              <w:t xml:space="preserve">ի ուսումնասիրությունը 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 xml:space="preserve">ևս թույլ է տալիս եզրահանգել, որ մի շարք </w:t>
            </w:r>
            <w:r w:rsidR="00647D4C">
              <w:rPr>
                <w:rFonts w:ascii="GHEA Grapalat" w:hAnsi="GHEA Grapalat"/>
                <w:sz w:val="24"/>
                <w:szCs w:val="24"/>
                <w:lang w:val="en-US"/>
              </w:rPr>
              <w:t>երկրներ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ինչպես օրինակ Ռուսաստանի Դաշնությունը, Շվեցարիա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Էստոնիա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Լիտվա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Ճապոնիա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 որոշ դեպքերում չեն նախատեսում դատական ակտի պատճառաբանվածության պահանջ:</w:t>
            </w:r>
          </w:p>
          <w:p w:rsidR="007D60C7" w:rsidRPr="004E7A49" w:rsidRDefault="00544146" w:rsidP="003A548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Բացի այդ, ն</w:t>
            </w:r>
            <w:r w:rsidR="007D60C7">
              <w:rPr>
                <w:rFonts w:ascii="GHEA Grapalat" w:hAnsi="GHEA Grapalat"/>
                <w:sz w:val="24"/>
                <w:szCs w:val="24"/>
                <w:lang w:val="en-US"/>
              </w:rPr>
              <w:t>ախագ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7D60C7">
              <w:rPr>
                <w:rFonts w:ascii="GHEA Grapalat" w:hAnsi="GHEA Grapalat"/>
                <w:sz w:val="24"/>
                <w:szCs w:val="24"/>
                <w:lang w:val="en-US"/>
              </w:rPr>
              <w:t>ծ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>ը խմբագրվել է</w:t>
            </w:r>
            <w:r w:rsidR="0071350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որի արդյունքում դատական ակտը բոլոր դեպքերում 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պատճառաբանվում է, սակայն, ելնելով օրենքում թվարկված տարբեր դեպքերից, պատճառաբանման տարբեր պահանջներ են ամրագրվել: </w:t>
            </w:r>
            <w:bookmarkStart w:id="0" w:name="_GoBack"/>
            <w:bookmarkEnd w:id="0"/>
          </w:p>
        </w:tc>
      </w:tr>
    </w:tbl>
    <w:p w:rsidR="0088104E" w:rsidRPr="005B4B85" w:rsidRDefault="0088104E" w:rsidP="0052679C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88104E" w:rsidRPr="005B4B85" w:rsidSect="00FC4044">
      <w:pgSz w:w="16838" w:h="11906" w:orient="landscape"/>
      <w:pgMar w:top="56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D7" w:rsidRDefault="009549D7" w:rsidP="004E7A49">
      <w:pPr>
        <w:spacing w:after="0" w:line="240" w:lineRule="auto"/>
      </w:pPr>
      <w:r>
        <w:separator/>
      </w:r>
    </w:p>
  </w:endnote>
  <w:endnote w:type="continuationSeparator" w:id="0">
    <w:p w:rsidR="009549D7" w:rsidRDefault="009549D7" w:rsidP="004E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D7" w:rsidRDefault="009549D7" w:rsidP="004E7A49">
      <w:pPr>
        <w:spacing w:after="0" w:line="240" w:lineRule="auto"/>
      </w:pPr>
      <w:r>
        <w:separator/>
      </w:r>
    </w:p>
  </w:footnote>
  <w:footnote w:type="continuationSeparator" w:id="0">
    <w:p w:rsidR="009549D7" w:rsidRDefault="009549D7" w:rsidP="004E7A49">
      <w:pPr>
        <w:spacing w:after="0" w:line="240" w:lineRule="auto"/>
      </w:pPr>
      <w:r>
        <w:continuationSeparator/>
      </w:r>
    </w:p>
  </w:footnote>
  <w:footnote w:id="1">
    <w:p w:rsidR="009549D7" w:rsidRPr="00C461C0" w:rsidRDefault="009549D7" w:rsidP="004E7A49">
      <w:pPr>
        <w:pStyle w:val="FootnoteText"/>
        <w:rPr>
          <w:rFonts w:ascii="GHEA Grapalat" w:hAnsi="GHEA Grapalat"/>
        </w:rPr>
      </w:pPr>
      <w:r w:rsidRPr="00C461C0">
        <w:rPr>
          <w:rStyle w:val="FootnoteReference"/>
          <w:rFonts w:ascii="GHEA Grapalat" w:hAnsi="GHEA Grapalat"/>
        </w:rPr>
        <w:footnoteRef/>
      </w:r>
      <w:r w:rsidRPr="00C461C0">
        <w:rPr>
          <w:rFonts w:ascii="GHEA Grapalat" w:hAnsi="GHEA Grapalat"/>
        </w:rPr>
        <w:t xml:space="preserve"> (Van de Hurk v. the Netherlands, § 61; García Ruiz v. Spain [GC], § 26</w:t>
      </w:r>
      <w:r>
        <w:rPr>
          <w:rFonts w:ascii="GHEA Grapalat" w:hAnsi="GHEA Grapalat"/>
        </w:rPr>
        <w:t>)</w:t>
      </w:r>
      <w:r w:rsidRPr="00C461C0">
        <w:rPr>
          <w:rFonts w:ascii="GHEA Grapalat" w:hAnsi="GHEA Grapalat"/>
        </w:rPr>
        <w:t>;</w:t>
      </w:r>
    </w:p>
  </w:footnote>
  <w:footnote w:id="2">
    <w:p w:rsidR="009549D7" w:rsidRPr="00C461C0" w:rsidRDefault="009549D7" w:rsidP="004E7A4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 (Ruiz Torija v. Spain, § 29; Hiro Balani v. Spain, § 27) 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7D2"/>
    <w:multiLevelType w:val="multilevel"/>
    <w:tmpl w:val="A9FC986A"/>
    <w:lvl w:ilvl="0">
      <w:start w:val="1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C734D"/>
    <w:multiLevelType w:val="hybridMultilevel"/>
    <w:tmpl w:val="23B65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0CD5"/>
    <w:multiLevelType w:val="hybridMultilevel"/>
    <w:tmpl w:val="15FA9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35B85"/>
    <w:multiLevelType w:val="hybridMultilevel"/>
    <w:tmpl w:val="D7F2E50A"/>
    <w:lvl w:ilvl="0" w:tplc="6B8C404C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F11E74"/>
    <w:multiLevelType w:val="hybridMultilevel"/>
    <w:tmpl w:val="07DE28F4"/>
    <w:lvl w:ilvl="0" w:tplc="C93A64FC">
      <w:start w:val="1"/>
      <w:numFmt w:val="decimal"/>
      <w:lvlText w:val="%1."/>
      <w:lvlJc w:val="left"/>
      <w:pPr>
        <w:ind w:left="1200" w:hanging="495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1B02C6"/>
    <w:multiLevelType w:val="hybridMultilevel"/>
    <w:tmpl w:val="7DC8CA14"/>
    <w:lvl w:ilvl="0" w:tplc="4F306552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6C14F5"/>
    <w:multiLevelType w:val="hybridMultilevel"/>
    <w:tmpl w:val="B84CDA34"/>
    <w:lvl w:ilvl="0" w:tplc="982C5C4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02150F"/>
    <w:multiLevelType w:val="hybridMultilevel"/>
    <w:tmpl w:val="28C69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03BF4"/>
    <w:multiLevelType w:val="hybridMultilevel"/>
    <w:tmpl w:val="3F00309E"/>
    <w:lvl w:ilvl="0" w:tplc="FC803C5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AE64FC"/>
    <w:multiLevelType w:val="hybridMultilevel"/>
    <w:tmpl w:val="E7A2D86E"/>
    <w:lvl w:ilvl="0" w:tplc="A4C6BBEC"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D101DED"/>
    <w:multiLevelType w:val="hybridMultilevel"/>
    <w:tmpl w:val="6C58E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620FC"/>
    <w:multiLevelType w:val="multilevel"/>
    <w:tmpl w:val="41049D2A"/>
    <w:lvl w:ilvl="0">
      <w:start w:val="1"/>
      <w:numFmt w:val="decimal"/>
      <w:lvlText w:val="%1,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458EC"/>
    <w:multiLevelType w:val="hybridMultilevel"/>
    <w:tmpl w:val="542C6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C6A24"/>
    <w:multiLevelType w:val="hybridMultilevel"/>
    <w:tmpl w:val="050AD000"/>
    <w:lvl w:ilvl="0" w:tplc="D70EA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657EF1"/>
    <w:multiLevelType w:val="hybridMultilevel"/>
    <w:tmpl w:val="9B963F94"/>
    <w:lvl w:ilvl="0" w:tplc="865E231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80509A"/>
    <w:multiLevelType w:val="hybridMultilevel"/>
    <w:tmpl w:val="42B221A2"/>
    <w:lvl w:ilvl="0" w:tplc="A658F010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072054"/>
    <w:multiLevelType w:val="multilevel"/>
    <w:tmpl w:val="C5A6202E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456"/>
    <w:rsid w:val="00005E8B"/>
    <w:rsid w:val="00012A73"/>
    <w:rsid w:val="00014788"/>
    <w:rsid w:val="00021C7A"/>
    <w:rsid w:val="00033BA9"/>
    <w:rsid w:val="000362E7"/>
    <w:rsid w:val="00050A18"/>
    <w:rsid w:val="00050C9B"/>
    <w:rsid w:val="000538F7"/>
    <w:rsid w:val="000A419B"/>
    <w:rsid w:val="000A7932"/>
    <w:rsid w:val="000C7C4C"/>
    <w:rsid w:val="000E122D"/>
    <w:rsid w:val="000F691E"/>
    <w:rsid w:val="00111C2F"/>
    <w:rsid w:val="00113F54"/>
    <w:rsid w:val="001277C1"/>
    <w:rsid w:val="00131183"/>
    <w:rsid w:val="0013643F"/>
    <w:rsid w:val="00142EB4"/>
    <w:rsid w:val="00161E5C"/>
    <w:rsid w:val="001744EC"/>
    <w:rsid w:val="001A1A83"/>
    <w:rsid w:val="001A3317"/>
    <w:rsid w:val="001C3AC0"/>
    <w:rsid w:val="001C7660"/>
    <w:rsid w:val="001E2D86"/>
    <w:rsid w:val="001E5CDD"/>
    <w:rsid w:val="00206A8E"/>
    <w:rsid w:val="00216F82"/>
    <w:rsid w:val="00220CE6"/>
    <w:rsid w:val="00222DC2"/>
    <w:rsid w:val="00225756"/>
    <w:rsid w:val="002261E2"/>
    <w:rsid w:val="00236915"/>
    <w:rsid w:val="00243D16"/>
    <w:rsid w:val="00250DB7"/>
    <w:rsid w:val="00261C6C"/>
    <w:rsid w:val="0026268E"/>
    <w:rsid w:val="00276BB3"/>
    <w:rsid w:val="002914B0"/>
    <w:rsid w:val="002975E3"/>
    <w:rsid w:val="002A1B02"/>
    <w:rsid w:val="002A4D24"/>
    <w:rsid w:val="002A5D25"/>
    <w:rsid w:val="002B545A"/>
    <w:rsid w:val="002D2872"/>
    <w:rsid w:val="002E6BA0"/>
    <w:rsid w:val="00311899"/>
    <w:rsid w:val="00316F31"/>
    <w:rsid w:val="00342F18"/>
    <w:rsid w:val="00344BB8"/>
    <w:rsid w:val="003634F9"/>
    <w:rsid w:val="0037426C"/>
    <w:rsid w:val="003A5482"/>
    <w:rsid w:val="003B68D2"/>
    <w:rsid w:val="003D6B51"/>
    <w:rsid w:val="003E11E2"/>
    <w:rsid w:val="003E42C7"/>
    <w:rsid w:val="003E4423"/>
    <w:rsid w:val="003F33FB"/>
    <w:rsid w:val="00404EA5"/>
    <w:rsid w:val="00425C27"/>
    <w:rsid w:val="00435238"/>
    <w:rsid w:val="00436447"/>
    <w:rsid w:val="00437CB6"/>
    <w:rsid w:val="00445A9A"/>
    <w:rsid w:val="00485C8C"/>
    <w:rsid w:val="004D2F8A"/>
    <w:rsid w:val="004D458C"/>
    <w:rsid w:val="004E6ED1"/>
    <w:rsid w:val="004E7A49"/>
    <w:rsid w:val="004F0A09"/>
    <w:rsid w:val="004F38C1"/>
    <w:rsid w:val="00500074"/>
    <w:rsid w:val="00502833"/>
    <w:rsid w:val="00516765"/>
    <w:rsid w:val="0052679C"/>
    <w:rsid w:val="00541944"/>
    <w:rsid w:val="00544146"/>
    <w:rsid w:val="00556C4B"/>
    <w:rsid w:val="00573F5D"/>
    <w:rsid w:val="00585261"/>
    <w:rsid w:val="0058562C"/>
    <w:rsid w:val="00594D0F"/>
    <w:rsid w:val="0059689A"/>
    <w:rsid w:val="005A64A6"/>
    <w:rsid w:val="005B2EBD"/>
    <w:rsid w:val="005B4B85"/>
    <w:rsid w:val="005B60EF"/>
    <w:rsid w:val="005B640C"/>
    <w:rsid w:val="005D20A9"/>
    <w:rsid w:val="005E1636"/>
    <w:rsid w:val="005F385A"/>
    <w:rsid w:val="0061667A"/>
    <w:rsid w:val="006235C1"/>
    <w:rsid w:val="00631711"/>
    <w:rsid w:val="00633E1D"/>
    <w:rsid w:val="006473BD"/>
    <w:rsid w:val="00647D4C"/>
    <w:rsid w:val="0065173E"/>
    <w:rsid w:val="006560E8"/>
    <w:rsid w:val="0066252A"/>
    <w:rsid w:val="0069045C"/>
    <w:rsid w:val="00695C42"/>
    <w:rsid w:val="00697DD4"/>
    <w:rsid w:val="006A00F5"/>
    <w:rsid w:val="006A3616"/>
    <w:rsid w:val="006B233A"/>
    <w:rsid w:val="006C0456"/>
    <w:rsid w:val="006C41E7"/>
    <w:rsid w:val="006F3DEC"/>
    <w:rsid w:val="006F7E30"/>
    <w:rsid w:val="00702EAC"/>
    <w:rsid w:val="00707A7F"/>
    <w:rsid w:val="00713502"/>
    <w:rsid w:val="00721DE3"/>
    <w:rsid w:val="0073744B"/>
    <w:rsid w:val="00740E07"/>
    <w:rsid w:val="0074154C"/>
    <w:rsid w:val="00751055"/>
    <w:rsid w:val="00762252"/>
    <w:rsid w:val="0077541C"/>
    <w:rsid w:val="007B08D1"/>
    <w:rsid w:val="007C69D9"/>
    <w:rsid w:val="007D45C5"/>
    <w:rsid w:val="007D60C7"/>
    <w:rsid w:val="007D646E"/>
    <w:rsid w:val="007E235D"/>
    <w:rsid w:val="007F1D1E"/>
    <w:rsid w:val="00802006"/>
    <w:rsid w:val="00813EF9"/>
    <w:rsid w:val="00817565"/>
    <w:rsid w:val="00822576"/>
    <w:rsid w:val="00830B91"/>
    <w:rsid w:val="00832E95"/>
    <w:rsid w:val="00842C4B"/>
    <w:rsid w:val="008464ED"/>
    <w:rsid w:val="00852093"/>
    <w:rsid w:val="00880063"/>
    <w:rsid w:val="0088104E"/>
    <w:rsid w:val="00883D1B"/>
    <w:rsid w:val="008B6B0E"/>
    <w:rsid w:val="008B7238"/>
    <w:rsid w:val="008B7AC7"/>
    <w:rsid w:val="008C79EE"/>
    <w:rsid w:val="008E2E6B"/>
    <w:rsid w:val="008E3990"/>
    <w:rsid w:val="008E55A0"/>
    <w:rsid w:val="00910A27"/>
    <w:rsid w:val="00912D5D"/>
    <w:rsid w:val="00917925"/>
    <w:rsid w:val="0093520F"/>
    <w:rsid w:val="00950678"/>
    <w:rsid w:val="009549D7"/>
    <w:rsid w:val="009768AC"/>
    <w:rsid w:val="00992EA4"/>
    <w:rsid w:val="009A2D7C"/>
    <w:rsid w:val="009A4590"/>
    <w:rsid w:val="009B1BA1"/>
    <w:rsid w:val="009D2FAF"/>
    <w:rsid w:val="009D4883"/>
    <w:rsid w:val="009E5944"/>
    <w:rsid w:val="00A130BD"/>
    <w:rsid w:val="00A22F06"/>
    <w:rsid w:val="00A2326E"/>
    <w:rsid w:val="00A31DF8"/>
    <w:rsid w:val="00A37C4A"/>
    <w:rsid w:val="00A406DD"/>
    <w:rsid w:val="00A4565C"/>
    <w:rsid w:val="00A577CB"/>
    <w:rsid w:val="00A57981"/>
    <w:rsid w:val="00A6014C"/>
    <w:rsid w:val="00A6685C"/>
    <w:rsid w:val="00A73D7B"/>
    <w:rsid w:val="00A83FF4"/>
    <w:rsid w:val="00AA1065"/>
    <w:rsid w:val="00AA3318"/>
    <w:rsid w:val="00AB3AC9"/>
    <w:rsid w:val="00AB43FE"/>
    <w:rsid w:val="00AC3C79"/>
    <w:rsid w:val="00AF48F1"/>
    <w:rsid w:val="00B11043"/>
    <w:rsid w:val="00B15F36"/>
    <w:rsid w:val="00B172B9"/>
    <w:rsid w:val="00B243B2"/>
    <w:rsid w:val="00B3005C"/>
    <w:rsid w:val="00B36C53"/>
    <w:rsid w:val="00B37108"/>
    <w:rsid w:val="00B4660C"/>
    <w:rsid w:val="00B557FB"/>
    <w:rsid w:val="00B571EC"/>
    <w:rsid w:val="00B62FCE"/>
    <w:rsid w:val="00B7487C"/>
    <w:rsid w:val="00B757E2"/>
    <w:rsid w:val="00B76B80"/>
    <w:rsid w:val="00B90D3E"/>
    <w:rsid w:val="00B926AB"/>
    <w:rsid w:val="00BA05F6"/>
    <w:rsid w:val="00BA553F"/>
    <w:rsid w:val="00BF0A21"/>
    <w:rsid w:val="00BF2D32"/>
    <w:rsid w:val="00C046C3"/>
    <w:rsid w:val="00C136F9"/>
    <w:rsid w:val="00C37192"/>
    <w:rsid w:val="00C47AC6"/>
    <w:rsid w:val="00C534CA"/>
    <w:rsid w:val="00C636B6"/>
    <w:rsid w:val="00C66ACE"/>
    <w:rsid w:val="00C860FD"/>
    <w:rsid w:val="00C9354E"/>
    <w:rsid w:val="00CA02F4"/>
    <w:rsid w:val="00CA5C05"/>
    <w:rsid w:val="00CB28BC"/>
    <w:rsid w:val="00CB30E7"/>
    <w:rsid w:val="00CD17CA"/>
    <w:rsid w:val="00CD1E6E"/>
    <w:rsid w:val="00CD7BE2"/>
    <w:rsid w:val="00CF71A1"/>
    <w:rsid w:val="00D111D3"/>
    <w:rsid w:val="00D31D2A"/>
    <w:rsid w:val="00D34727"/>
    <w:rsid w:val="00D36A9F"/>
    <w:rsid w:val="00D37A01"/>
    <w:rsid w:val="00D401D7"/>
    <w:rsid w:val="00D43373"/>
    <w:rsid w:val="00D43B32"/>
    <w:rsid w:val="00D50AF3"/>
    <w:rsid w:val="00D5385B"/>
    <w:rsid w:val="00D5464E"/>
    <w:rsid w:val="00D56E5D"/>
    <w:rsid w:val="00D77BAE"/>
    <w:rsid w:val="00D8584A"/>
    <w:rsid w:val="00D93F07"/>
    <w:rsid w:val="00D96810"/>
    <w:rsid w:val="00DC165B"/>
    <w:rsid w:val="00DC1BBE"/>
    <w:rsid w:val="00DE1C22"/>
    <w:rsid w:val="00DE396C"/>
    <w:rsid w:val="00DF716F"/>
    <w:rsid w:val="00E01862"/>
    <w:rsid w:val="00E12D62"/>
    <w:rsid w:val="00E16A90"/>
    <w:rsid w:val="00E22C14"/>
    <w:rsid w:val="00E47D2C"/>
    <w:rsid w:val="00E52C9B"/>
    <w:rsid w:val="00E5438F"/>
    <w:rsid w:val="00E84ECA"/>
    <w:rsid w:val="00E8790A"/>
    <w:rsid w:val="00EA43D0"/>
    <w:rsid w:val="00EB3D08"/>
    <w:rsid w:val="00EB3EF6"/>
    <w:rsid w:val="00EB4E48"/>
    <w:rsid w:val="00EC0803"/>
    <w:rsid w:val="00EF006C"/>
    <w:rsid w:val="00EF0A2E"/>
    <w:rsid w:val="00EF12CC"/>
    <w:rsid w:val="00EF508B"/>
    <w:rsid w:val="00F074EF"/>
    <w:rsid w:val="00F20345"/>
    <w:rsid w:val="00F2059A"/>
    <w:rsid w:val="00F22F0D"/>
    <w:rsid w:val="00F24B6E"/>
    <w:rsid w:val="00F34928"/>
    <w:rsid w:val="00F37550"/>
    <w:rsid w:val="00F64EEF"/>
    <w:rsid w:val="00F8358E"/>
    <w:rsid w:val="00F87FBF"/>
    <w:rsid w:val="00F91085"/>
    <w:rsid w:val="00F95718"/>
    <w:rsid w:val="00FA2169"/>
    <w:rsid w:val="00FA3C2E"/>
    <w:rsid w:val="00FB1246"/>
    <w:rsid w:val="00FC0C43"/>
    <w:rsid w:val="00FC4044"/>
    <w:rsid w:val="00FD2B22"/>
    <w:rsid w:val="00FE5332"/>
    <w:rsid w:val="00FE6E2C"/>
    <w:rsid w:val="00FE74D6"/>
    <w:rsid w:val="00FF06D0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5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38F7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C22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22576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22576"/>
    <w:pPr>
      <w:widowControl w:val="0"/>
      <w:shd w:val="clear" w:color="auto" w:fill="FFFFFF"/>
      <w:spacing w:after="0" w:line="312" w:lineRule="exact"/>
      <w:jc w:val="righ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0538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1">
    <w:name w:val="Основной текст + Курсив"/>
    <w:aliases w:val="Интервал -1 pt"/>
    <w:basedOn w:val="a"/>
    <w:rsid w:val="008E55A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A4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A4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7A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769C8-8681-42C4-82C0-42672940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25</Pages>
  <Words>3245</Words>
  <Characters>18501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Soghomonyan</dc:creator>
  <cp:lastModifiedBy>L-Petrosyan</cp:lastModifiedBy>
  <cp:revision>189</cp:revision>
  <dcterms:created xsi:type="dcterms:W3CDTF">2018-10-24T13:08:00Z</dcterms:created>
  <dcterms:modified xsi:type="dcterms:W3CDTF">2018-11-23T13:47:00Z</dcterms:modified>
</cp:coreProperties>
</file>