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38" w:rsidRPr="000F503D" w:rsidRDefault="002A3538" w:rsidP="002A3538">
      <w:pPr>
        <w:spacing w:after="0"/>
        <w:jc w:val="right"/>
        <w:rPr>
          <w:smallCaps/>
          <w:sz w:val="24"/>
          <w:szCs w:val="24"/>
        </w:rPr>
      </w:pPr>
      <w:r w:rsidRPr="000F503D">
        <w:rPr>
          <w:rFonts w:cs="Arial"/>
          <w:smallCaps/>
          <w:sz w:val="24"/>
          <w:szCs w:val="24"/>
        </w:rPr>
        <w:t>ՆԱԽԱԳԻ</w:t>
      </w:r>
      <w:r w:rsidRPr="000F503D">
        <w:rPr>
          <w:smallCaps/>
          <w:sz w:val="24"/>
          <w:szCs w:val="24"/>
        </w:rPr>
        <w:t>Ծ</w:t>
      </w:r>
    </w:p>
    <w:p w:rsidR="002A3538" w:rsidRDefault="002A3538" w:rsidP="002A3538">
      <w:pPr>
        <w:tabs>
          <w:tab w:val="left" w:pos="3570"/>
        </w:tabs>
        <w:spacing w:after="0"/>
        <w:rPr>
          <w:smallCaps/>
          <w:sz w:val="24"/>
          <w:szCs w:val="24"/>
        </w:rPr>
      </w:pPr>
    </w:p>
    <w:p w:rsidR="002A3538" w:rsidRDefault="002A3538" w:rsidP="002A3538">
      <w:pPr>
        <w:tabs>
          <w:tab w:val="left" w:pos="3570"/>
        </w:tabs>
        <w:spacing w:after="0"/>
        <w:ind w:left="-450" w:right="-540"/>
        <w:rPr>
          <w:sz w:val="24"/>
          <w:szCs w:val="24"/>
        </w:rPr>
      </w:pPr>
      <w:r>
        <w:rPr>
          <w:sz w:val="24"/>
          <w:szCs w:val="24"/>
        </w:rPr>
        <w:t xml:space="preserve">ՀԱՅԱՍՏԱՆԻ ՀԱՆՐԱՊԵՏՈՒԹՅԱՆ   </w:t>
      </w:r>
      <w:r>
        <w:rPr>
          <w:sz w:val="24"/>
          <w:szCs w:val="24"/>
        </w:rPr>
        <w:tab/>
        <w:t xml:space="preserve">           </w:t>
      </w:r>
      <w:r w:rsidR="003D788B">
        <w:rPr>
          <w:sz w:val="24"/>
          <w:szCs w:val="24"/>
        </w:rPr>
        <w:t>ՊԵՏԱԿԱՆ</w:t>
      </w:r>
      <w:r w:rsidR="003D788B" w:rsidRPr="003D788B">
        <w:rPr>
          <w:sz w:val="24"/>
          <w:szCs w:val="24"/>
        </w:rPr>
        <w:t xml:space="preserve"> </w:t>
      </w:r>
      <w:r w:rsidR="003D788B">
        <w:rPr>
          <w:sz w:val="24"/>
          <w:szCs w:val="24"/>
        </w:rPr>
        <w:t>ԵԿԱՄՈՒՏՆԵՐԻ</w:t>
      </w:r>
    </w:p>
    <w:p w:rsidR="002A3538" w:rsidRDefault="002A3538" w:rsidP="002A3538">
      <w:pPr>
        <w:tabs>
          <w:tab w:val="left" w:pos="3570"/>
        </w:tabs>
        <w:spacing w:after="0"/>
        <w:ind w:left="-450" w:right="-540" w:hanging="38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   ՖԻՆԱՆՍՆԵՐԻ ՆԱԽԱՐԱՐ                      </w:t>
      </w:r>
      <w:r w:rsidR="003D788B">
        <w:rPr>
          <w:sz w:val="24"/>
          <w:szCs w:val="24"/>
        </w:rPr>
        <w:tab/>
        <w:t xml:space="preserve">    </w:t>
      </w:r>
      <w:r w:rsidR="003D788B">
        <w:rPr>
          <w:sz w:val="24"/>
          <w:szCs w:val="24"/>
        </w:rPr>
        <w:t xml:space="preserve">ԿՈՄԻՏԵԻ ՆԱԽԱԳԱՀ     </w:t>
      </w:r>
    </w:p>
    <w:p w:rsidR="003D788B" w:rsidRDefault="003D788B" w:rsidP="002A3538">
      <w:pPr>
        <w:tabs>
          <w:tab w:val="left" w:pos="3570"/>
        </w:tabs>
        <w:spacing w:after="0"/>
        <w:ind w:left="-450" w:right="-540" w:hanging="3825"/>
        <w:jc w:val="both"/>
        <w:rPr>
          <w:sz w:val="24"/>
          <w:szCs w:val="24"/>
        </w:rPr>
      </w:pPr>
    </w:p>
    <w:p w:rsidR="002A3538" w:rsidRDefault="002A3538" w:rsidP="002A3538">
      <w:pPr>
        <w:tabs>
          <w:tab w:val="left" w:pos="3570"/>
        </w:tabs>
        <w:spacing w:after="0"/>
        <w:ind w:left="-450" w:right="-540" w:hanging="38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….. ……..-ի 2018 </w:t>
      </w:r>
      <w:proofErr w:type="spellStart"/>
      <w:r>
        <w:rPr>
          <w:sz w:val="24"/>
          <w:szCs w:val="24"/>
        </w:rPr>
        <w:t>թվականի</w:t>
      </w:r>
      <w:proofErr w:type="spellEnd"/>
      <w:r>
        <w:rPr>
          <w:sz w:val="24"/>
          <w:szCs w:val="24"/>
        </w:rPr>
        <w:t xml:space="preserve"> N ….Ն</w:t>
      </w:r>
      <w:r w:rsidR="003D788B">
        <w:rPr>
          <w:sz w:val="24"/>
          <w:szCs w:val="24"/>
        </w:rPr>
        <w:t xml:space="preserve">  </w:t>
      </w:r>
      <w:r w:rsidR="003D788B">
        <w:rPr>
          <w:sz w:val="24"/>
          <w:szCs w:val="24"/>
        </w:rPr>
        <w:t xml:space="preserve">    </w:t>
      </w:r>
      <w:r w:rsidR="003D788B">
        <w:rPr>
          <w:sz w:val="24"/>
          <w:szCs w:val="24"/>
        </w:rPr>
        <w:tab/>
      </w:r>
      <w:r w:rsidR="003D788B">
        <w:rPr>
          <w:sz w:val="24"/>
          <w:szCs w:val="24"/>
        </w:rPr>
        <w:tab/>
      </w:r>
      <w:r w:rsidR="003D788B">
        <w:rPr>
          <w:sz w:val="24"/>
          <w:szCs w:val="24"/>
        </w:rPr>
        <w:t xml:space="preserve">  ….. ……..-ի 2018 </w:t>
      </w:r>
      <w:proofErr w:type="spellStart"/>
      <w:r w:rsidR="003D788B">
        <w:rPr>
          <w:sz w:val="24"/>
          <w:szCs w:val="24"/>
        </w:rPr>
        <w:t>թվականի</w:t>
      </w:r>
      <w:proofErr w:type="spellEnd"/>
      <w:r w:rsidR="003D788B">
        <w:rPr>
          <w:sz w:val="24"/>
          <w:szCs w:val="24"/>
        </w:rPr>
        <w:t xml:space="preserve"> N ….Ն</w:t>
      </w:r>
      <w:r w:rsidR="003D788B">
        <w:rPr>
          <w:sz w:val="24"/>
          <w:szCs w:val="24"/>
        </w:rPr>
        <w:tab/>
      </w:r>
    </w:p>
    <w:p w:rsidR="002A3538" w:rsidRDefault="002A3538" w:rsidP="002A3538">
      <w:pPr>
        <w:tabs>
          <w:tab w:val="left" w:pos="3570"/>
        </w:tabs>
        <w:spacing w:after="0"/>
        <w:jc w:val="both"/>
        <w:rPr>
          <w:sz w:val="24"/>
          <w:szCs w:val="24"/>
        </w:rPr>
      </w:pPr>
    </w:p>
    <w:p w:rsidR="002A3538" w:rsidRDefault="002A3538" w:rsidP="002A3538">
      <w:pPr>
        <w:tabs>
          <w:tab w:val="left" w:pos="3570"/>
        </w:tabs>
        <w:spacing w:after="0"/>
        <w:jc w:val="center"/>
        <w:rPr>
          <w:sz w:val="24"/>
          <w:szCs w:val="24"/>
        </w:rPr>
      </w:pPr>
    </w:p>
    <w:p w:rsidR="002A3538" w:rsidRDefault="002A3538" w:rsidP="002A3538">
      <w:pPr>
        <w:tabs>
          <w:tab w:val="left" w:pos="357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ՀԱՄԱՏԵՂ ՀՐԱՄԱՆ</w:t>
      </w:r>
    </w:p>
    <w:p w:rsidR="002A3538" w:rsidRDefault="002A3538" w:rsidP="002A3538">
      <w:pPr>
        <w:tabs>
          <w:tab w:val="left" w:pos="3570"/>
        </w:tabs>
        <w:spacing w:after="0"/>
        <w:jc w:val="center"/>
        <w:rPr>
          <w:sz w:val="24"/>
          <w:szCs w:val="24"/>
        </w:rPr>
      </w:pPr>
    </w:p>
    <w:p w:rsidR="002A3538" w:rsidRDefault="002A3538" w:rsidP="002A3538">
      <w:pPr>
        <w:tabs>
          <w:tab w:val="left" w:pos="357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ԿԵՆՍԱԹՈՇԱԿԱՅԻՆ ՖՈՆԴԻ ԸՆՏՐՈՒԹՅԱՆ ԴԻՄՈՒՄԻ ՀԻՄԱՆ ՎՐԱ ՍՈՑԻԱԼԱԿԱՆ ՎՃԱՐ ԿԱՏԱՐԵԼՈՒ ՊԱՐՏԱՎՈՐՈՒԹՅՈՒՆ ՍՏԱՆՁՆԱԾ ՄԱՍՆԱԿԻՑՆԵՐԻ ՄԱՍԻՆ ՀԱՐԿԱՅԻՆ ՄԱՐՄՆԻ ԿՈՂՄԻՑ ԳՈՐԾԱՏՈՒՆԵՐԻՆ ՏԵՂԵԿԱՑՆԵԼՈՒ ԿԱՐԳԸ ՍԱՀՄԱՆԵԼՈՒ ՄԱՍԻՆ</w:t>
      </w:r>
    </w:p>
    <w:p w:rsidR="002A3538" w:rsidRDefault="002A3538" w:rsidP="002A3538">
      <w:pPr>
        <w:shd w:val="clear" w:color="auto" w:fill="FFFFFF"/>
        <w:spacing w:after="0"/>
        <w:ind w:firstLine="375"/>
        <w:rPr>
          <w:rFonts w:eastAsia="Times New Roman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Հիմք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ընդունելով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10-րդ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2-ին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2A3538" w:rsidRDefault="002A3538" w:rsidP="002A353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ՀՐԱՄԱՅՈՒՄ ԵՆՔ՝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Սահմանել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ֆոնդի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ընտրության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դիմումի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հիման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վրա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վճար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կատարելու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պարտավորություն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ստանձնած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կողմից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գործատուներին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տեղեկացնելու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կարգը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համաձայն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հավելվածի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հրամանն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ուժի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մեջ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մտնում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պաշտոնական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հրապարակման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օրվան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հաջորդող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տասներորդ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751718">
        <w:rPr>
          <w:rFonts w:eastAsia="Times New Roman" w:cs="Times New Roman"/>
          <w:color w:val="000000"/>
          <w:sz w:val="24"/>
          <w:szCs w:val="24"/>
        </w:rPr>
        <w:t>տարածվում</w:t>
      </w:r>
      <w:proofErr w:type="spellEnd"/>
      <w:r w:rsidRPr="00751718">
        <w:rPr>
          <w:rFonts w:eastAsia="Times New Roman" w:cs="Times New Roman"/>
          <w:color w:val="000000"/>
          <w:sz w:val="24"/>
          <w:szCs w:val="24"/>
        </w:rPr>
        <w:t xml:space="preserve"> է 2014 </w:t>
      </w:r>
      <w:proofErr w:type="spellStart"/>
      <w:r w:rsidRPr="00751718">
        <w:rPr>
          <w:rFonts w:eastAsia="Times New Roman" w:cs="Times New Roman"/>
          <w:color w:val="000000"/>
          <w:sz w:val="24"/>
          <w:szCs w:val="24"/>
        </w:rPr>
        <w:t>թվականի</w:t>
      </w:r>
      <w:proofErr w:type="spellEnd"/>
      <w:r w:rsidRPr="0075171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751718">
        <w:rPr>
          <w:rFonts w:eastAsia="Times New Roman" w:cs="Times New Roman"/>
          <w:color w:val="000000"/>
          <w:sz w:val="24"/>
          <w:szCs w:val="24"/>
        </w:rPr>
        <w:t>հունվարի</w:t>
      </w:r>
      <w:proofErr w:type="spellEnd"/>
      <w:r w:rsidRPr="00751718">
        <w:rPr>
          <w:rFonts w:eastAsia="Times New Roman" w:cs="Times New Roman"/>
          <w:color w:val="000000"/>
          <w:sz w:val="24"/>
          <w:szCs w:val="24"/>
        </w:rPr>
        <w:t xml:space="preserve"> 1-ից </w:t>
      </w:r>
      <w:proofErr w:type="spellStart"/>
      <w:r w:rsidRPr="00751718">
        <w:rPr>
          <w:rFonts w:eastAsia="Times New Roman" w:cs="Times New Roman"/>
          <w:color w:val="000000"/>
          <w:sz w:val="24"/>
          <w:szCs w:val="24"/>
        </w:rPr>
        <w:t>հետո</w:t>
      </w:r>
      <w:proofErr w:type="spellEnd"/>
      <w:r w:rsidRPr="0075171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751718">
        <w:rPr>
          <w:rFonts w:eastAsia="Times New Roman" w:cs="Times New Roman"/>
          <w:color w:val="000000"/>
          <w:sz w:val="24"/>
          <w:szCs w:val="24"/>
        </w:rPr>
        <w:t>ծագած</w:t>
      </w:r>
      <w:proofErr w:type="spellEnd"/>
      <w:r w:rsidRPr="0075171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751718">
        <w:rPr>
          <w:rFonts w:eastAsia="Times New Roman" w:cs="Times New Roman"/>
          <w:color w:val="000000"/>
          <w:sz w:val="24"/>
          <w:szCs w:val="24"/>
        </w:rPr>
        <w:t>հարաբերությունների</w:t>
      </w:r>
      <w:proofErr w:type="spellEnd"/>
      <w:r w:rsidRPr="0075171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751718">
        <w:rPr>
          <w:rFonts w:eastAsia="Times New Roman" w:cs="Times New Roman"/>
          <w:color w:val="000000"/>
          <w:sz w:val="24"/>
          <w:szCs w:val="24"/>
        </w:rPr>
        <w:t>վրա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2A3538" w:rsidRDefault="002A3538" w:rsidP="002A353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Ա. ՋԱՆՋՈՒՂԱԶՅԱՆ   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 xml:space="preserve">  Դ. ԱՆԱՆՅԱՆ </w:t>
      </w:r>
    </w:p>
    <w:p w:rsidR="002A3538" w:rsidRDefault="002A3538" w:rsidP="002A35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3538" w:rsidRDefault="002A3538" w:rsidP="002A353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Հավելված</w:t>
      </w:r>
      <w:proofErr w:type="spellEnd"/>
      <w:r>
        <w:rPr>
          <w:sz w:val="24"/>
          <w:szCs w:val="24"/>
        </w:rPr>
        <w:t xml:space="preserve"> </w:t>
      </w:r>
    </w:p>
    <w:p w:rsidR="002A3538" w:rsidRDefault="002A3538" w:rsidP="002A353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ՀՀ </w:t>
      </w:r>
      <w:proofErr w:type="spellStart"/>
      <w:r>
        <w:rPr>
          <w:sz w:val="24"/>
          <w:szCs w:val="24"/>
        </w:rPr>
        <w:t>ֆինանսների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նախարարի</w:t>
      </w:r>
      <w:proofErr w:type="spellEnd"/>
      <w:r>
        <w:rPr>
          <w:sz w:val="24"/>
          <w:szCs w:val="24"/>
        </w:rPr>
        <w:t xml:space="preserve"> </w:t>
      </w:r>
    </w:p>
    <w:p w:rsidR="002A3538" w:rsidRDefault="002A3538" w:rsidP="002A353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2018 </w:t>
      </w:r>
      <w:proofErr w:type="spellStart"/>
      <w:r>
        <w:rPr>
          <w:sz w:val="24"/>
          <w:szCs w:val="24"/>
        </w:rPr>
        <w:t>թվականի</w:t>
      </w:r>
      <w:proofErr w:type="spellEnd"/>
      <w:r>
        <w:rPr>
          <w:sz w:val="24"/>
          <w:szCs w:val="24"/>
        </w:rPr>
        <w:t xml:space="preserve"> ….. ……..-ի </w:t>
      </w:r>
    </w:p>
    <w:p w:rsidR="002A3538" w:rsidRDefault="002A3538" w:rsidP="002A353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>N ….Ն և</w:t>
      </w:r>
    </w:p>
    <w:p w:rsidR="003D788B" w:rsidRDefault="003D788B" w:rsidP="003D788B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bookmarkStart w:id="0" w:name="_GoBack"/>
      <w:proofErr w:type="spellStart"/>
      <w:r>
        <w:rPr>
          <w:sz w:val="24"/>
          <w:szCs w:val="24"/>
        </w:rPr>
        <w:t>Պ</w:t>
      </w:r>
      <w:r w:rsidR="002A3538">
        <w:rPr>
          <w:sz w:val="24"/>
          <w:szCs w:val="24"/>
        </w:rPr>
        <w:t>ետական</w:t>
      </w:r>
      <w:proofErr w:type="spellEnd"/>
      <w:r w:rsidR="002A3538">
        <w:rPr>
          <w:sz w:val="24"/>
          <w:szCs w:val="24"/>
        </w:rPr>
        <w:t xml:space="preserve"> </w:t>
      </w:r>
      <w:proofErr w:type="spellStart"/>
      <w:r w:rsidR="002A3538">
        <w:rPr>
          <w:sz w:val="24"/>
          <w:szCs w:val="24"/>
        </w:rPr>
        <w:t>եկամուտ</w:t>
      </w:r>
      <w:bookmarkEnd w:id="0"/>
      <w:r w:rsidR="002A3538">
        <w:rPr>
          <w:sz w:val="24"/>
          <w:szCs w:val="24"/>
        </w:rPr>
        <w:t>ների</w:t>
      </w:r>
      <w:proofErr w:type="spellEnd"/>
      <w:r w:rsidR="002A3538">
        <w:rPr>
          <w:sz w:val="24"/>
          <w:szCs w:val="24"/>
        </w:rPr>
        <w:t xml:space="preserve"> </w:t>
      </w:r>
    </w:p>
    <w:p w:rsidR="002A3538" w:rsidRDefault="002A3538" w:rsidP="003D788B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կոմիտեի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նախագահի</w:t>
      </w:r>
      <w:proofErr w:type="spellEnd"/>
    </w:p>
    <w:p w:rsidR="002A3538" w:rsidRDefault="002A3538" w:rsidP="002A353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2018 </w:t>
      </w:r>
      <w:proofErr w:type="spellStart"/>
      <w:r>
        <w:rPr>
          <w:sz w:val="24"/>
          <w:szCs w:val="24"/>
        </w:rPr>
        <w:t>թվականի</w:t>
      </w:r>
      <w:proofErr w:type="spellEnd"/>
      <w:r>
        <w:rPr>
          <w:sz w:val="24"/>
          <w:szCs w:val="24"/>
        </w:rPr>
        <w:t xml:space="preserve"> ….. ……..-ի </w:t>
      </w:r>
    </w:p>
    <w:p w:rsidR="002A3538" w:rsidRDefault="002A3538" w:rsidP="002A353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>N ….Ն</w:t>
      </w:r>
    </w:p>
    <w:p w:rsidR="002A3538" w:rsidRDefault="002A3538" w:rsidP="002A353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համատեղ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հրամանի</w:t>
      </w:r>
      <w:proofErr w:type="spellEnd"/>
    </w:p>
    <w:p w:rsidR="002A3538" w:rsidRDefault="002A3538" w:rsidP="002A3538">
      <w:pPr>
        <w:shd w:val="clear" w:color="auto" w:fill="FFFFFF"/>
        <w:spacing w:after="0"/>
        <w:ind w:firstLine="375"/>
        <w:jc w:val="center"/>
        <w:rPr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ind w:firstLine="3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ԿԱՐԳ </w:t>
      </w:r>
    </w:p>
    <w:p w:rsidR="002A3538" w:rsidRDefault="002A3538" w:rsidP="002A3538">
      <w:pPr>
        <w:shd w:val="clear" w:color="auto" w:fill="FFFFFF"/>
        <w:spacing w:after="0"/>
        <w:ind w:firstLine="375"/>
        <w:jc w:val="center"/>
        <w:rPr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ind w:firstLine="375"/>
        <w:jc w:val="center"/>
        <w:rPr>
          <w:sz w:val="24"/>
          <w:szCs w:val="24"/>
        </w:rPr>
      </w:pPr>
      <w:r>
        <w:rPr>
          <w:sz w:val="24"/>
          <w:szCs w:val="24"/>
        </w:rPr>
        <w:t>ԿԵՆՍԱԹՈՇԱԿԱՅԻՆ ՖՈՆԴԻ ԸՆՏՐՈՒԹՅԱՆ ԴԻՄՈՒՄԻ ՀԻՄԱՆ ՎՐԱ ՍՈՑԻԱԼԱԿԱՆ ՎՃԱՐ ԿԱՏԱՐԵԼՈՒ ՊԱՐՏԱՎՈՈՐՈՒԹՅՈՒՆ ՍՏԱՆՁՆԱԾ ՄԱՍՆԱԿԻՑՆԵՐԻ ՄԱՍԻՆ ՀԱՐԿԱՅԻՆ ՄԱՐՄՆԻ ԿՈՂՄԻՑ ԳՈՐԾԱՏՈՒՆԵՐԻՆ ՏԵՂԵԿԱՑՆԵԼՈՒ</w:t>
      </w:r>
    </w:p>
    <w:p w:rsidR="002A3538" w:rsidRDefault="002A3538" w:rsidP="002A3538">
      <w:pPr>
        <w:shd w:val="clear" w:color="auto" w:fill="FFFFFF"/>
        <w:spacing w:after="0"/>
        <w:ind w:firstLine="375"/>
        <w:jc w:val="center"/>
        <w:rPr>
          <w:sz w:val="24"/>
          <w:szCs w:val="24"/>
        </w:rPr>
      </w:pP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spellStart"/>
      <w:r>
        <w:rPr>
          <w:color w:val="000000"/>
          <w:sz w:val="24"/>
          <w:szCs w:val="24"/>
        </w:rPr>
        <w:t>Սույն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կարգով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կարգավորվում</w:t>
      </w:r>
      <w:proofErr w:type="spellEnd"/>
      <w:r>
        <w:rPr>
          <w:color w:val="000000"/>
          <w:sz w:val="24"/>
          <w:szCs w:val="24"/>
        </w:rPr>
        <w:t xml:space="preserve"> է «</w:t>
      </w:r>
      <w:proofErr w:type="spellStart"/>
      <w:r>
        <w:rPr>
          <w:color w:val="000000"/>
          <w:sz w:val="24"/>
          <w:szCs w:val="24"/>
        </w:rPr>
        <w:t>Կուտակային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մասին</w:t>
      </w:r>
      <w:proofErr w:type="spellEnd"/>
      <w:r>
        <w:rPr>
          <w:rFonts w:eastAsia="Times New Roman" w:cs="GHEA Grapalat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օրենքով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սահմանված</w:t>
      </w:r>
      <w:proofErr w:type="spellEnd"/>
      <w:r>
        <w:rPr>
          <w:color w:val="000000"/>
          <w:sz w:val="24"/>
          <w:szCs w:val="24"/>
        </w:rPr>
        <w:t xml:space="preserve">` </w:t>
      </w:r>
      <w:proofErr w:type="spellStart"/>
      <w:r>
        <w:rPr>
          <w:color w:val="000000"/>
          <w:sz w:val="24"/>
          <w:szCs w:val="24"/>
        </w:rPr>
        <w:t>ռեեստրը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վարողի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ինտերնետային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կայքէջի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կամ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հաշվի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օպերատորի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միջոցով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մասնակիցների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ռեեստրը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վարողի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մոտ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կենսաթոշակային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հաշիվ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բացած</w:t>
      </w:r>
      <w:proofErr w:type="spellEnd"/>
      <w:r>
        <w:rPr>
          <w:color w:val="000000"/>
          <w:sz w:val="24"/>
          <w:szCs w:val="24"/>
        </w:rPr>
        <w:t xml:space="preserve"> ` </w:t>
      </w:r>
      <w:proofErr w:type="spellStart"/>
      <w:r>
        <w:rPr>
          <w:color w:val="000000"/>
          <w:sz w:val="24"/>
          <w:szCs w:val="24"/>
        </w:rPr>
        <w:t>կենսաթոշակային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ֆոնդի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ընտրության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դիմումի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հիման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վրա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սոցիալական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վճարներ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կատարելու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պարտավորություն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ստանձնած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մասնակիցների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հարկային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մարմնի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կողմից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հարկային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գործակալ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հանդիսացող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գո</w:t>
      </w:r>
      <w:r>
        <w:rPr>
          <w:rFonts w:cs="Arial Unicode"/>
          <w:color w:val="000000"/>
          <w:sz w:val="24"/>
          <w:szCs w:val="24"/>
        </w:rPr>
        <w:t>րծատուներին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cs="Arial Unicode"/>
          <w:color w:val="000000"/>
          <w:sz w:val="24"/>
          <w:szCs w:val="24"/>
        </w:rPr>
        <w:t>տեղեկացնելու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cs="Arial Unicode"/>
          <w:color w:val="000000"/>
          <w:sz w:val="24"/>
          <w:szCs w:val="24"/>
        </w:rPr>
        <w:t>հետ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cs="Arial Unicode"/>
          <w:color w:val="000000"/>
          <w:sz w:val="24"/>
          <w:szCs w:val="24"/>
        </w:rPr>
        <w:t>կապված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cs="Arial Unicode"/>
          <w:color w:val="000000"/>
          <w:sz w:val="24"/>
          <w:szCs w:val="24"/>
        </w:rPr>
        <w:t>հարաբերությունները</w:t>
      </w:r>
      <w:proofErr w:type="spellEnd"/>
      <w:r>
        <w:rPr>
          <w:color w:val="000000"/>
          <w:sz w:val="24"/>
          <w:szCs w:val="24"/>
        </w:rPr>
        <w:t>: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կարգում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կիրառվող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հասկացություններն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ունեն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օրենքով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իմաստը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կարգի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իմաստով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վարողի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մոտ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հաշիվ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բացած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ֆոնդի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ընտրության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դիմումի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հիման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վրա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վճարներ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կատարելու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պարտավորություն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ստանձնած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մասնակիցներն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այդ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թվում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օտարերկրյա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քաղաքացի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քաղաքացիություն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չունեցող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անձինք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`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մինչև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1974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թվականը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ծնված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`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ա.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վարձու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աշխատողները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այդ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թվում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պայմանագրային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եկամուտ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ստացողները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).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բ.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անհատ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ձեռնարկատերերը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գ.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նոտարները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ինքնազբաղված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անձինք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անկախ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տարիքից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4.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մարմինը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ֆոնդի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ընտրության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դիմումի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հիման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վրա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վճարներ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կատարելու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պարտավորություն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ստանձնած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մասնակիցների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մասին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գործատուներին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տեղեկացնում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Arial Unicode"/>
          <w:color w:val="000000"/>
          <w:sz w:val="24"/>
          <w:szCs w:val="24"/>
        </w:rPr>
        <w:t>է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ռեեստր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վարողից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տեղեկատվությունն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ստանալուց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հետո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մեկ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աշխատանքային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օրվա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ընթացքում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էլեկտրոնային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ծանուցման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եղանակով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` www.taxservice.am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կայքէջին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կից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գործող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https://file-online.taxservice.am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հաշվետվությունները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ներկայացնելու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էլեկտրոնային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համակարգի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միջոցով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անձնավորված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հաշվառման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տեղեկատվական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համակարգում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տվյալ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ֆիզիկական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անձանց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վերաբերյալ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տվյալների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առկայության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):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մարմինը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գործատուներին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տեղեկացնում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ֆոնդի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ընտրության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դիմումի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հիման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վրա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վճար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կատարելու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պարտավորություն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ստանձնած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վարձու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աշխատող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մասին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եթե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աշխատավարձը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պայմանագրային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եկամուտ</w:t>
      </w:r>
      <w:r>
        <w:rPr>
          <w:rFonts w:eastAsia="Times New Roman" w:cs="Times New Roman"/>
          <w:color w:val="000000"/>
          <w:sz w:val="24"/>
          <w:szCs w:val="24"/>
        </w:rPr>
        <w:t>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հաշվարկվել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վճարվել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) է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գործատուի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գործակալի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կողմից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Էլեկտրոնային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ծանուցման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մեջ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արտացոլվում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ֆոնդի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ընտրության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դիմումի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հիման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վրա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վճարներ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կատարելու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պարտավորություն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ստանձնած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անձանց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հետևյալ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տվյալները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`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անունը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ազգանունը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հանրային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ծառայությունների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համարանիշը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հանրային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ծառայությունների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համարանիշ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չստանալու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մասին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eastAsia="Times New Roman" w:cs="GHEA Grapalat"/>
          <w:color w:val="000000"/>
          <w:sz w:val="24"/>
          <w:szCs w:val="24"/>
        </w:rPr>
        <w:t>տեղեկանքի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Arial Unicode"/>
          <w:color w:val="000000"/>
          <w:sz w:val="24"/>
          <w:szCs w:val="24"/>
        </w:rPr>
        <w:t>համարը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անձը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հաստատող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փաստաթղթի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սերիան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համարը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ծննդյան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ամիսը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տարեթիվը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դիմումը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ներկայացնելու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հաշիվը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բացելու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ամիսը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տարեթիվը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2A3538" w:rsidRDefault="002A3538" w:rsidP="002A353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ռեեստրը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վարողից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ստացված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տեղեկատվության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հիման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վրա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անձնավորված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հաշվառման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տեղեկատվական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համակարգում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ինքնաշխատ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եղանակով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փոխվում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ֆիզիկական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անձի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բաղադրիչի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մասնակցության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կարգավիճակը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2A3538" w:rsidRDefault="002A3538" w:rsidP="002A3538">
      <w:pPr>
        <w:rPr>
          <w:sz w:val="24"/>
          <w:szCs w:val="24"/>
        </w:rPr>
      </w:pPr>
    </w:p>
    <w:p w:rsidR="00487B31" w:rsidRPr="002A3538" w:rsidRDefault="00487B31">
      <w:pPr>
        <w:rPr>
          <w:smallCaps/>
          <w:sz w:val="24"/>
          <w:szCs w:val="24"/>
        </w:rPr>
      </w:pPr>
    </w:p>
    <w:sectPr w:rsidR="00487B31" w:rsidRPr="002A3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A7"/>
    <w:rsid w:val="000F503D"/>
    <w:rsid w:val="002A3538"/>
    <w:rsid w:val="003D788B"/>
    <w:rsid w:val="00487B31"/>
    <w:rsid w:val="00505294"/>
    <w:rsid w:val="007127A7"/>
    <w:rsid w:val="00751718"/>
    <w:rsid w:val="0092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38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38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 Stepanyan</dc:creator>
  <cp:keywords/>
  <dc:description/>
  <cp:lastModifiedBy>Anzhelika Stepanyan</cp:lastModifiedBy>
  <cp:revision>7</cp:revision>
  <dcterms:created xsi:type="dcterms:W3CDTF">2018-06-07T10:55:00Z</dcterms:created>
  <dcterms:modified xsi:type="dcterms:W3CDTF">2018-07-02T08:09:00Z</dcterms:modified>
</cp:coreProperties>
</file>