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E3" w:rsidRDefault="00C617E3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 Ե Ղ Ե Կ Ա Ն Ք</w:t>
      </w:r>
    </w:p>
    <w:p w:rsidR="001075A7" w:rsidRPr="001075A7" w:rsidRDefault="001075A7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C617E3" w:rsidRPr="00C617E3" w:rsidRDefault="002C1C48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«ԴԵՂԵՐԻ ԳՆԵՐԻ ՊԵՏԱԿԱՆ ԿԱՐԳԱՎՈՐՄԱՆ ՆՊԱՏԱԿՈՎ ԱՇԽԱՏԱՆՔՆԵՐ ԻՐԱԿԱՆԱՑՆՈՂ ՀԱՆՁՆԱԺՈՂՈՎԻ ԿԱԶՄԱՎՈՐՄԱՆ ԿԱՐԳԸ, ԱՆԴԱՄՆԵՐԻ ԱՌԱՎԵԼԱԳՈՒՅՆ ԹԻՎԸ ԵՎ ԳՈՐԾՈՒՆԵՈՒԹՅԱՆ ԿԱՐԳԸ ՍԱՀՄԱՆԵԼՈՒ ՄԱՍԻՆ» ՀՀ ԿԱՌԱՎԱՐՈՒԹՅԱՆ ՈՐՈՇՄԱՆ ՆԱԽԱԳԾԻ ԸՆԴՈՒՆՄԱՆ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C617E3"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="00183222" w:rsidRPr="001832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C617E3"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="00183222" w:rsidRPr="001832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C617E3"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 ԱԿՏԵՐԻ  ԸՆԴՈՒՆՄԱՆ ԱՆՀՐԱԺԵՇՏՈՒԹՅԱՆ ԿԱՄ ԴՐԱ ԲԱՑԱԿԱՅՈՒԹՅԱՆ ՄԱՍԻՆ</w:t>
      </w:r>
    </w:p>
    <w:p w:rsidR="00C617E3" w:rsidRPr="00C617E3" w:rsidRDefault="00C617E3" w:rsidP="00C617E3">
      <w:pPr>
        <w:rPr>
          <w:rFonts w:eastAsia="Times New Roman"/>
          <w:highlight w:val="yellow"/>
          <w:lang w:val="hy-AM" w:eastAsia="ru-RU"/>
        </w:rPr>
      </w:pPr>
    </w:p>
    <w:p w:rsidR="00C617E3" w:rsidRPr="00C617E3" w:rsidRDefault="002C1C48" w:rsidP="00C617E3">
      <w:pPr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15B5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>«Դեղերի գների պետական կարգավորման նպատակով աշխատանքներ իրականացնող հանձնաժողովի կազմավորման կարգը, անդամների առավելագույն թիվը և գործունեության կարգը սահմանելու մասին»</w:t>
      </w:r>
      <w:r w:rsidRPr="008215B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որոշման </w:t>
      </w:r>
      <w:r w:rsidR="00C617E3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նախագծի ընդունման </w:t>
      </w:r>
      <w:r w:rsidR="00C617E3" w:rsidRPr="00C617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կապակցությամբ այլ իրավական ակտերի ընդունման կամ վերջիններում փոփոխություն կատարելու </w:t>
      </w:r>
      <w:r w:rsidR="00C617E3" w:rsidRPr="00C617E3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 չի առաջանա:</w:t>
      </w: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17E3" w:rsidRP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>ՀՀ ԱՌՈՂՋԱՊԱՀՈՒԹՅԱՆ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ՆԱԽԱՐԱՐ                                                               ԼԵՎՈՆ ԱԼԹՈՒՆՅԱՆ     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</w:rPr>
      </w:pPr>
    </w:p>
    <w:p w:rsidR="001075A7" w:rsidRDefault="001075A7" w:rsidP="00C617E3">
      <w:pPr>
        <w:rPr>
          <w:rFonts w:ascii="GHEA Grapalat" w:eastAsia="Times New Roman" w:hAnsi="GHEA Grapalat" w:cs="Times Armenian"/>
          <w:sz w:val="24"/>
          <w:szCs w:val="24"/>
        </w:rPr>
      </w:pPr>
    </w:p>
    <w:p w:rsidR="001075A7" w:rsidRPr="001075A7" w:rsidRDefault="001075A7" w:rsidP="00C617E3">
      <w:pPr>
        <w:rPr>
          <w:rFonts w:ascii="GHEA Grapalat" w:eastAsia="Times New Roman" w:hAnsi="GHEA Grapalat" w:cs="Times Armenian"/>
          <w:sz w:val="24"/>
          <w:szCs w:val="24"/>
        </w:rPr>
      </w:pPr>
      <w:bookmarkStart w:id="0" w:name="_GoBack"/>
      <w:bookmarkEnd w:id="0"/>
    </w:p>
    <w:p w:rsidR="002C1C48" w:rsidRPr="00C617E3" w:rsidRDefault="002C1C48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 Ե Ղ Ե Կ Ա Ն Ք</w:t>
      </w:r>
    </w:p>
    <w:p w:rsidR="001075A7" w:rsidRDefault="001075A7" w:rsidP="002C1C48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2C1C48" w:rsidRPr="00C617E3" w:rsidRDefault="002C1C48" w:rsidP="002C1C48">
      <w:pPr>
        <w:spacing w:after="0" w:line="36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«ԴԵՂԵՐԻ ԳՆԵՐԻ ՊԵՏԱԿԱՆ ԿԱՐԳԱՎՈՐՄԱՆ ՆՊԱՏԱԿՈՎ ԱՇԽԱՏԱՆՔՆԵՐ ԻՐԱԿԱՆԱՑՆՈՂ ՀԱՆՁՆԱԺՈՂՈՎԻ ԿԱԶՄԱՎՈՐՄԱՆ ԿԱՐԳԸ, ԱՆԴԱՄՆԵՐԻ ԱՌԱՎԵԼԱԳՈՒՅՆ ԹԻՎԸ ԵՎ ԳՈՐԾՈՒՆԵՈՒԹՅԱՆ ԿԱՐԳԸ ՍԱՀՄԱՆԵԼՈՒ ՄԱՍԻՆ»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ՀՀ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ԿԱՌԱՎԱՐՈՒԹՅԱՆ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ՈՐՈՇՄԱՆ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ՆԱԽԱԳԾԻ</w:t>
      </w:r>
      <w:r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 ՊԵՏԱԿԱՆ ԵՎ ՀԱՄԱՅՆՔԱՅԻՆ ԲՅՈՒՋԵՆԵՐՈՒՄ ԾԱԽՍԵՐԻ ԱՎԵԼԱՑՄԱՆ ԿԱՄ ԵԿԱՄՈՒՏՆԵՐԻ ՆՎԱԶԵՑՄԱՆ ՄԱՍԻՆ</w:t>
      </w:r>
    </w:p>
    <w:p w:rsidR="00C617E3" w:rsidRDefault="00C617E3" w:rsidP="00C617E3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C617E3" w:rsidRPr="00C617E3" w:rsidRDefault="002C1C48" w:rsidP="00C617E3">
      <w:pPr>
        <w:spacing w:line="360" w:lineRule="auto"/>
        <w:ind w:firstLine="720"/>
        <w:jc w:val="both"/>
        <w:rPr>
          <w:rFonts w:eastAsia="Times New Roman"/>
          <w:lang w:val="hy-AM" w:eastAsia="ru-RU"/>
        </w:rPr>
      </w:pPr>
      <w:r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617E3" w:rsidRPr="00C617E3">
        <w:rPr>
          <w:rFonts w:ascii="GHEA Grapalat" w:eastAsia="Times New Roman" w:hAnsi="GHEA Grapalat"/>
          <w:sz w:val="24"/>
          <w:szCs w:val="24"/>
          <w:lang w:val="hy-AM"/>
        </w:rPr>
        <w:t>«Հայաստանի Հանրապետության կառավարության 2006 թվականի  նոյեմբերի 23-ի թիվ 1717-Ն որոշման մեջ փոփոխություններ և լրացում կատարելու մասին» ՀՀ կառավարության որոշման նախագծի ընդունումը ՀՀ պետական բյուջեի եկամուտների և ծախսերի, ինչպես նաև համայնքային բյուջեների եկամուտների և  ծախuերի վրա կունենա  չեզոք ազդեցություն:</w:t>
      </w: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P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>ՀՀ ԱՌՈՂՋԱՊԱՀՈՒԹՅԱՆ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ՆԱԽԱՐԱՐ                                                                            ԼԵՎՈՆ ԱԼԹՈՒՆՅԱՆ     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B77F0C" w:rsidRDefault="00B77F0C" w:rsidP="00505C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77F0C" w:rsidSect="001075A7">
      <w:pgSz w:w="12240" w:h="15840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88D"/>
    <w:multiLevelType w:val="multilevel"/>
    <w:tmpl w:val="76B44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8A27826"/>
    <w:multiLevelType w:val="multilevel"/>
    <w:tmpl w:val="5586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134F19"/>
    <w:multiLevelType w:val="multilevel"/>
    <w:tmpl w:val="90B4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8A0"/>
    <w:rsid w:val="0009608E"/>
    <w:rsid w:val="001075A7"/>
    <w:rsid w:val="001115BF"/>
    <w:rsid w:val="00156AFA"/>
    <w:rsid w:val="00183222"/>
    <w:rsid w:val="00217B99"/>
    <w:rsid w:val="00240F08"/>
    <w:rsid w:val="00242C43"/>
    <w:rsid w:val="002804CA"/>
    <w:rsid w:val="002B1614"/>
    <w:rsid w:val="002C1C48"/>
    <w:rsid w:val="002D2DF3"/>
    <w:rsid w:val="002F11DC"/>
    <w:rsid w:val="0035715D"/>
    <w:rsid w:val="00364F90"/>
    <w:rsid w:val="0036546D"/>
    <w:rsid w:val="00391E62"/>
    <w:rsid w:val="00470520"/>
    <w:rsid w:val="004F3BDC"/>
    <w:rsid w:val="00505CA2"/>
    <w:rsid w:val="00514839"/>
    <w:rsid w:val="005C4EDD"/>
    <w:rsid w:val="00637369"/>
    <w:rsid w:val="006B37EF"/>
    <w:rsid w:val="006C5D44"/>
    <w:rsid w:val="00785582"/>
    <w:rsid w:val="007E03DC"/>
    <w:rsid w:val="008215B5"/>
    <w:rsid w:val="00840F63"/>
    <w:rsid w:val="008F5DB8"/>
    <w:rsid w:val="00A81A69"/>
    <w:rsid w:val="00B77F0C"/>
    <w:rsid w:val="00B818A0"/>
    <w:rsid w:val="00BC2637"/>
    <w:rsid w:val="00BF2473"/>
    <w:rsid w:val="00C617E3"/>
    <w:rsid w:val="00C85019"/>
    <w:rsid w:val="00CB0A44"/>
    <w:rsid w:val="00CD6FBC"/>
    <w:rsid w:val="00D774C0"/>
    <w:rsid w:val="00DC7CC9"/>
    <w:rsid w:val="00E63720"/>
    <w:rsid w:val="00E91532"/>
    <w:rsid w:val="00EB609D"/>
    <w:rsid w:val="00F3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A0"/>
    <w:pPr>
      <w:ind w:left="720"/>
      <w:contextualSpacing/>
    </w:pPr>
  </w:style>
  <w:style w:type="character" w:styleId="Strong">
    <w:name w:val="Strong"/>
    <w:uiPriority w:val="22"/>
    <w:qFormat/>
    <w:rsid w:val="00B77F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BD48-2EA4-4DEB-BC14-A9D433D5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global7</dc:creator>
  <cp:lastModifiedBy>User Pharm3</cp:lastModifiedBy>
  <cp:revision>13</cp:revision>
  <cp:lastPrinted>2017-12-08T06:18:00Z</cp:lastPrinted>
  <dcterms:created xsi:type="dcterms:W3CDTF">2017-12-08T07:49:00Z</dcterms:created>
  <dcterms:modified xsi:type="dcterms:W3CDTF">2018-04-04T07:18:00Z</dcterms:modified>
</cp:coreProperties>
</file>