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7" w:rsidRPr="003D4F77" w:rsidRDefault="003D4F77" w:rsidP="003D4F77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3D4F77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3D4F77" w:rsidRPr="003D4F77" w:rsidRDefault="003D4F77" w:rsidP="003D4F7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3D4F77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Պ-154-16.10.2017-ՖՎ-011/0</w:t>
      </w:r>
    </w:p>
    <w:p w:rsidR="003D4F77" w:rsidRDefault="003D4F77" w:rsidP="001B2AC0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3D4F77">
        <w:rPr>
          <w:rFonts w:ascii="Courier New" w:eastAsia="Times New Roman" w:hAnsi="Courier New" w:cs="Courier New"/>
          <w:b/>
          <w:bCs/>
          <w:color w:val="000000"/>
          <w:sz w:val="24"/>
          <w:lang w:val="en-US"/>
        </w:rPr>
        <w:t> 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</w:rPr>
        <w:t>ՄԱՍԻՆ</w:t>
      </w:r>
    </w:p>
    <w:p w:rsidR="001B2AC0" w:rsidRPr="003D4F77" w:rsidRDefault="001B2AC0" w:rsidP="001B2AC0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1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ԸՆԴՀԱՆՈՒՐ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ԴՐՈՒՅԹՆԵՐ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Օրենքում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օգտագործվող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հիմնական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հասկացությունները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օգտագործվող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հիմնական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հասկացությունները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իմաստով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ունեն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հետեւյալ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նշանակությունը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այսուհետ՝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քաղաքացիաիրավական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հարաբերությունների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շրջանականերում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կնքված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գործարքներով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չափանիշների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պահանջների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պահպանման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գնահատում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Գնահա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տումն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քաղաքացիաիրավական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հարաբերությունների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շրջանականերում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կնքված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գործարքներով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ժամանակաշրջանի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փուլի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ավարտից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ֆինանսատնտեսական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ֆինանսատնտեսական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ոլորտում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փոխառությունների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գոր՟ծունեության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այսուհետ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միավորն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6) h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փաստաթուղթ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ժամկետը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ընդգրկող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ժամանակաշրջանը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անձինք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թվում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`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հաշվեքննողները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փորձագետները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մասնագետները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`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8) h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ընթացակարգեր՝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զննում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դիտարկում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վերահաշվարկ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վերակատարում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9)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քաղաքացիաիրավական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հարաբերությունների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շրջանականերում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կնքված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գործարքներով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չափանիշների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պահպանման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Գնահատումն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lastRenderedPageBreak/>
        <w:t>առարկայի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քաղաքացիաիրավական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հարաբերությունների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շրջանականերում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կնքված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գործարքներով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ժամանակաշրջանի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փուլի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ավարտից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Ստուգումն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մոտ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տեսակներով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զննման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դիտարկման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հարցման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հաստատման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վերահաշվարկի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վերակատարման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ընթացակարգերով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10)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ֆինանսատնտեսական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փաստաթուղթ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ժամկետը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ստուգումն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ընդգրկող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ժամանակաշրջանը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տեսակը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ընթացակարգը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ստուգումն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անձինք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թվում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հաշվեքննողները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որձագետները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մասնագետները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ներգրավվող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բնագավառի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հատուկ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գիտելիք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ֆիզիկական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փորձագետ՝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ներգրավվող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հատուկ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գիտելիքներ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ֆիզիկական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կարգավիճակը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անկախ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մարմինն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նստավայրը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Երեւան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նպատակը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ոլորտում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փոխառությունների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անկողմնակալ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ներկայացնելն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գործառույթները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նպատակի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ապահովման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հետեւյալ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գործառույթները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`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ոլորտում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փոխառությունների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նկատմամբ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5.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լիազորությունները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ֆինանսավորվող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չֆինանսավորվող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մոտ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վերապահված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գործառույթներ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ֆինանսավորվում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մոտ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եթե՝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առեւտրային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հիմնադրվել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առեւտրային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կանոնադրական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կապիտալի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հիսունից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տոկոսը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ակտով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պայմանագրով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վերապահվել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մարմնի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գործառույթների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պայմանագրի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պահանջների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ստուգելու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դրանցով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հնարավորություն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երաշխիքով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կապված՝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հնարավորություն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դրամաշնորհներ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սուբսիդիաներ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կապված՝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հնարավորություն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համապատասխանաբար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ստուգում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այսուհետ՝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րականացնել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աշխատավայրում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 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աշխատավայրում՝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 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հասանելի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դառնում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գալիս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արարքը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պարունակում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առերեւույթ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հանցագործության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հատկանիշներ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ապա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նյութերը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անհապաղ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բայց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ուշ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եռօրյա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ուղարկվում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գլխավոր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դատախազություն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դադարեցնել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գլխավոր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դատախազությունը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տրամադրված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նյութերի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կայացված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որոշումների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գրավոր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ուսումնասիրել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արդյունավետությունը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6.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Միջազգային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համագործակցությունը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մեթոդաբանության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փորձի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փոխանակման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համագործակցում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բարձրագույն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2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ՍԿԶԲՈՒՆՔՆԵՐԸ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7.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գործառութային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անկախության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անկախ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ենթակա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կազմակերպություններից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8.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անկախության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բաղ՟կա՟ցուցիչ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ֆինանսավորումը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վերապահված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գործառույթների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9.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բարձրագույն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միջազգային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կազմակերպության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ստանդարտները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մշակել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ուղեցույցնե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մեթոդաբանություն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առաջնորդվելով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բարձրագույն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կազմակերպության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(INTOSAI)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ստանդարտներով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10.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ապահովման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շարունակական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չափորոշիչներ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շարունակական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11.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Կոլեգիալության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կոլեգիալ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12.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Օբյեկտիվության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ողջ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հետազոտման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եզրահանգման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13.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Քաղաքական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չեզոքության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որեւէ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կուսակցության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իրադարձություններին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նպատակներին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որակում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տալիս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ցահայտված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տալիս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հետեւանքների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կանխատեսումներ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հրապարակային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ելույթներում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ցուցաբերում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զսպվածություն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14.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հրապարակայնության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թափանցիկության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9-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1-7, 9-14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16-17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որոշումները՝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աուդիտորական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կազմակերպության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ենթակա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հրապարակման՝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գաղտնիք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հրապարակվում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www.azdarar.am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հրապարակային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ծանուցումների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ինտերնետային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կայքերում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3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ԿԱԶՄԸ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ՆԻՍՏԵՐԸ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ԵՎ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ԼԻԱԶՈՐՈՒԹՅՈՒՆՆԵՐԸ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ԵՐԱՇԽԻՔՆԵՐԸ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ԱՇԽԱՏԱԿԱԶՄԸ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15.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կազմը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6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16.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նիստերը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հերթական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արտահերթ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այսուհետ՝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Հերթական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հրավիրվում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ամիսը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անգամ՝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նախագահի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Արտահերթ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նիստ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հրավիրվում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նախաձեռնությամբ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օրակարգը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անցկացումից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ուղարկվում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հրավիրված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իրավազոր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չորս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քվեարկությամբ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չորս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ձայնի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առկայության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6.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յուրաքանչյուր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քվեարկում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ձայն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քվեարկում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նախագահողը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հատուկ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կարծիքի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առկայության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կարծիքը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կցվում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որոշմանը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8.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կարգով։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նախագահողը։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Յուրաքանչյուր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ավարտից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տեղադրում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քննարկված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9.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նիստում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քննարկում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հաստատում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այսուհետ՝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ռիսկերի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մեթոդաբանությունը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3)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ծրագրում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փոփոխությունը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լրացումը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նախահաշիվը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վերջինիս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20-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4-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մասերով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նշված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ֆոնդերից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որոշումները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8)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9)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փոփոխությունները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լրացումները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10)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կանոնակարգը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11)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կանոնադրությունը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մեթոդաբանությունը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ուղեցույցները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պրակտիկայով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պայմանավորված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ուղենիշային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չափանիշները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հարաբերությունների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կիրառվող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էթիկայի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գործառույթի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մեթոդաբանությունը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անձնագրերը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14)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աշխատանքներում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մասնագետների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փորձագետների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ներգրավման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պարբերական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վերաբաշխումը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17)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պարբերական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վերաբաշխումը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18)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անգործության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բերված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բողոքները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բավարար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առկայության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ձեռնարկում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պատասխանատվություն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կիրառելու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19)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տալիս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լիազորագրեր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20)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նկատմամբ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կիրառում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կարգապահական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տույժեր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խրախուսանքներ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10.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վերադաս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ունենալու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վերադասին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առաջարկել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պատասխանատվության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ենթարկել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վերջիններս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բխող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Յուրաքանչյուր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գործառույթ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հաջորդ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շարունակական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օգատգործմամբ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կառույցներում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վերապատրաստման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17.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անդամը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ընտրվել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պատգամավորին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բարձրագույն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կրթություն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որակավորում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աուդիտորական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լիցենզիա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գլխավոր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խմբի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5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lastRenderedPageBreak/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ոլորտի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10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հինգ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լրանալուց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վաղաժամկետ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թափուր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առաջանալու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ժամկետի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ավարտին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մնացել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6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մսից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ժամանակահատված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ընտրվում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նախկին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չլրացած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ժամկետով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վաղաժամկե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թափուր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առաջանալու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համալրվում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ավարտին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մնացել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ամսից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պակաս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ժամանակահատված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մյուս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ընտրվում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Սահմանադրությամբ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սահմանադրական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ընտրվել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`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դատարանի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վճռով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ճանաչված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անգործունակ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սահմանափակ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ենթարկվել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քրեական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պատասխանատվության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դատվածությունը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չէ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զրկված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զբաղեցնելու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իրավունքից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զբաղեցնել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իրենց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կարգավիճակով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չպայմանավորված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որեւէ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առեւտրային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կազմակերպությունում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ձեռնարկատիրական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կատարել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վճարովի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գիտական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կրթական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ստեղծագործական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դադարեցնում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պատգամավորների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ընդհանուր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ձայների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հինգերորդով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անհամատեղելիության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խախտման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որեւէ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կուսակցության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զբաղվելու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հրապարակային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ելույթներում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զսպվածություն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չցուցաբերելու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դադարում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լրանալու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հանցագործության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դատապարտվելու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անգործունակ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սահմանափակ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անհայտ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մահացած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ճանաչվելու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դատարանի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դատավճռի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վճռի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եկել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նշանակմանը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խոչընդոտող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ֆիզիկական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արատ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հիվանդություն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ցանկը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դատավորի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նշանակմանը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խոչընդոտող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ֆիզիկական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արատների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հիվանդությունների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ցանկին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հրաժարականի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դադարելու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օտարերկրյա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ձեռք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բերելու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մահվան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8.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հրաժարականի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դիմումը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տեղադրվում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ինտերնետային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7-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դադարման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պարագայում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18.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լիազորությունները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1.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նախագահը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քանիսի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ենթակա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առջեւ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պատասխանատվություն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ձեւավորում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խմբեր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հաստատմանն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առաջադրանքների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նախագծերը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հանձնարարություններ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շրջանակում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19.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նախագահը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բնականոն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շրջանակներում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ընդունում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ազատում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ծառայողներին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հրամաններ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Հանրապետությունում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օտարերկրյա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պետություններում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>5) h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թափուր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անհնարինության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պարտականությունների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փոխարինելու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պարտականությունը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փոխարինողի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փոխարինում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20.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երաշխիքները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առաջիկա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տար՟վա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սկսելու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վարչապետի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որոշ՟՟մամբ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կանոնակարգին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հա՟մա՟պա՟տաս՟՟՟խան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յուրաքանչյուր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առաջիկա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ֆի՟նան՟սավորման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նախահաշվի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նախագիծը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առա՟ջի՟կա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անփոփոխ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փոփոխված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փոփոխությունների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հիմնավորումը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գծով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նախահաշիվները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խրախուսման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ֆոնդ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գերազանցել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զբաղեցնող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վարձատրության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ՀՀ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բնականոն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ապահովման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չնախատեսված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ֆինանսավորման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նպատակով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նախատեսվում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պահուստային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ֆոնդ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առանձին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Պահուստային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ֆոնդի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մեծությունը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հավասար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աշխատակիցների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խրախուսման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ֆոնդի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գծով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ընդհանուր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գումարի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տոկոսին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որակավորում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ֆոնդերի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դրամական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պարգեւներ՝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21.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աշխատակազմը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ստեղծված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կառավարչական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կառավարչական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օրենքներով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հիմնադրի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անունից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գործառույթ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հաստիքները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համալրվում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վերջիններիս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22.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ծառայողներին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ներկայացվող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պահանջները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անձնագրերում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ներառվեն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պահանջները՝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որակավորում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հավասարեցված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գլխավոր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տեղակալ՝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որակավորում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հավասարեցված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գլխավոր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նվազագույնը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4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գործառույթ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անգամ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վերապատրաստում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շարունակական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23.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որակի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համակարգը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աուդիտը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օրինականության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տնտեսման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նպատակային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ծախսային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սկզբունքներին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համաձայն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հսկողության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կառավարչական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կապված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ռիսկերի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բարձրացնելու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ստեղծվում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ենթակա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ամենամյա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մրցութային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հիմունքներով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ընտրված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հաշվետվությունների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նացնող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աուդիտորական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կազմակերպության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մրցույթը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կազմակերպում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Ազգայի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ժողովի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աշխատակազմը՝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Գնումների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lastRenderedPageBreak/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24.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կանոնակարգը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կան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ոնադրությունը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ձեւանմուշերը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մասնավորապես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պարբերական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վերաբաշխման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սկզբունքը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`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առավելագույնը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երկու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համակարգել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ստորաբաժանման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ենթակետով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ընթացքում՝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առավելագույնը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երկու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համակարգել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միեւնույն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մարմնին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վերապահված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ոլորտում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որեւէ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աշխատանքնե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ենթակետով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առավելագույնը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երկու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միեւնույն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արմնին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վերապահված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ոլորտում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`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ենթակետով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հաջորդ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շարունակվելու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սկսած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պարտականությունների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բաշխումը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կազմակերպման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հաստատվում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կանոն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ադրությամբ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4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ԳՈՐԾՈՒՆԵՈՒԹՅԱՆ</w:t>
      </w:r>
      <w:r w:rsidRPr="003D4F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ԵՎ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ՏՐԱՄԱԴՐՄԱՆ</w:t>
      </w:r>
      <w:r w:rsidRPr="003D4F7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</w:rPr>
        <w:t>ԿԱՐԳԸ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25.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ծրագիրը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Յուրաքանչյուր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ավարտման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բաղկացած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մասերից՝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ամիսների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ըստ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ռիսկերի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մեթոդաբանությամբ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շարունակական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զարգացման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համակարգին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անձնակազմի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կառավարմանն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վերապատրաստմանն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համագործակցությանն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վերապահված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հիմնավորված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փոփոխություն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լրացում՝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հիմք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հանդիսացող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ռիսկերի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հիմնված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մեթոդաբանությամբ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հրապարակվում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չավարտվելու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տեղափոխվում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հաջորդ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26.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եզրակացությունը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ավարտից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նախագիծը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անդամին՝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ստորագրման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նախագիծը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ստորագրվելուց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հաստատմանը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նախգծի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միասին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վերջինիս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բացատրությունները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նախագիծը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մեկամսյա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ամիսների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համապատասխանաբար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ժամանակահատվածների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ավարտման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օրվանից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4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ամսվա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երկրորդ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ըստ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անհրաժեշտության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ներառում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չհայտնաբերելու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առաջարկություններ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շահագրգիռ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վերաբրեյալ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բացատրությունները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հաստատվելուց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ուղարկում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30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ամրագրված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խեղաթյուրման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առաջարկու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6-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ստանալուց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կցում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8.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տրամադրման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պահանջի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խախտման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պալատը՝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ժամետի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ավարտից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ուղարկում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27.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եզրակացությունը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օգտագործելով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ինը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ամիսների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նկատմամբ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բաղկացած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մասերից՝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հայտնաբերված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առաջարկությունների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կարծիք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ըստ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անհրաժեշտության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եզրահանգում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բավարար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իրականացնելու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խեղաթյուրումներ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հայտնաբերվել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լիարժեք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եզրահանգում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հայտնաբերվել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համատարած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էականորեն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հայտնաբերվել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համատարած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անհնար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բավարար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եզրահանգում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հայտնաբերվել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համատարած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էականորեն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հրաժարում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եզրահանգում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հայտնաբերվել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հետեւանքները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համատարած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անհնար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բավարար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հաշվետ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ամսվա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lastRenderedPageBreak/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28.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հաղորդումը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բաղկացած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մասից՝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կապված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ամփոփ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ամփոփ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ամփոփ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7-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8-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ներկայացվել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Ժողով՝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ուղարկվելուց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մեկ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ամիս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առաջ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յուրաքանչյուր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տարի՝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նախորդ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29.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Հաշվեքննությունների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վերլուծությունների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հրապարակայնացումը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քննարկում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պատճառներն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առաջարկություններ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փոփոխման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լրացման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առաջարկություններ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նկարագրված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չափորոշիչների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բարելավման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պարզում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հաճախ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հանդիպող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տեղադրում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ինտերնետային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քննարկումներ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հետագայում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կանխարգելման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բացառման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պարզում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արդունավետ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դրսեւորումները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տեղադրում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ինտերնետային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քննարկումներ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հաղորդակցման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քարոզչության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30.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տրամադրման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կարգը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հաստատվելուց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lastRenderedPageBreak/>
        <w:t>ընթացքում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միաժամանակ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տեղադրում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ինտերնետային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ընդունելը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ներգրավված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մասնագետներին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փորձագետներին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արգելվում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որեւէ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ձեւով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գնահատականների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հրապարակումը։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5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ՆՊԱՏԱԿԸ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ՏԵՍԱԿՆԵՐԸ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ՍԿԶԲՈՒՆՔՆԵՐԸ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ԸՆԹԱՑԱԿԱՐԳԵՐԸ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ԿԱՐԳԸ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ԱՐՁԱՆԱԳՐՈՒԹՅՈՒՆՆԵՐԸ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31.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նպատակը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պարզել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տնտեսման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ծախսային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արդյունավետության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սկզբունքների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պահպանումը։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ուսումնասիրում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վերջինիս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32.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անհրաժեշտ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մատչելիությունը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առցանց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հասանելի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օբյեկտներին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պատկանող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միջոցներին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ստացված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փոխառություններին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վարկերին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օգտագործմանն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էլեկտրոնային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շտեմարանները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գաղտնիք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օբյեկտներին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պատկանող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միջոցներին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ստացված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փոխառություններին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վարկերին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առցան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անհնարինության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էլեկտրոնային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թղթային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տարբերակով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չէ՝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30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երկարաձգվել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15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օրով՝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հանգամանքներ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պարզելու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նպատակով։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33.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տեսակները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սկզբունքները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ընթացակարգերը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տեսակներն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`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փոխառությունների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ձեւավորված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արժանահավատությունը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u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փոխառությունների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lastRenderedPageBreak/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u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խանությունն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քաղաքացիաիրավական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հարաբերությունների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շրջանականերում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կնքված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գործարքներով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չափանիշներին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եսակ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փոխառությունների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վարկերի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տնտեսող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լինելը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2.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սկզբո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ւնքները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տնտեսում՝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սկզբունք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ինչքանով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հասցվել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ձեռքբերվող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ռեսուրսներին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ուղղված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քանակի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ծավալի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պահպանմամբ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համարժեք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հատուցմամբ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սկզբունք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պլանավորված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ծախսային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արդյունավետություն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օգտավետություն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սկզբունք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ռեսուրսների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քանակով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առավելագույն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զննում՝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նախատեսում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առարկայի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Էլեկտրոնային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թղթային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եղանակով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գրանցումների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ակտիվների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մատուցված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մատակարարված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ապրանքի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փաստացի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վիճակի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ուսումնասիրություն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դիտարկում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ականատես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լինել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պատասխանատու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գործընթացի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ընթացակարգի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պատասխանատու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գրավոր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բանավոր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պահանջ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39-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թղթային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էլեկտրոն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եղանակով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հարցման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պատասխան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վերլուծական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ֆինանսական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ցուցանիշները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գնահատվում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իրենց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փոխկապակցված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տվյալների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համեմատմա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համադրման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միջոցով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վերահաշվարկ՝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ելակետային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տվյալների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հաշվարկի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ճշտության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պարզում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վերակատարում՝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վերարտադրում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հսկողության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ընտրության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բացառությամբ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որոշակ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34.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կարգը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հիմնարկներում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եզրակացություն։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մոտ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նախագիծը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նախագիծը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հաստատմանը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սկսելուց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ամիս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ավելացված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ավելացման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կայացնելուց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բայց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ուշ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սկսելուց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յոթ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պատշաճ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ձեւով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անցկացման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տեսակների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ժամանակաշրջանի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խմբի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զննման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դիտարկման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ընթացակարգի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քսանչորս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երկարաձգվել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տասներկու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38-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պարտականությունների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անհնարինության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առանձին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ճշտման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անհրաժեշտություն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առաջանալու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հետաքննության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դատարանի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առգրավված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աղետի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պատճառով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իրականացումն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անհնարին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դարձնող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անկանխատեսելի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հանգամանքի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կասեցվում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Կասեցման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վերացումից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որոշմամբ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վերսկսվել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մնացած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ժամկետով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35.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արձանագրությունը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ստորագրությամբ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պատասխանատվություն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արժանահավատության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ամբողջականության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ըստ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անհրաժշտության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գրառում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չհայտնաբերելու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գրառումներ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անհրաժեշտ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Ծանոթացման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արձանագրությունը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ստանալուն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հաջորդող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տաս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ամաձայնության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ստորագրում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բացատրություններ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որոնք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արձանագրությունը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բացատրությունները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ներկայացնու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համակարգող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անդամին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կազմվող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36.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Հաշվեքննողի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լիազորությունները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էլեկտրոնային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շտեմարանների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հասանելիություն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անհրաժեշտ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տեղեկանքներ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հաշվապահական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հաշվետվություններ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դուրս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պարզաբանումներ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գաղտնիք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ծանոթանալ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տվյալ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գաղտնիքի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ծագած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ղեկավարից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ստանալ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գրավոր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բանավոր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բացատրություններ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մուտք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տարածքներ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անհրաժեշտւթյան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ներգրավել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մասնագետներին՝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համաձայնությամբ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բացատրություններ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բացառությամբ՝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հանձնարարություններ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ստանալ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շրջանակներում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կնքված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ինչպես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դրանցից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բխող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lastRenderedPageBreak/>
        <w:t>այն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պայմանագրի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գործարքի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մյուս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սկսելուց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առնվազն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ներկայացնել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անաչառ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համակողմանի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հավաքագրել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գործընթացի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փաստաթղթավորում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չխոչընդոտել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բնականոն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ծանոթացնել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իրենց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իրավունքներին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պարտականություններին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նրան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փոխարինող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ծանոթացնել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արդյունքներին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հանցագործության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ակնհայտ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հատկանիշների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կասկածի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պարագայում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անհապաղ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պալատ։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37.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Մասնագետը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փորձագետը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պայմանագրային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հիմունքներով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գործընթաց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ներգրավել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բնագավառի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հատուկ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գիտելիքներ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հատուկ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գիտելիքներ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ունեցող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փորձագետ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Մասնագետը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փորձագետը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իրավունքները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պարտականությունները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38.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իրավունքները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պարտականությունները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b/>
          <w:bCs/>
          <w:i/>
          <w:iCs/>
          <w:color w:val="000000"/>
          <w:sz w:val="20"/>
          <w:szCs w:val="20"/>
        </w:rPr>
        <w:t>պատասխանատվությունը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առաջադրանքում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պատասխանատու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իրավաբանական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մոտ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կետում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պատասխանատու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է՝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ծանոթանալու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բողոքարկելու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գործողությունները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իրավասու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բացատրություններ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անձինք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պարտավոր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`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1)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անհրաժեշտ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ստեղծել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տրամադրել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առարկայի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առկա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հասանելի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ամբողջական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ճշգրիտ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փաստաթղթեր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գրանցումներ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անհապաղ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տեղեկացնել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գրանցումների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ցանկացած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փոփոխության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լրացումների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չխոչընդոտել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արտավոր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մեկամսյա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արձանագրված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անհամապատասխանությունների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խեղաթյուրումների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առաջարկությունների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եզրակացությանը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գրավոր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պարտադիր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ղեկավար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պաշտոնատար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ԳԼՈԻԽ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6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ՓՈԽԳՈՐԾԱԿՑՈՒԹՅՈՒՆԸ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39.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համագործակցությունը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մարմինների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հետ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արդյունքները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: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նպատակով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ուսումնասիրում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համակարգի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արդյունավետություն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առաջարկություններ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բարելավման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իրենց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կա՟ռուց՟վածքում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զար՟գաց՟ման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խնդիրների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լուծման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համագործակցել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պա՟լատի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ինքնակառավարման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մարմինները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տրամադրում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իրենց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օբյեկտի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ժամանակաշրջանի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վերահսկողության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հսկողության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ստուգումների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պահանջված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եթե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40.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ակտերը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ներկայացնելը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7-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8-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27-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կատարողականի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քննարկման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28-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քննարկվում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ժողովում՝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7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ԾԱՌԱՅՈՒԹՅՈՒՆԸ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ԱՇԽԱՏԱԿԱԶՄՈՒՄ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41.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ծառայությունը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ծառայությունը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ազմում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ծառայողի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ակտերով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իրավասության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սահմաններում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գործառույթներն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իրականացնելու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նպատակով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աշխատակազմում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կազմակերպվող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գործունեություն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ծառայությանը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չկարգավորված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հարաբերությունները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42.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անդամների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վարձատրությունը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1.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վարձատրության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հիմնական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աշխատավարձերի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հաշվարկների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չափերի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աշխատավարձի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բնականոն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աճի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կապված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հարաբերությունները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զբաղեցնող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վարձատրության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ԳԼՈՒԽ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8</w:t>
      </w:r>
      <w:r w:rsidRPr="003D4F77">
        <w:rPr>
          <w:rFonts w:ascii="Courier New" w:eastAsia="Times New Roman" w:hAnsi="Courier New" w:cs="Courier New"/>
          <w:color w:val="000000"/>
          <w:sz w:val="20"/>
          <w:lang w:val="en-US"/>
        </w:rPr>
        <w:t> 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br/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ԵԶՐԱՓԱԿԻՉ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ԵՎ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ԱՆՑՈՒՄԱՅԻՆ</w:t>
      </w:r>
      <w:r w:rsidRPr="003D4F7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ԴՐՈՒՅԹՆԵՐ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43.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մտնելը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Սահմանադրության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2015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դեկտեմբերի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փոփոխությունների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210-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5-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ժամկետում՝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նորընտիր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նախագահի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ստանձնման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պահից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կորցրած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ճանաչել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2006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դեկտեմբերի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ՀՕ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-4-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3.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կանոնակարգը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կանոնադրությունը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հաստիքացուցակը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անձնագրերը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ենթակա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կողմից՝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քսան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ընթացքում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4.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17-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անդամին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գլխավոր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պաշտոններ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զբաղեցնող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անձանց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որակավորման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դրույթն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մտնում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2024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թվականի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հունվարի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ից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աշխատանք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ժամանակահատվածը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ժամանակահատվածը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վերաբերվող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որակավորման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դրույթն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2024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հունվարի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ստաժի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ժամանակահատվածը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աշխատելու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ժամանակահատվածը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25-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ամիսների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բառերը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 26-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4-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27-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օգտագործելով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տարվա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բյուջեի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երեք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ամիսների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կատարման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նկատմամբ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ֆինանսական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եւ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համապատասխանության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վեքննությունների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ընթացիկ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եզրակացությունները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բառերը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2020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հունվարի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8.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16-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9-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մասի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17-20-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կետերով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վերապահված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2023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դեկտեմբերի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31-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44.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խորհրդի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անդամների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պաշտոնավարման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ժամկետը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1.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խորհրդի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շարունակում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պաշտոնավարել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մինչեւ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իրենց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լիազորությունների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ժամկետի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ավարտը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որպես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անդամներ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45.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ծառայողներին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ծառայողներ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համարելը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գործընթացին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առնչվող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գործառույթ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իրականացնող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մասնագիտական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ստորաբաժանումների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ծառայողները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համարվում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կառուցվածքային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ստորաբաժանումներում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աշխատող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ծառայողները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`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աշխատակազմի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քաղաքացիական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ծառայողներ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46.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իրավահաջորդությունը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հանդիսանում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իրավահաջորդը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օրենքն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մտնելուց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հետո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իրագործում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ժողովի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արդեն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ծրագիրը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իսկ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Հայաստանի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Հանրապետության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հաղորդումը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սույն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օրենքով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կարգով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Ազգային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ժողով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ներկայացնում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GHEA Grapalat"/>
          <w:color w:val="000000"/>
          <w:sz w:val="20"/>
          <w:szCs w:val="20"/>
        </w:rPr>
        <w:t>պալատը</w:t>
      </w:r>
      <w:r w:rsidRPr="003D4F7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:</w:t>
      </w:r>
    </w:p>
    <w:p w:rsidR="001B2AC0" w:rsidRPr="003D4F77" w:rsidRDefault="001B2AC0" w:rsidP="001B2A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3.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առաջին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հաղորդումն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պարունակում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Վերահսկիչ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վերջին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նախատեսված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ծրագրային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հարցերով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վերահսկողության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արդյունքների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1B2AC0">
        <w:rPr>
          <w:rFonts w:ascii="GHEA Grapalat" w:eastAsia="Times New Roman" w:hAnsi="GHEA Grapalat" w:cs="Times New Roman"/>
          <w:color w:val="000000"/>
          <w:sz w:val="20"/>
          <w:szCs w:val="20"/>
        </w:rPr>
        <w:t>տեղեկատվություն</w:t>
      </w:r>
      <w:r w:rsidRPr="003D4F77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  <w:lang w:val="en-US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  <w:lang w:val="en-US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>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>-16.10.2017-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ՖՎ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>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  <w:lang w:val="en-US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br/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>«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ԱՈՒԴԻՏՈՐԱԿԱՆ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ԳՈՐԾՈՒՆԵՈՒԹՅԱՆ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ՄԱՍԻՆ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»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ՀԱՅԱՍՏԱՆԻ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ՀԱՆՐԱՊԵՏՈՒԹՅԱՆ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ՕՐԵՆՔՈՒՄ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ԼՐԱՑՈՒՄ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ԿԱՏԱՐԵԼՈՒ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1.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  <w:lang w:val="en-US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Աուդիտորական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2002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դեկտեմբերի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26-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ՀՕ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-512-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այսուհետ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 2-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հոդվածը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լրացնել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2-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րդ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պարբերությամբ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հետեւյալ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խմբագրությամբ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`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հանրային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հատվածում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արտաքին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աուդիտը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կոչվում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հաշվեքննություն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եւ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կարգավորվում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Հաշվեքննիչ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պալատի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»: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</w:t>
      </w: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2.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lang w:val="en-US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ուժի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մեջ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մտնում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Սահմանադրության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2015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դեկտեմբերի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6-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210-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հոդվածի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5-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մասում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ժամկետու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մ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`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նորընտիր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պաշտոնի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ստանձնման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2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«ՀԱՅԱՍՏԱՆԻ ՀԱՆՐԱՊԵՏՈՒԹՅԱՆ ԲՅՈՒՋԵՏԱՅԻՆ ՀԱՄԱԿԱՐԳԻ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«Հայաստանի Հանրապետության բյուջետային համակարգի մասին» Հայաստանի Հանրապետության 1997 թվականի հունիսի 24-ի ՀՕ-137 օրենքի (այսուհետ` օրենք) 25-րդ հոդվածի 4-րդ մասը շարադրել հետեւյալ խմբագրությամբ`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«4. Պետական բյուջեի կատարման տարեկան հաշվետվության վերաբերյալ Հայաստանի Հանրապետության հաշվեքննիչ պալատի եզրակացությունը բաղկացած է հետեւյալ մասերից`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1) պետական բյուջեի կատարման վերաբերյալ կարծիք.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2) հայտնաբերված անհամապատասխանությունների, խեղաթյուրումների, ինչպես նաեւ առաջարկությունների վերաբերյալ տեղեկատվություն:»: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ժամկետում`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br/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3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«ԳԱՆՁԱՊԵՏԱԿԱՆ ՀԱՄԱԿԱՐԳԻ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«Գանձապետական համակարգի մասին» Հայաստանի Հանրապետության 2001 թվականի հուլիսի 27-ի ՀՕ-211 օրենքի (այսուհետ` օրենք) 9-րդ հոդվածի 3-րդ մասի ե) ենթակետում «Ազգային Ժողովի վերահսկիչ պալատ» բառերը փոխարինել «հաշվեքննիչ պալատ»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ժամկետում`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«ՀԱՅԱՍՏԱՆԻ ՀԱՆՐԱՊԵՏՈՒԹՅԱՆ ԿԵՆՏՐՈՆԱԿԱՆ ԲԱՆԿԻ ՄԱՍԻՆ» ՀԱՅԱՍՏԱՆԻ ՀԱՆՐԱՊԵՏՈՒԹՅԱՆ ՕՐԵՆՔՈՒՄ ՓՈՓՈԽՈՒԹՅՈՒՆՆԵՐ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«Հայաստանի Հանրապետության կենտրոնական բանկի մասին» Հայաստանի Հանրապետության 1996 թվականի հունիսի 30-ի ՀՕ-69 օրենքի (այսուհետ՝ Օրենք) 16-րդ հոդվածի 2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>րդ պարբերությունը ուժը կորցրած ճանաչել: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Օրենքի 17-րդ հոդվածի 1-ին մասի վերջին նախադասությունը ուժը կորցրած ճանաչել: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3.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ժամկետում՝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  <w:r w:rsidRPr="00D44FDE">
        <w:rPr>
          <w:rFonts w:ascii="Courier New" w:eastAsia="Times New Roman" w:hAnsi="Courier New" w:cs="Courier New"/>
          <w:color w:val="000000"/>
          <w:sz w:val="20"/>
        </w:rPr>
        <w:t> 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5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«ՀԱՅԱՍՏԱՆԻ ՀԱՆՐԱՊԵՏՈՒԹՅՈՒՆՈՒՄ ՍՏՈՒԳՈՒՄՆԵՐԻ ԿԱԶՄԱԿԵՐՊՄԱՆ ԵՎ ԱՆՑԿԱՑՄԱՆ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«Հայաստանի Հանրապետությունում ստուգումների կազմակերպման եւ անցկացման մասին» Հայաստանի Հանրապետության 2000 թվականի մայիսի 17-ի ՀՕ-60 օրենքի (այսուհետ` օրենք) 1-ին հոդվածի 6-րդ մասում «Հայաստանի Հանրապետության վերահսկիչ պալատի կողմից իրականացվող վերահսկողության» բառերը փոխարինել «Հայաստանի Հանրապետության հաշվեքննիչ պալատի կողմից իրականացվող հաշվեքննության»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դ մասում սահմանված ժամկետում` նորընտիր Հանրապետության նախագահի կողմից իր պաշտոնի ստանձնման օրը: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4FDE">
        <w:rPr>
          <w:rFonts w:ascii="Sylfaen" w:eastAsia="Times New Roman" w:hAnsi="Sylfaen" w:cs="Sylfaen"/>
          <w:i/>
          <w:iCs/>
          <w:sz w:val="20"/>
          <w:szCs w:val="20"/>
        </w:rPr>
        <w:lastRenderedPageBreak/>
        <w:t>ՆԱԽԱԳԻԾ</w:t>
      </w:r>
    </w:p>
    <w:p w:rsidR="00D44FDE" w:rsidRPr="00D44FDE" w:rsidRDefault="00D44FDE" w:rsidP="00D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FDE">
        <w:rPr>
          <w:rFonts w:ascii="Sylfaen" w:eastAsia="Times New Roman" w:hAnsi="Sylfaen" w:cs="Sylfaen"/>
          <w:i/>
          <w:iCs/>
          <w:sz w:val="20"/>
          <w:szCs w:val="20"/>
        </w:rPr>
        <w:t>Պ</w:t>
      </w:r>
      <w:r w:rsidRPr="00D44FDE">
        <w:rPr>
          <w:rFonts w:ascii="Times New Roman" w:eastAsia="Times New Roman" w:hAnsi="Times New Roman" w:cs="Times New Roman"/>
          <w:i/>
          <w:iCs/>
          <w:sz w:val="20"/>
          <w:szCs w:val="20"/>
        </w:rPr>
        <w:t>-154</w:t>
      </w:r>
      <w:r w:rsidRPr="00D44FD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6</w:t>
      </w:r>
      <w:r w:rsidRPr="00D44FDE">
        <w:rPr>
          <w:rFonts w:ascii="Times New Roman" w:eastAsia="Times New Roman" w:hAnsi="Times New Roman" w:cs="Times New Roman"/>
          <w:i/>
          <w:iCs/>
          <w:sz w:val="20"/>
          <w:szCs w:val="20"/>
        </w:rPr>
        <w:t>-16.10.2017-</w:t>
      </w:r>
      <w:r w:rsidRPr="00D44FDE">
        <w:rPr>
          <w:rFonts w:ascii="Sylfaen" w:eastAsia="Times New Roman" w:hAnsi="Sylfaen" w:cs="Sylfaen"/>
          <w:i/>
          <w:iCs/>
          <w:sz w:val="20"/>
          <w:szCs w:val="20"/>
        </w:rPr>
        <w:t>ՖՎ</w:t>
      </w:r>
      <w:r w:rsidRPr="00D44FDE">
        <w:rPr>
          <w:rFonts w:ascii="Times New Roman" w:eastAsia="Times New Roman" w:hAnsi="Times New Roman" w:cs="Times New Roman"/>
          <w:i/>
          <w:iCs/>
          <w:sz w:val="20"/>
          <w:szCs w:val="20"/>
        </w:rPr>
        <w:t>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4FDE">
        <w:rPr>
          <w:rFonts w:ascii="Sylfaen" w:eastAsia="Times New Roman" w:hAnsi="Sylfaen" w:cs="Sylfaen"/>
          <w:b/>
          <w:bCs/>
          <w:sz w:val="24"/>
          <w:szCs w:val="24"/>
        </w:rPr>
        <w:t>ՀԱՅԱՍՏԱՆԻ</w:t>
      </w:r>
      <w:r w:rsidRPr="00D44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4"/>
          <w:szCs w:val="24"/>
        </w:rPr>
        <w:t>ՀԱՆՐԱՊԵՏՈՒԹՅԱՆ</w:t>
      </w:r>
      <w:r w:rsidRPr="00D44FDE">
        <w:rPr>
          <w:rFonts w:ascii="Times New Roman" w:eastAsia="Times New Roman" w:hAnsi="Times New Roman" w:cs="Times New Roman"/>
          <w:b/>
          <w:bCs/>
          <w:sz w:val="24"/>
        </w:rPr>
        <w:t> </w:t>
      </w:r>
      <w:r w:rsidRPr="00D44F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4FDE">
        <w:rPr>
          <w:rFonts w:ascii="Sylfaen" w:eastAsia="Times New Roman" w:hAnsi="Sylfaen" w:cs="Sylfaen"/>
          <w:b/>
          <w:bCs/>
          <w:sz w:val="24"/>
          <w:szCs w:val="24"/>
        </w:rPr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4FDE">
        <w:rPr>
          <w:rFonts w:ascii="Times New Roman" w:eastAsia="Times New Roman" w:hAnsi="Times New Roman" w:cs="Times New Roman"/>
          <w:b/>
          <w:bCs/>
          <w:sz w:val="20"/>
        </w:rPr>
        <w:t>«</w:t>
      </w:r>
      <w:r w:rsidRPr="00D44FDE">
        <w:rPr>
          <w:rFonts w:ascii="Sylfaen" w:eastAsia="Times New Roman" w:hAnsi="Sylfaen" w:cs="Sylfaen"/>
          <w:b/>
          <w:bCs/>
          <w:sz w:val="20"/>
        </w:rPr>
        <w:t>ՊԵՏԱԿԱՆ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ՊԱՇՏՈՆՆԵՐ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ԶԲԱՂԵՑՆՈՂ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ԱՆՁԱՆՑ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ՎԱՐՁԱՏՐՈՒԹՅԱՆ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ՄԱՍԻՆ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» </w:t>
      </w:r>
      <w:r w:rsidRPr="00D44FDE">
        <w:rPr>
          <w:rFonts w:ascii="Sylfaen" w:eastAsia="Times New Roman" w:hAnsi="Sylfaen" w:cs="Sylfaen"/>
          <w:b/>
          <w:bCs/>
          <w:sz w:val="20"/>
        </w:rPr>
        <w:t>ՀԱՅԱՍՏԱՆԻ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ՀԱՆՐԱՊԵՏՈՒԹՅԱՆ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ՕՐԵՆՔՈՒՄ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ՓՈՓՈԽՈՒԹՅՈՒՆՆԵՐ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ԿԱՏԱՐԵԼՈՒ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D44FDE">
        <w:rPr>
          <w:rFonts w:ascii="Sylfaen" w:eastAsia="Times New Roman" w:hAnsi="Sylfaen" w:cs="Sylfaen"/>
          <w:b/>
          <w:bCs/>
          <w:sz w:val="20"/>
        </w:rPr>
        <w:t>ՄԱՍԻՆԵ</w:t>
      </w:r>
      <w:r w:rsidRPr="00D44FDE">
        <w:rPr>
          <w:rFonts w:ascii="Times New Roman" w:eastAsia="Times New Roman" w:hAnsi="Times New Roman" w:cs="Times New Roman"/>
          <w:b/>
          <w:bCs/>
          <w:sz w:val="20"/>
        </w:rPr>
        <w:t>,</w:t>
      </w:r>
    </w:p>
    <w:p w:rsidR="00D44FDE" w:rsidRPr="00D44FDE" w:rsidRDefault="00D44FDE" w:rsidP="00D44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«Պետական պաշտոններ զբաղեցնող անձանց վարձատրության մասին» Հայաստանի Հանրապետության 2013 թվականի դեկտեմբերի 12-ի ՀՕ-157-Ն օրենքի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հավելված 1-ում`</w:t>
      </w:r>
    </w:p>
    <w:p w:rsidR="00D44FDE" w:rsidRPr="00D44FDE" w:rsidRDefault="00D44FDE" w:rsidP="00D44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1) «Վերահսկիչ պալատի նախագահ» բառերը փոխարինել «Հաշվեքննիչ պալատի նախագահ» բառերով.</w:t>
      </w:r>
    </w:p>
    <w:p w:rsidR="00D44FDE" w:rsidRPr="00D44FDE" w:rsidRDefault="00D44FDE" w:rsidP="00D44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2) «Վերահսկիչ պալատի նախագահի տեղակալ» բառերը փոխարինել «Հաշվեքննիչ պալատի անդամ» բառերով.</w:t>
      </w:r>
    </w:p>
    <w:p w:rsidR="00D44FDE" w:rsidRPr="00D44FDE" w:rsidRDefault="00D44FDE" w:rsidP="00D44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3) «Վերահսկիչ պալատի խորհրդի անդամ» տողը հանել։</w:t>
      </w:r>
    </w:p>
    <w:p w:rsidR="00D44FDE" w:rsidRPr="00D44FDE" w:rsidRDefault="00D44FDE" w:rsidP="00D44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ժամկետում՝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7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«ՊԵՏԱԿԱՆ ԵՎ ԾԱՌԱՅՈՂԱԿԱՆ ԳԱՂՏՆԻՔԻ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«Պետական եւ ծառայողական գաղտնիքի մասին» Հայաստանի Հանրապետության 1996 թվականի դեկտեմբերի 3-ի ՀՕ-94 օրենքի (այսուհետ՝ օրենք) 26-րդ հոդվածում «Ազգային ժողովի վերահսկիչ պալատի» բառերը փոխարինել «հաշվեքննիչ պալատի»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ժամկետում՝ նոր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ընտիր Հանրապետության նախագահի կողմից իր պաշտոնի ստանձնման օրը: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8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«ՀԱՏՈՒԿ ՔՆՆՉԱԿԱՆ ԾԱՌԱՅՈՒԹՅԱՆ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«Հատուկ քննչական ծառայության մասին» Հայաստանի Հանրապետության 2007 թվականի նոյեմբերի 28-ի ՀՕ-255-Ն օրենքի 4-րդ հոդվածի 2-րդ կետում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«վերահսկիչ պալատի 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lastRenderedPageBreak/>
        <w:t>նխագահը եւ խորհրդի անդամները» բառերը փոխարինել «հաշվեքննիչ պալատի նախագահը եւ մյուս անդամները»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ժամկետում՝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9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«ԴԱՏԱԽԱԶՈՒԹՅԱՆ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«Դատախազության մասին» Հայաստանի Հանրապետության 2007 թվականի փետրվարի 22-ի ՀՕ-126-Ն օրենքի 27-րդ հոդվածի 7-րդ մասում «վերահսկիչ» բառը փոխարինել «հաշվեքննիչ» բառով: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ժամկետում` նորընտիր Հանրապետության 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նախագահի կողմից իր պաշտոնի ստանձնման օրը: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10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«ՏԵՂԱԿԱՆ ԻՆՔՆԱԿԱՌԱՎԱՐՄԱՆ ՄԱՍԻՆ» ՀԱՅԱՍՏԱՆԻ ՀԱՆՐԱՊԵՏՈՒԹՅԱՆ ՕՐԵՆՔՈՒՄ ՓՈՓՈԽՈՒԹՅՈՒՆՆԵՐ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«Տեղական ինքնակառավարման մասին» Հայաստանի Հանրապետության 2002 թվականի մայիսի 7-ի ՀՕ-337 օրենքի (այսուհետ՝ օրենք) 11-րդ հոդվածի 5-րդ մասի 5-րդ կետում «վերահսկիչ պալատի վերահսկողության» բառերը փոխարինել «հաշվեքննիչ պալատի հաշվեքննության»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Օրենքի 18-րդ հոդվածի 1-ին մասի 37-րդ կետում «վերահսկիչ պալատի իրականացրած վերահսկողության» բառերը փոխարինել «հաշվեքննիչ պալատի իրականացրած հաշվեքննության»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3.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Օրենքի 95-րդ հոդվածը 7-րդ մասը շարադրել հետեւյալ խմբագրությամբ՝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«7. Համայնքային բյուջեների միջոցների, ստացած փոխառությունների ու վարկերի, համայնքի սեփականության օգտագործման օրինականության եւ արդյունավետության նկատմամբ հաշվեքննություն է իրականացնում Հայաստանի Հանրապետության հաշվեքննիչ պալատը՝ «Հաշվեքննիչ պալատի մասին» Հայաստանի Հանրապետության օրենքով սահմանված դեպքերում:»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4.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ժամկետում՝ նորընտիր Հանրապետության նախագահի կողմից իր պ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աշտոնի ստանձնման օրը: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lastRenderedPageBreak/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11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«ԵՐԵՎԱՆ ՔԱՂԱՔՈՒՄ ՏԵՂԱԿԱՆ ԻՆՔՆԱԿԱՌԱՎԱՐՄԱՆ ՄԱՍԻՆ» ՀԱՅԱՍՏԱՆԻ ՀԱՆՐԱՊԵՏՈՒԹՅԱՆ ՕՐԵՆՔՈՒՄ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«Երեւան քաղաքում տեղական ինքնակառավարման մասին» Հայաստանի Հանրապետության 2008 թվականի դեկտեմբերի 26-ի ՀՕ-5-Ն օրենքի (այսուհետ` օրենք) 81-րդ հոդվածի 3-րդ մասում «Վերահսկիչ պալատի » բառերը փոխարինել «Հայաստանի Հանրապետության հաշվեքննիչ պալատի 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ժամկետում`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D44FDE" w:rsidRPr="00D44FDE" w:rsidRDefault="00D44FDE" w:rsidP="00D44FD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br/>
        <w:t>ՆԱԽԱԳԻԾ</w:t>
      </w:r>
    </w:p>
    <w:p w:rsidR="00D44FDE" w:rsidRPr="00D44FDE" w:rsidRDefault="00D44FDE" w:rsidP="00D44FD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Պ-154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vertAlign w:val="superscript"/>
        </w:rPr>
        <w:t>12</w:t>
      </w:r>
      <w:r w:rsidRPr="00D44FDE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-16.10.2017-ՖՎ-011/0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44FDE">
        <w:rPr>
          <w:rFonts w:ascii="Courier New" w:eastAsia="Times New Roman" w:hAnsi="Courier New" w:cs="Courier New"/>
          <w:b/>
          <w:bCs/>
          <w:color w:val="000000"/>
          <w:sz w:val="24"/>
        </w:rPr>
        <w:t> </w:t>
      </w:r>
      <w:r w:rsidRPr="00D44F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ՕՐԵՆՔԸ</w:t>
      </w:r>
    </w:p>
    <w:p w:rsidR="00D44FDE" w:rsidRPr="00D44FDE" w:rsidRDefault="00D44FDE" w:rsidP="00D44FD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</w:pPr>
      <w:r w:rsidRPr="00D44FDE">
        <w:rPr>
          <w:rFonts w:ascii="GHEA Grapalat" w:eastAsia="Times New Roman" w:hAnsi="GHEA Grapalat" w:cs="Times New Roman"/>
          <w:b/>
          <w:bCs/>
          <w:color w:val="000000"/>
          <w:sz w:val="20"/>
        </w:rPr>
        <w:t>ՀԱՅԱՍՏԱՆԻ ՀԱՆՐԱՊԵՏՈՒԹՅԱՆ ՔՐԵԱԿԱՆ ԴԱՏԱՎԱՐՈՒԹՅԱՆ ՕՐԵՆՍԳՐՔՈՒՄ ՓՈՓՈԽՈՒԹՅՈՒՆ ԿԱՏԱՐԵԼՈՒ ՄԱՍԻՆ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1.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 Հանրապետության 1998 թվականի հուլիսի 1-ի քրեական դատավարության օրենսգրքի (այսուհետ՝ Օրենսգիրք) 6-րդ հոդվածի 261-րդ կետում «Հայաստանի Հանրապետության վերահսկիչ պալատի նախագահը եւ խորհրդի անդամները» բառերը փոխարինել «Հայաստանի Հանրապետության հաշվեքննիչ պալատի նախագահը եւ մյուս անդամները» բառերով:</w:t>
      </w:r>
    </w:p>
    <w:p w:rsidR="00D44FDE" w:rsidRPr="00D44FDE" w:rsidRDefault="00D44FDE" w:rsidP="00D44FD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44FD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Հոդված 2.</w:t>
      </w:r>
      <w:r w:rsidRPr="00D44FDE">
        <w:rPr>
          <w:rFonts w:ascii="Courier New" w:eastAsia="Times New Roman" w:hAnsi="Courier New" w:cs="Courier New"/>
          <w:b/>
          <w:bCs/>
          <w:i/>
          <w:iCs/>
          <w:color w:val="000000"/>
          <w:sz w:val="20"/>
        </w:rPr>
        <w:t> 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Սույն օրենքը ուժի մեջ է մտնում Հայաստանի Հանրապետության Սահմանադրության 2015 թվականի դեկտեմբերի 6-ի փոփոխությունների</w:t>
      </w:r>
      <w:r w:rsidRPr="00D44FD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D44FDE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210-րդ հոդվածի 5-րդ մասում սահմանված ժամկետում՝ նորընտիր Հանրապետության նախագահի կողմից իր պաշտոնի ստանձնման օրը</w:t>
      </w:r>
      <w:r w:rsidRPr="00D44FD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7B2022" w:rsidRPr="00D44FDE" w:rsidRDefault="007B2022"/>
    <w:sectPr w:rsidR="007B2022" w:rsidRPr="00D44FDE" w:rsidSect="001B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AC0"/>
    <w:rsid w:val="001B2AC0"/>
    <w:rsid w:val="001B4E55"/>
    <w:rsid w:val="003D4F77"/>
    <w:rsid w:val="007B2022"/>
    <w:rsid w:val="00D4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5"/>
  </w:style>
  <w:style w:type="paragraph" w:styleId="Heading2">
    <w:name w:val="heading 2"/>
    <w:basedOn w:val="Normal"/>
    <w:link w:val="Heading2Char"/>
    <w:uiPriority w:val="9"/>
    <w:qFormat/>
    <w:rsid w:val="001B2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2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2A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B2AC0"/>
  </w:style>
  <w:style w:type="character" w:styleId="Strong">
    <w:name w:val="Strong"/>
    <w:basedOn w:val="DefaultParagraphFont"/>
    <w:uiPriority w:val="22"/>
    <w:qFormat/>
    <w:rsid w:val="001B2A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10094</Words>
  <Characters>57542</Characters>
  <Application>Microsoft Office Word</Application>
  <DocSecurity>0</DocSecurity>
  <Lines>479</Lines>
  <Paragraphs>135</Paragraphs>
  <ScaleCrop>false</ScaleCrop>
  <Company>home</Company>
  <LinksUpToDate>false</LinksUpToDate>
  <CharactersWithSpaces>67501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Specialist9</dc:creator>
  <cp:keywords/>
  <dc:description/>
  <cp:lastModifiedBy>Legal Specialist9</cp:lastModifiedBy>
  <cp:revision>4</cp:revision>
  <dcterms:created xsi:type="dcterms:W3CDTF">2017-10-20T07:05:00Z</dcterms:created>
  <dcterms:modified xsi:type="dcterms:W3CDTF">2017-10-20T07:09:00Z</dcterms:modified>
</cp:coreProperties>
</file>