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5E" w:rsidRPr="008D0F68" w:rsidRDefault="000E6D5E" w:rsidP="000E6D5E">
      <w:pPr>
        <w:pStyle w:val="mechtex"/>
        <w:ind w:left="10800" w:firstLine="720"/>
        <w:jc w:val="left"/>
        <w:rPr>
          <w:rFonts w:ascii="GHEA Grapalat" w:hAnsi="GHEA Grapalat"/>
          <w:color w:val="000000"/>
          <w:spacing w:val="-8"/>
          <w:sz w:val="24"/>
          <w:szCs w:val="24"/>
        </w:rPr>
      </w:pPr>
      <w:proofErr w:type="spellStart"/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>Հավելված</w:t>
      </w:r>
      <w:proofErr w:type="spellEnd"/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 xml:space="preserve"> N 1</w:t>
      </w:r>
    </w:p>
    <w:p w:rsidR="000E6D5E" w:rsidRPr="008D0F68" w:rsidRDefault="000E6D5E" w:rsidP="000E6D5E">
      <w:pPr>
        <w:pStyle w:val="mechtex"/>
        <w:ind w:left="5040"/>
        <w:jc w:val="left"/>
        <w:rPr>
          <w:rFonts w:ascii="GHEA Grapalat" w:hAnsi="GHEA Grapalat"/>
          <w:color w:val="000000"/>
          <w:spacing w:val="-2"/>
          <w:sz w:val="24"/>
          <w:szCs w:val="24"/>
        </w:rPr>
      </w:pP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  <w:t xml:space="preserve">    </w:t>
      </w:r>
      <w:r w:rsidRPr="008D0F68">
        <w:rPr>
          <w:rFonts w:ascii="GHEA Grapalat" w:hAnsi="GHEA Grapalat"/>
          <w:color w:val="000000"/>
          <w:spacing w:val="-2"/>
          <w:sz w:val="24"/>
          <w:szCs w:val="24"/>
        </w:rPr>
        <w:t xml:space="preserve">ՀՀ </w:t>
      </w:r>
      <w:proofErr w:type="spellStart"/>
      <w:r w:rsidRPr="008D0F68">
        <w:rPr>
          <w:rFonts w:ascii="GHEA Grapalat" w:hAnsi="GHEA Grapalat"/>
          <w:color w:val="000000"/>
          <w:spacing w:val="-2"/>
          <w:sz w:val="24"/>
          <w:szCs w:val="24"/>
        </w:rPr>
        <w:t>կառավարության</w:t>
      </w:r>
      <w:proofErr w:type="spellEnd"/>
      <w:r w:rsidRPr="008D0F68">
        <w:rPr>
          <w:rFonts w:ascii="GHEA Grapalat" w:hAnsi="GHEA Grapalat"/>
          <w:color w:val="000000"/>
          <w:spacing w:val="-2"/>
          <w:sz w:val="24"/>
          <w:szCs w:val="24"/>
        </w:rPr>
        <w:t xml:space="preserve"> 2017 </w:t>
      </w:r>
      <w:proofErr w:type="spellStart"/>
      <w:r w:rsidRPr="008D0F68">
        <w:rPr>
          <w:rFonts w:ascii="GHEA Grapalat" w:hAnsi="GHEA Grapalat"/>
          <w:color w:val="000000"/>
          <w:spacing w:val="-2"/>
          <w:sz w:val="24"/>
          <w:szCs w:val="24"/>
        </w:rPr>
        <w:t>թվականի</w:t>
      </w:r>
      <w:proofErr w:type="spellEnd"/>
    </w:p>
    <w:p w:rsidR="000E6D5E" w:rsidRPr="008D0F68" w:rsidRDefault="000E6D5E" w:rsidP="000E6D5E">
      <w:pPr>
        <w:pStyle w:val="mechtex"/>
        <w:rPr>
          <w:rFonts w:ascii="GHEA Grapalat" w:hAnsi="GHEA Grapalat"/>
          <w:color w:val="000000"/>
          <w:spacing w:val="-8"/>
          <w:sz w:val="24"/>
          <w:szCs w:val="24"/>
        </w:rPr>
      </w:pP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  <w:t xml:space="preserve">   </w:t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ab/>
        <w:t xml:space="preserve">                  </w:t>
      </w:r>
      <w:r w:rsidRPr="008D0F68">
        <w:rPr>
          <w:rFonts w:ascii="GHEA Grapalat" w:hAnsi="GHEA Grapalat" w:cs="IRTEK Courier"/>
          <w:color w:val="000000"/>
          <w:spacing w:val="-4"/>
          <w:sz w:val="24"/>
          <w:szCs w:val="24"/>
          <w:lang w:val="pt-BR"/>
        </w:rPr>
        <w:t>---------------------</w:t>
      </w:r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 xml:space="preserve">  N       -  Ն </w:t>
      </w:r>
      <w:proofErr w:type="spellStart"/>
      <w:r w:rsidRPr="008D0F68">
        <w:rPr>
          <w:rFonts w:ascii="GHEA Grapalat" w:hAnsi="GHEA Grapalat"/>
          <w:color w:val="000000"/>
          <w:spacing w:val="-8"/>
          <w:sz w:val="24"/>
          <w:szCs w:val="24"/>
        </w:rPr>
        <w:t>որոշման</w:t>
      </w:r>
      <w:proofErr w:type="spellEnd"/>
    </w:p>
    <w:p w:rsidR="000E6D5E" w:rsidRPr="008D0F68" w:rsidRDefault="000E6D5E" w:rsidP="000E6D5E">
      <w:pPr>
        <w:pStyle w:val="mechtex"/>
        <w:rPr>
          <w:rFonts w:ascii="GHEA Grapalat" w:hAnsi="GHEA Grapalat"/>
          <w:color w:val="000000"/>
          <w:sz w:val="24"/>
          <w:szCs w:val="24"/>
        </w:rPr>
      </w:pPr>
      <w:r w:rsidRPr="008D0F68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0E6D5E" w:rsidRPr="008D0F68" w:rsidRDefault="000E6D5E" w:rsidP="000E6D5E">
      <w:pPr>
        <w:pStyle w:val="mechtex"/>
        <w:rPr>
          <w:rFonts w:ascii="GHEA Grapalat" w:hAnsi="GHEA Grapalat"/>
          <w:color w:val="000000"/>
          <w:sz w:val="24"/>
          <w:szCs w:val="24"/>
        </w:rPr>
      </w:pPr>
    </w:p>
    <w:p w:rsidR="000E6D5E" w:rsidRPr="008D0F68" w:rsidRDefault="000E6D5E" w:rsidP="000E6D5E">
      <w:pPr>
        <w:pStyle w:val="mechtex"/>
        <w:rPr>
          <w:rFonts w:ascii="GHEA Grapalat" w:hAnsi="GHEA Grapalat"/>
          <w:color w:val="000000"/>
          <w:sz w:val="24"/>
          <w:szCs w:val="24"/>
        </w:rPr>
      </w:pPr>
    </w:p>
    <w:p w:rsidR="000E6D5E" w:rsidRPr="008D0F68" w:rsidRDefault="000E6D5E" w:rsidP="000E6D5E">
      <w:pPr>
        <w:pStyle w:val="mechtex"/>
        <w:rPr>
          <w:rFonts w:ascii="GHEA Grapalat" w:hAnsi="GHEA Grapalat"/>
          <w:color w:val="000000"/>
          <w:sz w:val="24"/>
          <w:szCs w:val="24"/>
        </w:rPr>
      </w:pPr>
      <w:r w:rsidRPr="008D0F68">
        <w:rPr>
          <w:rFonts w:ascii="GHEA Grapalat" w:hAnsi="GHEA Grapalat" w:cs="Tahoma"/>
          <w:color w:val="000000"/>
          <w:sz w:val="24"/>
          <w:szCs w:val="24"/>
        </w:rPr>
        <w:t>ՀԱՅԱՍՏԱՆԻ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ՀԱՆՐԱՊԵՏՈՒԹՅԱՆ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ԿԱՌԱՎԱՐՈՒԹՅԱՆ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2016 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ԹՎԱԿԱՆԻ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ԴԵԿՏԵՄԲԵՐԻ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29-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Ի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N 1313-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Ն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ՈՐՈՇՄԱՆ</w:t>
      </w:r>
    </w:p>
    <w:p w:rsidR="000E6D5E" w:rsidRPr="008D0F68" w:rsidRDefault="000E6D5E" w:rsidP="000E6D5E">
      <w:pPr>
        <w:pStyle w:val="mechtex"/>
        <w:rPr>
          <w:rFonts w:ascii="GHEA Grapalat" w:hAnsi="GHEA Grapalat" w:cs="Tahoma"/>
          <w:color w:val="000000"/>
          <w:sz w:val="24"/>
          <w:szCs w:val="24"/>
        </w:rPr>
      </w:pP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N 11 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ՀԱՎԵԼՎԱԾԻ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N 11.20 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ԱՂՅՈՒՍԱԿՈՒՄ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ԿԱՏԱՐՎՈՂ</w:t>
      </w:r>
      <w:r w:rsidRPr="008D0F68"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 w:rsidRPr="008D0F68">
        <w:rPr>
          <w:rFonts w:ascii="GHEA Grapalat" w:hAnsi="GHEA Grapalat" w:cs="Tahoma"/>
          <w:color w:val="000000"/>
          <w:sz w:val="24"/>
          <w:szCs w:val="24"/>
        </w:rPr>
        <w:t>ԼՐԱՑՈՒՄԸ</w:t>
      </w:r>
    </w:p>
    <w:p w:rsidR="000E6D5E" w:rsidRPr="008D0F68" w:rsidRDefault="000E6D5E" w:rsidP="000E6D5E">
      <w:pPr>
        <w:pStyle w:val="mechtex"/>
        <w:rPr>
          <w:rFonts w:ascii="GHEA Grapalat" w:hAnsi="GHEA Grapalat"/>
          <w:color w:val="000000"/>
          <w:sz w:val="24"/>
          <w:szCs w:val="24"/>
        </w:rPr>
      </w:pPr>
    </w:p>
    <w:tbl>
      <w:tblPr>
        <w:tblW w:w="14865" w:type="dxa"/>
        <w:tblInd w:w="93" w:type="dxa"/>
        <w:tblLayout w:type="fixed"/>
        <w:tblLook w:val="00A0"/>
      </w:tblPr>
      <w:tblGrid>
        <w:gridCol w:w="1797"/>
        <w:gridCol w:w="1805"/>
        <w:gridCol w:w="4049"/>
        <w:gridCol w:w="3469"/>
        <w:gridCol w:w="3745"/>
      </w:tblGrid>
      <w:tr w:rsidR="000E6D5E" w:rsidRPr="008D0F68" w:rsidTr="008F7F6C">
        <w:trPr>
          <w:trHeight w:val="855"/>
        </w:trPr>
        <w:tc>
          <w:tcPr>
            <w:tcW w:w="76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D0F68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  <w:p w:rsidR="000E6D5E" w:rsidRPr="008D0F68" w:rsidRDefault="000E6D5E" w:rsidP="004B534C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Չափորոշիչներ</w:t>
            </w:r>
            <w:proofErr w:type="spellEnd"/>
          </w:p>
        </w:tc>
        <w:tc>
          <w:tcPr>
            <w:tcW w:w="7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Ցուցանիշների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փոփոխությունը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(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ավելացումները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նշված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են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դրական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նշանով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</w:tr>
      <w:tr w:rsidR="000E6D5E" w:rsidRPr="008D0F68" w:rsidTr="008F7F6C">
        <w:trPr>
          <w:trHeight w:val="426"/>
        </w:trPr>
        <w:tc>
          <w:tcPr>
            <w:tcW w:w="76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ոչ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ֆինանսական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ցուցանիշներ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ֆինանսական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ցուցանիշներ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6D5E" w:rsidRPr="008D0F68" w:rsidTr="008F7F6C">
        <w:trPr>
          <w:trHeight w:val="393"/>
        </w:trPr>
        <w:tc>
          <w:tcPr>
            <w:tcW w:w="76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տարի</w:t>
            </w:r>
            <w:proofErr w:type="spellEnd"/>
          </w:p>
        </w:tc>
      </w:tr>
      <w:tr w:rsidR="000E6D5E" w:rsidRPr="008D0F68" w:rsidTr="008F7F6C">
        <w:trPr>
          <w:trHeight w:val="1287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ՄԱՍ Գ: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Նախարարի</w:t>
            </w:r>
            <w:proofErr w:type="spellEnd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պատասխանատվության</w:t>
            </w:r>
            <w:proofErr w:type="spellEnd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ներքո</w:t>
            </w:r>
            <w:proofErr w:type="spellEnd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իրականացվող</w:t>
            </w:r>
            <w:proofErr w:type="spellEnd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քաղաքականության</w:t>
            </w:r>
            <w:proofErr w:type="spellEnd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միջոցառումների</w:t>
            </w:r>
            <w:proofErr w:type="spellEnd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ֆինանսական</w:t>
            </w:r>
            <w:proofErr w:type="spellEnd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կառավարման</w:t>
            </w:r>
            <w:proofErr w:type="spellEnd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արդյունքների</w:t>
            </w:r>
            <w:proofErr w:type="spellEnd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</w:rPr>
              <w:t>ցուցանիշները</w:t>
            </w:r>
            <w:proofErr w:type="spellEnd"/>
          </w:p>
          <w:p w:rsidR="000E6D5E" w:rsidRPr="008D0F68" w:rsidRDefault="000E6D5E" w:rsidP="004B534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0F6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1. </w:t>
            </w:r>
            <w:proofErr w:type="spellStart"/>
            <w:r w:rsidRPr="008D0F6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Քաղաքականության</w:t>
            </w:r>
            <w:proofErr w:type="spellEnd"/>
            <w:r w:rsidRPr="008D0F6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միջոցառումներ</w:t>
            </w:r>
            <w:proofErr w:type="spellEnd"/>
          </w:p>
          <w:p w:rsidR="000E6D5E" w:rsidRPr="008D0F68" w:rsidRDefault="000E6D5E" w:rsidP="004B534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 xml:space="preserve">1.2. </w:t>
            </w:r>
            <w:proofErr w:type="spellStart"/>
            <w:r w:rsidRPr="008D0F6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u w:val="single"/>
              </w:rPr>
              <w:t>Տրանսֆերտներ</w:t>
            </w:r>
            <w:proofErr w:type="spellEnd"/>
          </w:p>
        </w:tc>
      </w:tr>
      <w:tr w:rsidR="000E6D5E" w:rsidRPr="008D0F68" w:rsidTr="008F7F6C">
        <w:trPr>
          <w:trHeight w:val="44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Ծրագրային</w:t>
            </w:r>
            <w:proofErr w:type="spellEnd"/>
            <w:r w:rsidRPr="008D0F6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դասիչը</w:t>
            </w:r>
            <w:proofErr w:type="spellEnd"/>
          </w:p>
        </w:tc>
        <w:tc>
          <w:tcPr>
            <w:tcW w:w="1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D5E" w:rsidRPr="008D0F68" w:rsidRDefault="000E6D5E" w:rsidP="004B534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Տրանսֆերտի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անվանումը</w:t>
            </w:r>
            <w:proofErr w:type="spellEnd"/>
          </w:p>
        </w:tc>
      </w:tr>
      <w:tr w:rsidR="000E6D5E" w:rsidRPr="008D0F68" w:rsidTr="008F7F6C">
        <w:trPr>
          <w:trHeight w:val="8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ԾՏ08</w:t>
            </w:r>
          </w:p>
        </w:tc>
        <w:tc>
          <w:tcPr>
            <w:tcW w:w="1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F6C" w:rsidRPr="008D0F68" w:rsidRDefault="008F7F6C" w:rsidP="004B534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>Աջակցություն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զոհված անձանց ընտանիքներին, տուժած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անձանց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և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ուղևորներին</w:t>
            </w:r>
          </w:p>
          <w:p w:rsidR="008F7F6C" w:rsidRDefault="008F7F6C" w:rsidP="004B534C">
            <w:pPr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Նկարագրությունը</w:t>
            </w:r>
            <w:proofErr w:type="spellEnd"/>
          </w:p>
          <w:p w:rsidR="008F7F6C" w:rsidRPr="008D0F68" w:rsidRDefault="008F7F6C" w:rsidP="004B534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8F7F6C" w:rsidRDefault="008F7F6C" w:rsidP="008F7F6C">
            <w:pP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Աջակցություն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2016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թվականի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հոկտեմբերի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14</w:t>
            </w: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ին</w:t>
            </w: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Ռուսաստանի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Դաշնության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Հյուսիսային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Օսեթիայիում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Բեսլան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քաղաքից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կմ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հեռավորության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վրա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տեղի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ունեցած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Մոսկվա</w:t>
            </w: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Երևան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ոչ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կանոնավոր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ուղևորա</w:t>
            </w:r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փոխադրում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ավտոբուսի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վթարի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հետևանքով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 xml:space="preserve"> զոհված անձանց 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lastRenderedPageBreak/>
              <w:t>ընտանիքներին, տուժած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անձանց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և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ուղևորներին</w:t>
            </w:r>
          </w:p>
          <w:p w:rsidR="008F7F6C" w:rsidRPr="008F7F6C" w:rsidRDefault="008F7F6C" w:rsidP="008F7F6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0E6D5E" w:rsidRPr="008D0F68" w:rsidTr="008F7F6C">
        <w:trPr>
          <w:trHeight w:val="378"/>
        </w:trPr>
        <w:tc>
          <w:tcPr>
            <w:tcW w:w="3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Շահառուների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Փոխհատուցում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ստացողների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թիվը</w:t>
            </w:r>
            <w:proofErr w:type="spellEnd"/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x</w:t>
            </w:r>
          </w:p>
        </w:tc>
      </w:tr>
      <w:tr w:rsidR="000E6D5E" w:rsidRPr="008D0F68" w:rsidTr="008F7F6C">
        <w:trPr>
          <w:trHeight w:val="399"/>
        </w:trPr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Գումարը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հազ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դրամ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x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200.0</w:t>
            </w:r>
          </w:p>
        </w:tc>
      </w:tr>
      <w:tr w:rsidR="000E6D5E" w:rsidRPr="008D0F68" w:rsidTr="008F7F6C">
        <w:trPr>
          <w:trHeight w:val="392"/>
        </w:trPr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Տրանսֆերտի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վճարման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հաճախականությունը</w:t>
            </w:r>
            <w:proofErr w:type="spellEnd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 w:cs="Sylfaen"/>
                <w:color w:val="000000"/>
                <w:sz w:val="24"/>
                <w:szCs w:val="24"/>
              </w:rPr>
              <w:t>միանվագ</w:t>
            </w:r>
            <w:proofErr w:type="spellEnd"/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D5E" w:rsidRPr="008D0F68" w:rsidRDefault="000E6D5E" w:rsidP="004B534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x</w:t>
            </w:r>
          </w:p>
        </w:tc>
      </w:tr>
      <w:tr w:rsidR="000E6D5E" w:rsidRPr="008D0F68" w:rsidTr="008F7F6C">
        <w:trPr>
          <w:trHeight w:val="676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Շահառուների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ընտրության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չափանիշները</w:t>
            </w:r>
            <w:proofErr w:type="spellEnd"/>
          </w:p>
          <w:p w:rsidR="000E6D5E" w:rsidRPr="008D0F68" w:rsidRDefault="000E6D5E" w:rsidP="004B534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>ՀՀ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 xml:space="preserve"> վարչապետի որոշմամբ ստեղծ</w:t>
            </w:r>
            <w:proofErr w:type="spellStart"/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>ված</w:t>
            </w:r>
            <w:proofErr w:type="spellEnd"/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 xml:space="preserve"> հ</w:t>
            </w:r>
            <w:r w:rsidRPr="008D0F68"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անձնաժողով</w:t>
            </w:r>
          </w:p>
        </w:tc>
      </w:tr>
      <w:tr w:rsidR="000E6D5E" w:rsidRPr="008D0F68" w:rsidTr="008F7F6C">
        <w:trPr>
          <w:trHeight w:val="663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Ծրագիրը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ծրագրերը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),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որի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որոնց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)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շրջանակներում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իրականացվում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է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քաղաքականության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միջոցառումը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0E6D5E" w:rsidRPr="008D0F68" w:rsidRDefault="000E6D5E" w:rsidP="004B534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1069  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Հատուկ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սոցիալական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տրանսֆերտներ</w:t>
            </w:r>
            <w:proofErr w:type="spellEnd"/>
            <w:r w:rsidRPr="008D0F6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0E6D5E" w:rsidRPr="008D0F68" w:rsidTr="008F7F6C">
        <w:trPr>
          <w:trHeight w:val="677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E6D5E" w:rsidRPr="008D0F68" w:rsidRDefault="000E6D5E" w:rsidP="004B534C">
            <w:pPr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Վերջնական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արդյունքի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  <w:u w:val="single"/>
              </w:rPr>
              <w:t>նկարագրությունը</w:t>
            </w:r>
            <w:proofErr w:type="spellEnd"/>
          </w:p>
          <w:p w:rsidR="000E6D5E" w:rsidRPr="008D0F68" w:rsidRDefault="000E6D5E" w:rsidP="004B534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Բնակչության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կենսամակարդակի</w:t>
            </w:r>
            <w:proofErr w:type="spellEnd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0F68">
              <w:rPr>
                <w:rFonts w:ascii="GHEA Grapalat" w:hAnsi="GHEA Grapalat"/>
                <w:color w:val="000000"/>
                <w:sz w:val="24"/>
                <w:szCs w:val="24"/>
              </w:rPr>
              <w:t>բարձրացում</w:t>
            </w:r>
            <w:proofErr w:type="spellEnd"/>
            <w:r w:rsidRPr="008D0F68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8F7F6C" w:rsidP="000C3B2C"/>
    <w:sectPr w:rsidR="00000000" w:rsidSect="008F7F6C">
      <w:pgSz w:w="15840" w:h="12240" w:orient="landscape"/>
      <w:pgMar w:top="360" w:right="90" w:bottom="5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E6D5E"/>
    <w:rsid w:val="000C3B2C"/>
    <w:rsid w:val="000E6D5E"/>
    <w:rsid w:val="008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0E6D5E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0E6D5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24FF-3F28-428E-B82F-ACA5BF3C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arpine.sargsyan</dc:creator>
  <cp:keywords/>
  <dc:description/>
  <cp:lastModifiedBy>arpine.sargsyan</cp:lastModifiedBy>
  <cp:revision>4</cp:revision>
  <dcterms:created xsi:type="dcterms:W3CDTF">2017-03-16T09:00:00Z</dcterms:created>
  <dcterms:modified xsi:type="dcterms:W3CDTF">2017-03-16T09:05:00Z</dcterms:modified>
</cp:coreProperties>
</file>