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5B" w:rsidRDefault="003D5193">
      <w:pPr>
        <w:spacing w:line="360" w:lineRule="auto"/>
        <w:ind w:firstLineChars="200" w:firstLine="480"/>
        <w:jc w:val="center"/>
        <w:rPr>
          <w:rFonts w:ascii="GHEA Grapalat" w:hAnsi="GHEA Grapalat"/>
          <w:b/>
          <w:color w:val="auto"/>
          <w:szCs w:val="24"/>
        </w:rPr>
      </w:pPr>
      <w:bookmarkStart w:id="0" w:name="_GoBack"/>
      <w:bookmarkEnd w:id="0"/>
      <w:r>
        <w:rPr>
          <w:rFonts w:ascii="GHEA Grapalat" w:hAnsi="GHEA Grapalat"/>
          <w:b/>
          <w:color w:val="auto"/>
          <w:szCs w:val="24"/>
        </w:rPr>
        <w:t>ՀԻՄՆԱՎՈՐՈՒՄ</w:t>
      </w:r>
    </w:p>
    <w:p w:rsidR="00E5535B" w:rsidRDefault="003D5193">
      <w:pPr>
        <w:spacing w:line="360" w:lineRule="auto"/>
        <w:ind w:firstLineChars="200" w:firstLine="480"/>
        <w:jc w:val="center"/>
        <w:rPr>
          <w:rFonts w:ascii="GHEA Grapalat" w:hAnsi="GHEA Grapalat"/>
          <w:b/>
          <w:color w:val="auto"/>
          <w:szCs w:val="24"/>
          <w:lang w:val="hy-AM"/>
        </w:rPr>
      </w:pPr>
      <w:r>
        <w:rPr>
          <w:rFonts w:ascii="GHEA Grapalat" w:hAnsi="GHEA Grapalat"/>
          <w:b/>
          <w:color w:val="auto"/>
          <w:szCs w:val="24"/>
          <w:lang w:val="hy-AM"/>
        </w:rPr>
        <w:t>«ՇՐՋԱԿԱ ՄԻՋԱՎԱՅՐԻ ՎՐԱ ԱԶԴԵՑՈՒԹՅԱՆ ԳՆԱՀԱՏՄԱՆ ԵՎ ՓՈՐՁԱՔՆՆՈՒԹՅԱՆ ՄԱՍԻՆ ՕՐԵՆՔՈՒՄ ԼՐԱՑՈՒՄՆԵՐ ԵՎ ՓՈՓՈԽՈՒԹՅՈՒՆ ԿԱՏԱՐԵԼՈՒ ՄԱՍԻՆ», «ՊԵՏԱԿԱՆ ՏՈՒՐՔԻ ՄԱՍԻՆ ՕՐԵՆՔՈՒՄ ԼՐԱՑՈՒՄ ԿԱՏԱՐԵԼՈՒ ՄԱՍԻՆ» ԵՎ  «ԼԻՑԵՆԶԱՎՈՐՄԱՆ ՄԱՍԻՆ» ՕՐԵՆՔՈՒՄ ԼՐԱՑՈՒՄ ԿԱՏԱՐԵԼՈՒ ՄԱՍԻՆ»</w:t>
      </w:r>
      <w:r>
        <w:rPr>
          <w:rFonts w:ascii="GHEA Grapalat" w:hAnsi="GHEA Grapalat"/>
          <w:b/>
          <w:color w:val="auto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auto"/>
          <w:szCs w:val="24"/>
          <w:lang w:val="hy-AM"/>
        </w:rPr>
        <w:t>ՕՐԵՆՔՆԵՐԻ ՆԱԽԱԳԾԵՐԻ</w:t>
      </w:r>
      <w:r>
        <w:rPr>
          <w:rFonts w:ascii="GHEA Grapalat" w:hAnsi="GHEA Grapalat"/>
          <w:b/>
          <w:color w:val="auto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auto"/>
          <w:szCs w:val="24"/>
          <w:lang w:val="hy-AM"/>
        </w:rPr>
        <w:t>ԸՆԴՈՒՆՄԱՆ</w:t>
      </w:r>
    </w:p>
    <w:p w:rsidR="00E5535B" w:rsidRDefault="00E5535B">
      <w:pPr>
        <w:spacing w:line="360" w:lineRule="auto"/>
        <w:ind w:firstLineChars="200" w:firstLine="480"/>
        <w:jc w:val="center"/>
        <w:rPr>
          <w:rFonts w:ascii="GHEA Grapalat" w:hAnsi="GHEA Grapalat"/>
          <w:color w:val="auto"/>
          <w:szCs w:val="24"/>
          <w:lang w:val="af-ZA"/>
        </w:rPr>
      </w:pP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hy-AM"/>
        </w:rPr>
        <w:t>1. Ընթացիկ իրավիճակը և իրավական ակտերի 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անհրաժեշտությունը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eastAsia="GHEA Grapalat" w:hAnsi="GHEA Grapalat" w:cs="GHEA Grapalat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>«</w:t>
      </w:r>
      <w:r>
        <w:rPr>
          <w:rFonts w:ascii="GHEA Grapalat" w:hAnsi="GHEA Grapalat" w:cs="GHEA Grapalat"/>
          <w:lang w:val="hy-AM"/>
        </w:rPr>
        <w:t>Շրջակա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միջավայրի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վրա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ազդեցության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գնահատման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փորձաքննության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մասին»</w:t>
      </w:r>
      <w:r>
        <w:rPr>
          <w:rFonts w:ascii="GHEA Grapalat" w:hAnsi="GHEA Grapalat" w:cs="Sylfaen"/>
          <w:lang w:val="hy-AM"/>
        </w:rPr>
        <w:t xml:space="preserve"> օրենք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ում (այսուհետ՝ Օրենք) լրացումներ և փոփոխություն կատարելու անհրաժեշտությունը </w:t>
      </w:r>
      <w:r>
        <w:rPr>
          <w:rFonts w:ascii="GHEA Grapalat" w:hAnsi="GHEA Grapalat" w:cs="Arial"/>
          <w:color w:val="auto"/>
          <w:szCs w:val="24"/>
          <w:lang w:val="hy-AM"/>
        </w:rPr>
        <w:t>պայմանավորված է Օրենքի կիրարկման ժամանակահատվածում ի հայտ եկած  խնդրահարույց իրավակարգավորումների փոփոխության անհրաժեշտությամբ։ Հայաստանի Հանրապետությունը հանդիսանալով ՄԱԿ-ի ԵՏՀ «Անդրսահմանային համատեքստում շրջակա միջավայրի վրա ազդեցության գնահատման մասին»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Arial"/>
          <w:color w:val="auto"/>
          <w:szCs w:val="24"/>
          <w:lang w:val="ru-RU"/>
        </w:rPr>
        <w:t>(</w:t>
      </w:r>
      <w:r>
        <w:rPr>
          <w:rFonts w:ascii="GHEA Grapalat" w:hAnsi="GHEA Grapalat" w:cs="Arial"/>
          <w:color w:val="auto"/>
          <w:szCs w:val="24"/>
          <w:lang w:val="hy-AM"/>
        </w:rPr>
        <w:t>Էսպո</w:t>
      </w:r>
      <w:r>
        <w:rPr>
          <w:rFonts w:ascii="GHEA Grapalat" w:hAnsi="GHEA Grapalat" w:cs="Arial"/>
          <w:color w:val="auto"/>
          <w:szCs w:val="24"/>
          <w:lang w:val="ru-RU"/>
        </w:rPr>
        <w:t>)</w:t>
      </w:r>
      <w:r>
        <w:rPr>
          <w:rFonts w:ascii="GHEA Grapalat" w:hAnsi="GHEA Grapalat" w:cs="Arial"/>
          <w:color w:val="auto"/>
          <w:szCs w:val="24"/>
          <w:lang w:val="hy-AM"/>
        </w:rPr>
        <w:t>,</w:t>
      </w:r>
      <w:r>
        <w:rPr>
          <w:rFonts w:ascii="Sylfaen" w:hAnsi="Sylfaen"/>
          <w:b/>
          <w:bCs/>
          <w:i/>
          <w:iCs/>
          <w:sz w:val="27"/>
          <w:szCs w:val="27"/>
          <w:shd w:val="clear" w:color="auto" w:fill="FFFFFF"/>
          <w:lang w:val="hy-AM"/>
        </w:rPr>
        <w:t xml:space="preserve"> </w:t>
      </w:r>
      <w:r>
        <w:rPr>
          <w:rFonts w:ascii="Sylfaen" w:hAnsi="Sylfaen"/>
          <w:sz w:val="27"/>
          <w:szCs w:val="27"/>
          <w:shd w:val="clear" w:color="auto" w:fill="FFFFFF"/>
          <w:lang w:val="hy-AM"/>
        </w:rPr>
        <w:t>«Շ</w:t>
      </w:r>
      <w:r>
        <w:rPr>
          <w:rFonts w:ascii="GHEA Grapalat" w:hAnsi="GHEA Grapalat" w:cs="Arial"/>
          <w:color w:val="auto"/>
          <w:szCs w:val="24"/>
          <w:lang w:val="hy-AM"/>
        </w:rPr>
        <w:t>րջակա</w:t>
      </w:r>
      <w:r>
        <w:rPr>
          <w:rFonts w:ascii="Calibri" w:hAnsi="Calibri" w:cs="Calibri"/>
          <w:color w:val="auto"/>
          <w:szCs w:val="24"/>
          <w:lang w:val="hy-AM"/>
        </w:rPr>
        <w:t> </w:t>
      </w:r>
      <w:r>
        <w:rPr>
          <w:rFonts w:ascii="GHEA Grapalat" w:hAnsi="GHEA Grapalat" w:cs="GHEA Grapalat"/>
          <w:color w:val="auto"/>
          <w:szCs w:val="24"/>
          <w:lang w:val="hy-AM"/>
        </w:rPr>
        <w:t>միջավայրի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առնչությամբ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տեղեկության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, </w:t>
      </w:r>
      <w:r>
        <w:rPr>
          <w:rFonts w:ascii="GHEA Grapalat" w:hAnsi="GHEA Grapalat" w:cs="GHEA Grapalat"/>
          <w:color w:val="auto"/>
          <w:szCs w:val="24"/>
          <w:lang w:val="hy-AM"/>
        </w:rPr>
        <w:t>որոշումներ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ընդունելուն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հասարակության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մասնակցության</w:t>
      </w:r>
      <w:r>
        <w:rPr>
          <w:rFonts w:ascii="Calibri" w:hAnsi="Calibri" w:cs="Calibri"/>
          <w:color w:val="auto"/>
          <w:szCs w:val="24"/>
          <w:lang w:val="hy-AM"/>
        </w:rPr>
        <w:t> </w:t>
      </w:r>
      <w:r>
        <w:rPr>
          <w:rFonts w:ascii="GHEA Grapalat" w:hAnsi="GHEA Grapalat" w:cs="GHEA Grapalat"/>
          <w:color w:val="auto"/>
          <w:szCs w:val="24"/>
          <w:lang w:val="hy-AM"/>
        </w:rPr>
        <w:t>և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արդարադատության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մատչելիության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auto"/>
          <w:szCs w:val="24"/>
          <w:lang w:val="hy-AM"/>
        </w:rPr>
        <w:t>մասին»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 </w:t>
      </w:r>
      <w:r>
        <w:rPr>
          <w:rFonts w:ascii="GHEA Grapalat" w:hAnsi="GHEA Grapalat" w:cs="Arial"/>
          <w:color w:val="auto"/>
          <w:szCs w:val="24"/>
          <w:lang w:val="ru-RU"/>
        </w:rPr>
        <w:t>(</w:t>
      </w:r>
      <w:r>
        <w:rPr>
          <w:rFonts w:ascii="GHEA Grapalat" w:hAnsi="GHEA Grapalat" w:cs="Arial"/>
          <w:color w:val="auto"/>
          <w:szCs w:val="24"/>
          <w:lang w:val="hy-AM"/>
        </w:rPr>
        <w:t>Օրհուս</w:t>
      </w:r>
      <w:r>
        <w:rPr>
          <w:rFonts w:ascii="GHEA Grapalat" w:hAnsi="GHEA Grapalat" w:cs="Arial"/>
          <w:color w:val="auto"/>
          <w:szCs w:val="24"/>
          <w:lang w:val="ru-RU"/>
        </w:rPr>
        <w:t>)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կոնվենցիաների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>
        <w:rPr>
          <w:rFonts w:ascii="GHEA Grapalat" w:hAnsi="GHEA Grapalat" w:cs="Arial"/>
          <w:color w:val="auto"/>
          <w:szCs w:val="24"/>
          <w:lang w:val="ru-RU"/>
        </w:rPr>
        <w:t>(</w:t>
      </w:r>
      <w:r>
        <w:rPr>
          <w:rFonts w:ascii="GHEA Grapalat" w:hAnsi="GHEA Grapalat" w:cs="Arial"/>
          <w:color w:val="auto"/>
          <w:szCs w:val="24"/>
          <w:lang w:val="hy-AM"/>
        </w:rPr>
        <w:t>այսուհետ՝ Կոնվենցիաներ</w:t>
      </w:r>
      <w:r>
        <w:rPr>
          <w:rFonts w:ascii="GHEA Grapalat" w:hAnsi="GHEA Grapalat" w:cs="Arial"/>
          <w:color w:val="auto"/>
          <w:szCs w:val="24"/>
          <w:lang w:val="ru-RU"/>
        </w:rPr>
        <w:t>)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և 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Էսպո կոնվենցիայի  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«Ռազմավարական էկոլոգիական գնահատման մասին» արձանագրության կողմ երկիր՝ ունի ՇՄԱԳ և ՌԷԳ գործընթացների վերաբերյալ ազգային օրենսդրությունը վերոնշյալ միջազգային պայմանգրերի պահանջներին համապատասխանեցնելու պարտավորություն։ Նախատեսվող փոփոխությունները ուղղված են </w:t>
      </w:r>
      <w:r>
        <w:rPr>
          <w:rFonts w:ascii="GHEA Grapalat" w:hAnsi="GHEA Grapalat" w:cs="Arial"/>
          <w:color w:val="auto"/>
          <w:szCs w:val="24"/>
          <w:lang w:val="hy-AM"/>
        </w:rPr>
        <w:t>ապահովելու վերոնշյալ միջազգային պայմանագրերի շրջանակներում ՀՀ-ի վերաբերյալ ընդունված կողմերի հանդիպման որոշումների պահանջները, ինչպես նաև Օրենքի կիրարկման ժամանակահատվածում ի հայտ եկած խնդրահարույց իրավակարկավորումների շտկմանը՝ Օրենքի որոշ հոդվածների թյուր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ըմբռնումը բացառելու նպատակով։  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ab/>
        <w:t>«Լիցենզավորման մասին» օրենքում լրացում կատարելու անհրաժեշտությունը պայմանավորված է շ</w:t>
      </w:r>
      <w:r>
        <w:rPr>
          <w:rFonts w:ascii="GHEA Grapalat" w:hAnsi="GHEA Grapalat"/>
          <w:color w:val="000000" w:themeColor="text1"/>
          <w:szCs w:val="24"/>
          <w:lang w:val="hy-AM"/>
        </w:rPr>
        <w:t>րջակա միջավայրի վրա ազդեցության գնահատման կամ ռազմավարական էկոլոգիական գնահատման հաշվետվության մշակման լ</w:t>
      </w:r>
      <w:r>
        <w:rPr>
          <w:rFonts w:ascii="GHEA Grapalat" w:hAnsi="GHEA Grapalat"/>
          <w:szCs w:val="24"/>
          <w:lang w:val="hy-AM"/>
        </w:rPr>
        <w:t>իցենզիայի տրամադրման ժամկետի սահմա</w:t>
      </w:r>
      <w:r>
        <w:rPr>
          <w:rFonts w:ascii="GHEA Grapalat" w:hAnsi="GHEA Grapalat"/>
          <w:szCs w:val="24"/>
          <w:lang w:val="hy-AM"/>
        </w:rPr>
        <w:t>նման անհրաժեշտությամբ։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Գործող</w:t>
      </w:r>
      <w:r>
        <w:rPr>
          <w:rFonts w:ascii="GHEA Grapalat" w:hAnsi="GHEA Grapalat"/>
          <w:szCs w:val="24"/>
          <w:lang w:val="hy-AM"/>
        </w:rPr>
        <w:t xml:space="preserve"> կարգավորումների համաձայն խնդրո առարկա լիցենզիան պետք է տրամադրվի անժամակետ։ 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lastRenderedPageBreak/>
        <w:t>«Պետական տուրքի մասին» օրենքում լրացում կատարելու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անհրաժեշտությունը պայմանավորված է ոչ անտառային հողերում իրականացվող՝ ՇՄԱԳ և փորձաքննության ենթակա ա</w:t>
      </w:r>
      <w:r>
        <w:rPr>
          <w:rFonts w:ascii="GHEA Grapalat" w:hAnsi="GHEA Grapalat" w:cs="Arial"/>
          <w:color w:val="auto"/>
          <w:szCs w:val="24"/>
          <w:lang w:val="hy-AM"/>
        </w:rPr>
        <w:t>նտառապատման ծրագրերը շ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t>րջակա միջավայրի վրա ազդեցության փորձաքննության համար նախատեսված պետական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տուրքից ազատելու անհրաժեշտությունից հաշվի առնելով, որ անտառապատման արդյունքները պետության համար ստեղծում են հավելյալ արժեք՝ նպաստելով կլիայի փոփոխության մեղմման ո</w:t>
      </w:r>
      <w:r>
        <w:rPr>
          <w:rFonts w:ascii="GHEA Grapalat" w:hAnsi="GHEA Grapalat" w:cs="Arial"/>
          <w:color w:val="auto"/>
          <w:szCs w:val="24"/>
          <w:lang w:val="hy-AM"/>
        </w:rPr>
        <w:t>ւղղված երկրի քաղաքականության շրջանակներում ջ</w:t>
      </w:r>
      <w:r>
        <w:rPr>
          <w:rFonts w:ascii="GHEA Grapalat" w:hAnsi="GHEA Grapalat" w:cs="Arial"/>
          <w:lang w:val="hy-AM"/>
        </w:rPr>
        <w:t>երմոցային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գազերի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կրճատմանը։ </w:t>
      </w: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/>
          <w:lang w:val="hy-AM"/>
        </w:rPr>
        <w:t xml:space="preserve">2.1 </w:t>
      </w:r>
      <w:r>
        <w:rPr>
          <w:rFonts w:ascii="GHEA Grapalat" w:hAnsi="GHEA Grapalat"/>
          <w:lang w:val="hy-AM"/>
        </w:rPr>
        <w:t xml:space="preserve">«Շրջակա միջավայրի վրա ազդեցության գնահատման և փորձաքննության մասին» օրենքում փոփոխություններ և լրացումներ կատարելու մասին» օրենքի նախագծով </w:t>
      </w:r>
      <w:r>
        <w:rPr>
          <w:rFonts w:ascii="GHEA Grapalat" w:hAnsi="GHEA Grapalat"/>
          <w:lang w:val="hy-AM"/>
        </w:rPr>
        <w:t>առաջարկվում է վերոնշյալ</w:t>
      </w:r>
      <w:r>
        <w:rPr>
          <w:rFonts w:ascii="GHEA Grapalat" w:hAnsi="GHEA Grapalat"/>
          <w:lang w:val="hy-AM"/>
        </w:rPr>
        <w:t xml:space="preserve"> կոնվենցիաների պահանջներին համապատասխան</w:t>
      </w:r>
      <w:r>
        <w:rPr>
          <w:rFonts w:ascii="GHEA Grapalat" w:hAnsi="GHEA Grapalat" w:cs="Sylfaen"/>
          <w:lang w:val="nb-NO"/>
        </w:rPr>
        <w:t xml:space="preserve"> սահմանել նոր</w:t>
      </w:r>
      <w:r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nb-NO"/>
        </w:rPr>
        <w:t xml:space="preserve"> «հանրություն» հասկացությունը</w:t>
      </w:r>
      <w:r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համապատասխանաբար</w:t>
      </w:r>
      <w:r>
        <w:rPr>
          <w:rFonts w:ascii="GHEA Grapalat" w:hAnsi="GHEA Grapalat" w:cs="Sylfaen"/>
          <w:lang w:val="nb-NO"/>
        </w:rPr>
        <w:t xml:space="preserve"> խմբագրել</w:t>
      </w:r>
      <w:r>
        <w:rPr>
          <w:rFonts w:ascii="GHEA Grapalat" w:hAnsi="GHEA Grapalat" w:cs="Sylfaen"/>
          <w:lang w:val="hy-AM"/>
        </w:rPr>
        <w:t>ով</w:t>
      </w:r>
      <w:r>
        <w:rPr>
          <w:rFonts w:ascii="GHEA Grapalat" w:hAnsi="GHEA Grapalat" w:cs="Sylfaen"/>
          <w:lang w:val="nb-NO"/>
        </w:rPr>
        <w:t xml:space="preserve"> «շահագրգիռ հանրություն» հասկացությունը</w:t>
      </w:r>
      <w:r>
        <w:rPr>
          <w:rFonts w:ascii="GHEA Grapalat" w:hAnsi="GHEA Grapalat" w:cs="Sylfaen"/>
          <w:lang w:val="hy-AM"/>
        </w:rPr>
        <w:t xml:space="preserve"> և դրա հետ կապված իրավակարգավորումները</w:t>
      </w:r>
      <w:r>
        <w:rPr>
          <w:rFonts w:ascii="GHEA Grapalat" w:hAnsi="GHEA Grapalat" w:cs="Sylfaen"/>
          <w:lang w:val="nb-NO"/>
        </w:rPr>
        <w:t xml:space="preserve">։ 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Նախաեսվում է լրամշակել Օչենքի 12-րդ հոդվա</w:t>
      </w:r>
      <w:r>
        <w:rPr>
          <w:rFonts w:ascii="GHEA Grapalat" w:hAnsi="GHEA Grapalat" w:cs="Sylfaen"/>
          <w:lang w:val="hy-AM"/>
        </w:rPr>
        <w:t xml:space="preserve">ծով սահմանված ՇՄԱԳ-ի և փորձաքննության ենթակա գործունեության տեսակները՝ համապատասխանեցնելով Կոնվենցիաների պահանջներին՝ քարտուղարություների կողմից ներկայացված դիտարկումների հիման վրա։ 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eastAsia="GHEA Grapalat" w:hAnsi="GHEA Grapalat" w:cs="GHEA Grapalat"/>
          <w:szCs w:val="24"/>
          <w:lang w:val="hy-AM"/>
        </w:rPr>
      </w:pPr>
      <w:r>
        <w:rPr>
          <w:rFonts w:ascii="GHEA Grapalat" w:eastAsia="GHEA Grapalat" w:hAnsi="GHEA Grapalat" w:cs="GHEA Grapalat"/>
          <w:szCs w:val="24"/>
          <w:lang w:val="hy-AM"/>
        </w:rPr>
        <w:t>Օրենքի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20-</w:t>
      </w:r>
      <w:r>
        <w:rPr>
          <w:rFonts w:ascii="GHEA Grapalat" w:eastAsia="GHEA Grapalat" w:hAnsi="GHEA Grapalat" w:cs="GHEA Grapalat"/>
          <w:szCs w:val="24"/>
          <w:lang w:val="hy-AM"/>
        </w:rPr>
        <w:t>րդ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հոդվածի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վերանայմամբ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պ</w:t>
      </w:r>
      <w:r w:rsidRPr="003B1834">
        <w:rPr>
          <w:rFonts w:ascii="GHEA Grapalat" w:hAnsi="GHEA Grapalat"/>
          <w:bCs/>
          <w:szCs w:val="24"/>
          <w:lang w:val="hy-AM"/>
        </w:rPr>
        <w:t>ետական փորձաքննական դրական եզրակացությո</w:t>
      </w:r>
      <w:r w:rsidRPr="003B1834">
        <w:rPr>
          <w:rFonts w:ascii="GHEA Grapalat" w:hAnsi="GHEA Grapalat"/>
          <w:bCs/>
          <w:szCs w:val="24"/>
          <w:lang w:val="hy-AM"/>
        </w:rPr>
        <w:t>ւնն</w:t>
      </w:r>
      <w:r>
        <w:rPr>
          <w:rFonts w:ascii="GHEA Grapalat" w:hAnsi="GHEA Grapalat"/>
          <w:bCs/>
          <w:szCs w:val="24"/>
          <w:lang w:val="hy-AM"/>
        </w:rPr>
        <w:t xml:space="preserve"> ուժը կորցրաճ կճանաչվի Լիազոր մարմնի կողմից՝ գործող կարգավումներով այն ուժը կորցրած է համարվում օրենքի ուժով։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 w:cs="Arial"/>
          <w:color w:val="auto"/>
          <w:szCs w:val="24"/>
          <w:lang w:val="hy-AM"/>
        </w:rPr>
      </w:pP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Միաժամանակ</w:t>
      </w:r>
      <w:r>
        <w:rPr>
          <w:rFonts w:ascii="GHEA Grapalat" w:eastAsia="GHEA Grapalat" w:hAnsi="GHEA Grapalat" w:cs="GHEA Grapalat"/>
          <w:szCs w:val="24"/>
          <w:lang w:val="hy-AM"/>
        </w:rPr>
        <w:t>,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հիմնադրույթային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նախագծային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փաստաթղթերով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նախատեսվող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գործունեության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իրականացումը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պետական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փորձաքննական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դրական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եզրակացությունն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ստա</w:t>
      </w:r>
      <w:r>
        <w:rPr>
          <w:rFonts w:ascii="GHEA Grapalat" w:eastAsia="GHEA Grapalat" w:hAnsi="GHEA Grapalat" w:cs="GHEA Grapalat"/>
          <w:szCs w:val="24"/>
          <w:lang w:val="hy-AM"/>
        </w:rPr>
        <w:t>նալուց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հետո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չսկսելու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դեպքում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պետական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փորձաքննական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դրական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եզրակացությունն</w:t>
      </w:r>
      <w:r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ուժը</w:t>
      </w:r>
      <w:r>
        <w:rPr>
          <w:rFonts w:ascii="Calibri" w:eastAsia="GHEA Grapalat" w:hAnsi="Calibri" w:cs="Calibri"/>
          <w:szCs w:val="24"/>
          <w:lang w:val="hy-AM"/>
        </w:rPr>
        <w:t> </w:t>
      </w:r>
      <w:r>
        <w:rPr>
          <w:rFonts w:ascii="GHEA Grapalat" w:eastAsia="GHEA Grapalat" w:hAnsi="GHEA Grapalat" w:cs="Calibri"/>
          <w:szCs w:val="24"/>
          <w:lang w:val="hy-AM"/>
        </w:rPr>
        <w:t>կորչրած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ճանաչելու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համար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սահմանված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երկու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տարին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առաջարկվում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է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երկարաձգել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ևս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մեկ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տարով</w:t>
      </w:r>
      <w:r>
        <w:rPr>
          <w:rFonts w:ascii="GHEA Grapalat" w:eastAsia="GHEA Grapalat" w:hAnsi="GHEA Grapalat" w:cs="Calibri"/>
          <w:szCs w:val="24"/>
          <w:lang w:val="hy-AM"/>
        </w:rPr>
        <w:t xml:space="preserve">, </w:t>
      </w:r>
      <w:r>
        <w:rPr>
          <w:rFonts w:ascii="GHEA Grapalat" w:eastAsia="GHEA Grapalat" w:hAnsi="GHEA Grapalat" w:cs="Calibri"/>
          <w:szCs w:val="24"/>
          <w:lang w:val="hy-AM"/>
        </w:rPr>
        <w:t>որն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էլ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պայմանավորված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է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նախաձեռնողի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կողմից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մինչև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գործընթացի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սկսելը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մի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շարք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այլ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թույլատվական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փաստաթղթղերի</w:t>
      </w:r>
      <w:r>
        <w:rPr>
          <w:rFonts w:ascii="GHEA Grapalat" w:eastAsia="GHEA Grapalat" w:hAnsi="GHEA Grapalat" w:cs="Calibri"/>
          <w:szCs w:val="24"/>
          <w:lang w:val="hy-AM"/>
        </w:rPr>
        <w:t xml:space="preserve"> </w:t>
      </w:r>
      <w:r>
        <w:rPr>
          <w:rFonts w:ascii="GHEA Grapalat" w:eastAsia="GHEA Grapalat" w:hAnsi="GHEA Grapalat" w:cs="Calibri"/>
          <w:szCs w:val="24"/>
          <w:lang w:val="hy-AM"/>
        </w:rPr>
        <w:t>ժամանակատարությամբ։</w:t>
      </w:r>
    </w:p>
    <w:p w:rsidR="00E5535B" w:rsidRDefault="003D5193">
      <w:pPr>
        <w:pStyle w:val="ListParagraph"/>
        <w:spacing w:line="360" w:lineRule="auto"/>
        <w:ind w:left="0"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Sylfaen"/>
          <w:lang w:val="nb-NO"/>
        </w:rPr>
        <w:t xml:space="preserve">Առաջարկվում է նաև </w:t>
      </w:r>
      <w:r>
        <w:rPr>
          <w:rFonts w:ascii="GHEA Grapalat" w:hAnsi="GHEA Grapalat" w:cs="Sylfaen"/>
          <w:lang w:val="hy-AM"/>
        </w:rPr>
        <w:t>վերանայլել</w:t>
      </w:r>
      <w:r>
        <w:rPr>
          <w:rFonts w:ascii="GHEA Grapalat" w:hAnsi="GHEA Grapalat" w:cs="Sylfaen"/>
          <w:lang w:val="nb-NO"/>
        </w:rPr>
        <w:t xml:space="preserve"> </w:t>
      </w:r>
      <w:r w:rsidRPr="003B1834">
        <w:rPr>
          <w:rFonts w:ascii="GHEA Grapalat" w:hAnsi="GHEA Grapalat" w:cs="Sylfaen"/>
          <w:lang w:val="hy-AM"/>
        </w:rPr>
        <w:t>ՌԷԳ</w:t>
      </w:r>
      <w:r>
        <w:rPr>
          <w:rFonts w:ascii="GHEA Grapalat" w:hAnsi="GHEA Grapalat" w:cs="Sylfaen"/>
          <w:lang w:val="nb-NO"/>
        </w:rPr>
        <w:t>-</w:t>
      </w:r>
      <w:r w:rsidRPr="003B1834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nb-NO"/>
        </w:rPr>
        <w:t xml:space="preserve"> </w:t>
      </w:r>
      <w:r w:rsidRPr="003B1834">
        <w:rPr>
          <w:rFonts w:ascii="GHEA Grapalat" w:hAnsi="GHEA Grapalat" w:cs="Sylfaen"/>
          <w:lang w:val="hy-AM"/>
        </w:rPr>
        <w:t>ենթակա</w:t>
      </w:r>
      <w:r>
        <w:rPr>
          <w:rFonts w:ascii="GHEA Grapalat" w:hAnsi="GHEA Grapalat" w:cs="Sylfaen"/>
          <w:lang w:val="nb-NO"/>
        </w:rPr>
        <w:t xml:space="preserve"> </w:t>
      </w:r>
      <w:r w:rsidRPr="003B1834">
        <w:rPr>
          <w:rFonts w:ascii="GHEA Grapalat" w:hAnsi="GHEA Grapalat" w:cs="Sylfaen"/>
          <w:lang w:val="hy-AM"/>
        </w:rPr>
        <w:t>հիմնադրույթային</w:t>
      </w:r>
      <w:r>
        <w:rPr>
          <w:rFonts w:ascii="GHEA Grapalat" w:hAnsi="GHEA Grapalat" w:cs="Sylfaen"/>
          <w:lang w:val="nb-NO"/>
        </w:rPr>
        <w:t xml:space="preserve"> </w:t>
      </w:r>
      <w:r w:rsidRPr="003B1834">
        <w:rPr>
          <w:rFonts w:ascii="GHEA Grapalat" w:hAnsi="GHEA Grapalat" w:cs="Sylfaen"/>
          <w:lang w:val="hy-AM"/>
        </w:rPr>
        <w:t>փաստաթղթերի</w:t>
      </w:r>
      <w:r>
        <w:rPr>
          <w:rFonts w:ascii="GHEA Grapalat" w:hAnsi="GHEA Grapalat" w:cs="Sylfaen"/>
          <w:lang w:val="nb-NO"/>
        </w:rPr>
        <w:t xml:space="preserve"> </w:t>
      </w:r>
      <w:r w:rsidRPr="003B1834">
        <w:rPr>
          <w:rFonts w:ascii="GHEA Grapalat" w:hAnsi="GHEA Grapalat" w:cs="Sylfaen"/>
          <w:lang w:val="hy-AM"/>
        </w:rPr>
        <w:t>տեսակների</w:t>
      </w:r>
      <w:r>
        <w:rPr>
          <w:rFonts w:ascii="GHEA Grapalat" w:hAnsi="GHEA Grapalat" w:cs="Sylfaen"/>
          <w:lang w:val="nb-NO"/>
        </w:rPr>
        <w:t xml:space="preserve"> վերաբերյալ 21-րդ հոդվածը՝ հիմք ընդունելով ՄԱԿ-ի ԵՏՀ </w:t>
      </w:r>
      <w:r>
        <w:rPr>
          <w:rFonts w:ascii="GHEA Grapalat" w:hAnsi="GHEA Grapalat" w:cs="Arial"/>
          <w:color w:val="auto"/>
          <w:szCs w:val="24"/>
          <w:lang w:val="hy-AM"/>
        </w:rPr>
        <w:t>«Ռազմավարական էկոլոգիական գնահատման մասին» արձանագրության պահանջները՝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համաձայն որի </w:t>
      </w:r>
      <w:r>
        <w:rPr>
          <w:rFonts w:ascii="GHEA Grapalat" w:hAnsi="GHEA Grapalat" w:cs="GHEA Grapalat"/>
          <w:szCs w:val="24"/>
          <w:lang w:val="hy-AM"/>
        </w:rPr>
        <w:t>ոցիալ-տն</w:t>
      </w:r>
      <w:r>
        <w:rPr>
          <w:rFonts w:ascii="GHEA Grapalat" w:hAnsi="GHEA Grapalat" w:cs="GHEA Grapalat"/>
          <w:szCs w:val="24"/>
          <w:lang w:val="hy-AM"/>
        </w:rPr>
        <w:t xml:space="preserve">տեսական զարգացման, էներգետիկայի, քաղաքաշինության, տրանսպորտի, կապի, </w:t>
      </w:r>
      <w:r>
        <w:rPr>
          <w:rFonts w:ascii="GHEA Grapalat" w:hAnsi="GHEA Grapalat" w:cs="GHEA Grapalat"/>
          <w:szCs w:val="24"/>
          <w:lang w:val="hy-AM"/>
        </w:rPr>
        <w:lastRenderedPageBreak/>
        <w:t>գյուղատնտեսության, զբոսաշրջության, տարածքային զարգացման, ընդերքօգտագործման, արդյունաբերական ճյուղերի, ռեկրեացիայի, անտառատնտեսության, ձկնաբուծության, թափոնների գործածության, ջրային տնտեսու</w:t>
      </w:r>
      <w:r>
        <w:rPr>
          <w:rFonts w:ascii="GHEA Grapalat" w:hAnsi="GHEA Grapalat" w:cs="GHEA Grapalat"/>
          <w:szCs w:val="24"/>
          <w:lang w:val="hy-AM"/>
        </w:rPr>
        <w:t xml:space="preserve">թյան բնագավառներին վերաբերող հիմնադրույթային փաստաթղթերի նախագծերը </w:t>
      </w:r>
      <w:r w:rsidRPr="003B1834">
        <w:rPr>
          <w:rFonts w:ascii="GHEA Grapalat" w:hAnsi="GHEA Grapalat" w:cs="GHEA Grapalat"/>
          <w:szCs w:val="24"/>
          <w:lang w:val="hy-AM"/>
        </w:rPr>
        <w:t>ենթակա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կլինեն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ՌԷԳ-ի </w:t>
      </w:r>
      <w:r w:rsidRPr="003B1834">
        <w:rPr>
          <w:rFonts w:ascii="GHEA Grapalat" w:hAnsi="GHEA Grapalat" w:cs="GHEA Grapalat"/>
          <w:szCs w:val="24"/>
          <w:lang w:val="hy-AM"/>
        </w:rPr>
        <w:t>և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 w:rsidRPr="003B1834">
        <w:rPr>
          <w:rFonts w:ascii="GHEA Grapalat" w:hAnsi="GHEA Grapalat" w:cs="GHEA Grapalat"/>
          <w:szCs w:val="24"/>
          <w:lang w:val="hy-AM"/>
        </w:rPr>
        <w:t>փորձաքննության</w:t>
      </w:r>
      <w:r>
        <w:rPr>
          <w:rFonts w:ascii="GHEA Grapalat" w:hAnsi="GHEA Grapalat" w:cs="GHEA Grapalat"/>
          <w:szCs w:val="24"/>
          <w:lang w:val="hy-AM"/>
        </w:rPr>
        <w:t>,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եթե դրանցով </w:t>
      </w:r>
      <w:r w:rsidRPr="003B1834">
        <w:rPr>
          <w:rFonts w:ascii="GHEA Grapalat" w:hAnsi="GHEA Grapalat" w:cs="GHEA Grapalat"/>
          <w:szCs w:val="24"/>
          <w:lang w:val="hy-AM"/>
        </w:rPr>
        <w:t>սահման</w:t>
      </w:r>
      <w:r>
        <w:rPr>
          <w:rFonts w:ascii="GHEA Grapalat" w:hAnsi="GHEA Grapalat" w:cs="GHEA Grapalat"/>
          <w:szCs w:val="24"/>
          <w:lang w:val="hy-AM"/>
        </w:rPr>
        <w:t>վում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են Էսպո կոնվենցիայի ՌԷԳ արձանագրության 1-ին հավելվածով </w:t>
      </w:r>
      <w:r w:rsidRPr="003B1834">
        <w:rPr>
          <w:rFonts w:ascii="GHEA Grapalat" w:hAnsi="GHEA Grapalat" w:cs="GHEA Grapalat"/>
          <w:szCs w:val="24"/>
          <w:lang w:val="hy-AM"/>
        </w:rPr>
        <w:t>թվարկված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նախագծերի իրականացման հիմքեր կամ 2-րդ հավելվածում թվարկված այն ն</w:t>
      </w:r>
      <w:r>
        <w:rPr>
          <w:rFonts w:ascii="GHEA Grapalat" w:hAnsi="GHEA Grapalat" w:cs="GHEA Grapalat"/>
          <w:szCs w:val="24"/>
          <w:lang w:val="hy-AM"/>
        </w:rPr>
        <w:t xml:space="preserve">ախագծերի </w:t>
      </w:r>
      <w:r w:rsidRPr="003B1834">
        <w:rPr>
          <w:rFonts w:ascii="GHEA Grapalat" w:hAnsi="GHEA Grapalat" w:cs="GHEA Grapalat"/>
          <w:szCs w:val="24"/>
          <w:lang w:val="hy-AM"/>
        </w:rPr>
        <w:t>հիմքեր</w:t>
      </w:r>
      <w:r>
        <w:rPr>
          <w:rFonts w:ascii="GHEA Grapalat" w:hAnsi="GHEA Grapalat" w:cs="GHEA Grapalat"/>
          <w:szCs w:val="24"/>
          <w:lang w:val="hy-AM"/>
        </w:rPr>
        <w:t>, որոնք Օ</w:t>
      </w:r>
      <w:r w:rsidRPr="003B1834">
        <w:rPr>
          <w:rFonts w:ascii="GHEA Grapalat" w:hAnsi="GHEA Grapalat" w:cs="GHEA Grapalat"/>
          <w:szCs w:val="24"/>
          <w:lang w:val="hy-AM"/>
        </w:rPr>
        <w:t>րենքի</w:t>
      </w:r>
      <w:r w:rsidRPr="003B1834">
        <w:rPr>
          <w:rFonts w:ascii="GHEA Grapalat" w:hAnsi="GHEA Grapalat" w:cs="GHEA Grapalat"/>
          <w:szCs w:val="24"/>
          <w:lang w:val="hy-AM"/>
        </w:rPr>
        <w:t xml:space="preserve"> 12-</w:t>
      </w:r>
      <w:r w:rsidRPr="003B1834">
        <w:rPr>
          <w:rFonts w:ascii="GHEA Grapalat" w:hAnsi="GHEA Grapalat" w:cs="GHEA Grapalat"/>
          <w:szCs w:val="24"/>
          <w:lang w:val="hy-AM"/>
        </w:rPr>
        <w:t>րդ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 w:rsidRPr="003B1834">
        <w:rPr>
          <w:rFonts w:ascii="GHEA Grapalat" w:hAnsi="GHEA Grapalat" w:cs="GHEA Grapalat"/>
          <w:szCs w:val="24"/>
          <w:lang w:val="hy-AM"/>
        </w:rPr>
        <w:t>հոդվածի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 w:rsidRPr="003B1834">
        <w:rPr>
          <w:rFonts w:ascii="GHEA Grapalat" w:hAnsi="GHEA Grapalat" w:cs="GHEA Grapalat"/>
          <w:szCs w:val="24"/>
          <w:lang w:val="hy-AM"/>
        </w:rPr>
        <w:t>համաձայն</w:t>
      </w:r>
      <w:r>
        <w:rPr>
          <w:rFonts w:ascii="GHEA Grapalat" w:hAnsi="GHEA Grapalat" w:cs="GHEA Grapalat"/>
          <w:szCs w:val="24"/>
          <w:lang w:val="hy-AM"/>
        </w:rPr>
        <w:t xml:space="preserve"> ենթակա են շրջակա միջավայրի վրա ազդեցության գնահատման և փորձաքննության: </w:t>
      </w:r>
    </w:p>
    <w:p w:rsidR="00E5535B" w:rsidRDefault="003D5193">
      <w:pPr>
        <w:pStyle w:val="ListParagraph"/>
        <w:spacing w:line="360" w:lineRule="auto"/>
        <w:ind w:left="0"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 xml:space="preserve">Գործող կարգավորումների համաձայն նշված ոլորտներում հիմնադրույթային փաստաթղթերի նախագծերը </w:t>
      </w:r>
      <w:r w:rsidRPr="003B1834">
        <w:rPr>
          <w:rFonts w:ascii="GHEA Grapalat" w:hAnsi="GHEA Grapalat" w:cs="GHEA Grapalat"/>
          <w:szCs w:val="24"/>
          <w:lang w:val="hy-AM"/>
        </w:rPr>
        <w:t>ենթակա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են ՌԷԳ-ի </w:t>
      </w:r>
      <w:r w:rsidRPr="003B1834">
        <w:rPr>
          <w:rFonts w:ascii="GHEA Grapalat" w:hAnsi="GHEA Grapalat" w:cs="GHEA Grapalat"/>
          <w:szCs w:val="24"/>
          <w:lang w:val="hy-AM"/>
        </w:rPr>
        <w:t>և</w:t>
      </w:r>
      <w:r w:rsidRPr="003B1834">
        <w:rPr>
          <w:rFonts w:ascii="GHEA Grapalat" w:hAnsi="GHEA Grapalat" w:cs="GHEA Grapalat"/>
          <w:szCs w:val="24"/>
          <w:lang w:val="hy-AM"/>
        </w:rPr>
        <w:t xml:space="preserve"> </w:t>
      </w:r>
      <w:r w:rsidRPr="003B1834">
        <w:rPr>
          <w:rFonts w:ascii="GHEA Grapalat" w:hAnsi="GHEA Grapalat" w:cs="GHEA Grapalat"/>
          <w:szCs w:val="24"/>
          <w:lang w:val="hy-AM"/>
        </w:rPr>
        <w:t>փորձաքննության</w:t>
      </w:r>
      <w:r>
        <w:rPr>
          <w:rFonts w:ascii="GHEA Grapalat" w:hAnsi="GHEA Grapalat" w:cs="GHEA Grapalat"/>
          <w:szCs w:val="24"/>
          <w:lang w:val="hy-AM"/>
        </w:rPr>
        <w:t xml:space="preserve">, եթե </w:t>
      </w:r>
      <w:r>
        <w:rPr>
          <w:rFonts w:ascii="GHEA Grapalat" w:hAnsi="GHEA Grapalat" w:cs="GHEA Grapalat"/>
          <w:szCs w:val="24"/>
          <w:lang w:val="hy-AM"/>
        </w:rPr>
        <w:t>պարունակում են ինչպես Օրենքի 12-րդ հոդվածով, այնպես էլ ՌԷԳ արձանագրության 1-ին և 2-րդ հավելվածներով սահմանված գործունեության տեսակների հիմքեր։ Նշված մոտեցմամբ կկրճատվեն ՌԷԳ-ի և փորձաքննության ենթակա հիմնադրույթային փաստաթղթղերի նախգծերը։</w:t>
      </w:r>
    </w:p>
    <w:p w:rsidR="00E5535B" w:rsidRDefault="003D5193">
      <w:pPr>
        <w:pStyle w:val="ListParagraph"/>
        <w:spacing w:line="360" w:lineRule="auto"/>
        <w:ind w:left="0"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Միաժամանակ, առաջար</w:t>
      </w:r>
      <w:r>
        <w:rPr>
          <w:rFonts w:ascii="GHEA Grapalat" w:hAnsi="GHEA Grapalat" w:cs="GHEA Grapalat"/>
          <w:szCs w:val="24"/>
          <w:lang w:val="hy-AM"/>
        </w:rPr>
        <w:t xml:space="preserve">կվող կարգավորման արդյունքում այն նախագծերի մասով, որոնց ՌԷԳ և փորձաքննությունը պարտադիր չեն, ենթակա լինելու հարցը կորոշվի Լիազոր մարմնի կողմից՝ Առողջապահության նախարարության հետ համատեղ խորհրդակցությունների արդյունքով՝ Կառավարության կողմից հաստատված 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>կարգին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>համապատասխան։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 xml:space="preserve"> </w:t>
      </w:r>
    </w:p>
    <w:p w:rsidR="00E5535B" w:rsidRDefault="003D5193">
      <w:pPr>
        <w:pStyle w:val="ListParagraph"/>
        <w:spacing w:line="360" w:lineRule="auto"/>
        <w:ind w:left="0"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>Հիմք ընդունելով Էսպո կոնվինցիայի պահանջները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, սահմանվել են նոր կարգավորումներ այն դեպքերի համար, երբ 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>նախատեսվող գործունեության զգալի անդրսահմանային ազդեցության վերաբերյալ լրացուցիչ տեղեկատվությունը, որն առկա չի եղել պետական փորձաքննական եզրա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 xml:space="preserve">կացության տրամադրման պահին և որը կարող էր զգալիորեն ազդել այդ եզրակացության վրա, հայտնի է դառնում Լիազոր մարմնին այդ գործունեության իրականացումը սկսելուց առաջ։ 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 w:cs="Arial"/>
          <w:color w:val="auto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 xml:space="preserve">  Առաջարկվում է նաև Օրենքի մի շարք հոդվածներում կատարել տեխնիկական փոփոխություններ՝ Օրենքի որոշ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հոդվածների թյուրըմբռնումը բացառելու նպատակով։ 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 xml:space="preserve">2.2 </w:t>
      </w:r>
      <w:r>
        <w:rPr>
          <w:rFonts w:ascii="GHEA Grapalat" w:hAnsi="GHEA Grapalat" w:cs="Arial"/>
          <w:color w:val="auto"/>
          <w:szCs w:val="24"/>
          <w:lang w:val="hy-AM"/>
        </w:rPr>
        <w:t>«Լիցենզավորման մասին» օրենքում լրացում կատարելու մասին» օրենքի նախագծող առաջարկվում է սահմանել շ</w:t>
      </w:r>
      <w:r>
        <w:rPr>
          <w:rFonts w:ascii="GHEA Grapalat" w:hAnsi="GHEA Grapalat"/>
          <w:color w:val="000000" w:themeColor="text1"/>
          <w:szCs w:val="24"/>
          <w:lang w:val="hy-AM"/>
        </w:rPr>
        <w:t xml:space="preserve">րջակա միջավայրի վրա ազդեցության գնահատման կամ </w:t>
      </w:r>
      <w:r>
        <w:rPr>
          <w:rFonts w:ascii="GHEA Grapalat" w:hAnsi="GHEA Grapalat"/>
          <w:color w:val="000000" w:themeColor="text1"/>
          <w:szCs w:val="24"/>
          <w:lang w:val="hy-AM"/>
        </w:rPr>
        <w:lastRenderedPageBreak/>
        <w:t>ռազմավարական էկոլոգիական գնահատման հաշվետվության մշակման լ</w:t>
      </w:r>
      <w:r>
        <w:rPr>
          <w:rFonts w:ascii="GHEA Grapalat" w:hAnsi="GHEA Grapalat"/>
          <w:szCs w:val="24"/>
          <w:lang w:val="hy-AM"/>
        </w:rPr>
        <w:t>իցեն</w:t>
      </w:r>
      <w:r>
        <w:rPr>
          <w:rFonts w:ascii="GHEA Grapalat" w:hAnsi="GHEA Grapalat"/>
          <w:szCs w:val="24"/>
          <w:lang w:val="hy-AM"/>
        </w:rPr>
        <w:t>զիայի տրամադրման ժամկետ՝ 5 տարի։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2.3 </w:t>
      </w:r>
      <w:r>
        <w:rPr>
          <w:rFonts w:ascii="GHEA Grapalat" w:hAnsi="GHEA Grapalat" w:cs="Arial"/>
          <w:color w:val="auto"/>
          <w:szCs w:val="24"/>
          <w:lang w:val="hy-AM"/>
        </w:rPr>
        <w:t>«Պետական տուրքի մասի» օրենքում լրացում կատարելու մասին» օրենքի նախագծող առաջարկվում է սահմանել պետական տուրքի արտոնություն՝ անտառապատման ծրագրերի ՇՄԱԳ և փորձաքննության համար։</w:t>
      </w:r>
    </w:p>
    <w:p w:rsidR="00E5535B" w:rsidRDefault="00E5535B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/>
          <w:lang w:val="hy-AM"/>
        </w:rPr>
      </w:pP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3. Նախագծի մշակման գործընթացում ներգրավված </w:t>
      </w:r>
      <w:r>
        <w:rPr>
          <w:rFonts w:ascii="GHEA Grapalat" w:hAnsi="GHEA Grapalat"/>
          <w:b/>
          <w:lang w:val="hy-AM"/>
        </w:rPr>
        <w:t>ինստիտուտները</w:t>
      </w: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«Շրջակա միջավայրի վրա ազդեցության գնահատման և փորձաքննության մասին» օրենքում փոփոխություններ և լրացումներ կատարելու մասին» և  </w:t>
      </w:r>
      <w:r>
        <w:rPr>
          <w:rFonts w:ascii="GHEA Grapalat" w:hAnsi="GHEA Grapalat" w:cs="Arial"/>
          <w:lang w:val="hy-AM"/>
        </w:rPr>
        <w:t xml:space="preserve">«Լիցենզավորման մասին» օրենքում լրացում կատարելու մասին» </w:t>
      </w:r>
      <w:r>
        <w:rPr>
          <w:rFonts w:ascii="GHEA Grapalat" w:hAnsi="GHEA Grapalat"/>
          <w:lang w:val="hy-AM"/>
        </w:rPr>
        <w:t>օրենքների նախագծերը մշակվել են շրջակա միջավայրի նախարարությա</w:t>
      </w:r>
      <w:r>
        <w:rPr>
          <w:rFonts w:ascii="GHEA Grapalat" w:hAnsi="GHEA Grapalat"/>
          <w:lang w:val="hy-AM"/>
        </w:rPr>
        <w:t>ն կողմից:</w:t>
      </w:r>
    </w:p>
    <w:p w:rsidR="00E5535B" w:rsidRDefault="00E5535B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/>
          <w:b/>
          <w:lang w:val="hy-AM"/>
        </w:rPr>
      </w:pP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4. Ակնկալվող արդյունքը</w:t>
      </w:r>
    </w:p>
    <w:p w:rsidR="00E5535B" w:rsidRDefault="003D5193">
      <w:pPr>
        <w:spacing w:line="360" w:lineRule="auto"/>
        <w:ind w:firstLineChars="200" w:firstLine="48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/>
          <w:szCs w:val="24"/>
          <w:lang w:val="hy-AM"/>
        </w:rPr>
        <w:t xml:space="preserve">«Շրջակա միջավայրի վրա ազդեցության գնահատման և փորձաքննության մասին» օրենքում փոփոխություններ և լրացումներ կատարելու մասին» </w:t>
      </w:r>
      <w:r>
        <w:rPr>
          <w:rFonts w:ascii="GHEA Grapalat" w:hAnsi="GHEA Grapalat"/>
          <w:lang w:val="hy-AM"/>
        </w:rPr>
        <w:t xml:space="preserve">և  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«Լիցենզավորման մասին» օրենքում լրացում կատարելու մասին» </w:t>
      </w:r>
      <w:r>
        <w:rPr>
          <w:rFonts w:ascii="GHEA Grapalat" w:hAnsi="GHEA Grapalat"/>
          <w:lang w:val="hy-AM"/>
        </w:rPr>
        <w:t xml:space="preserve">օրենքների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Cs w:val="24"/>
          <w:lang w:val="hy-AM"/>
        </w:rPr>
        <w:t>ընդունումը հնարավորություն կ</w:t>
      </w:r>
      <w:r>
        <w:rPr>
          <w:rStyle w:val="Strong"/>
          <w:rFonts w:ascii="GHEA Grapalat" w:hAnsi="GHEA Grapalat" w:cs="Sylfaen"/>
          <w:b w:val="0"/>
          <w:szCs w:val="24"/>
          <w:lang w:val="hy-AM"/>
        </w:rPr>
        <w:t>տա ապահովելու միջազգային պայմանագրերով ՀՀ կողմից ստանձնած պարտավորությունները, ինչպես նաև կբերի շ</w:t>
      </w:r>
      <w:r>
        <w:rPr>
          <w:rFonts w:ascii="GHEA Grapalat" w:hAnsi="GHEA Grapalat" w:cs="Sylfaen"/>
          <w:szCs w:val="24"/>
          <w:lang w:val="hy-AM"/>
        </w:rPr>
        <w:t>րջակա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միջավայրի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վրա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ազդեցության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գնահատման և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փորձաքննության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գործընթացի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արդյունավետության</w:t>
      </w:r>
      <w:r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բարձրացմանը և շրջակա միջավայրի վիճակի բարելավմանը։ </w:t>
      </w:r>
    </w:p>
    <w:p w:rsidR="00E5535B" w:rsidRDefault="00E5535B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Sylfaen"/>
          <w:b/>
          <w:lang w:val="hy-AM"/>
        </w:rPr>
      </w:pP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5. Լրացուցիչ </w:t>
      </w:r>
      <w:r>
        <w:rPr>
          <w:rFonts w:ascii="GHEA Grapalat" w:hAnsi="GHEA Grapalat" w:cs="Sylfaen"/>
          <w:b/>
          <w:lang w:val="hy-AM"/>
        </w:rPr>
        <w:t>ֆինանսական միջոցների անհրաժեշտությունը և պետական բյուջեի եկամուտներում և ծախսերում սպասվելիք փոփոխությունները</w:t>
      </w: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 xml:space="preserve">Շրջակա միջավայրի վրա ազդեցության գնահատման և փորձաքննության մասին» օրենքում փոփոխություններ և լրացումներ կատարելու մասին» և  </w:t>
      </w:r>
      <w:r>
        <w:rPr>
          <w:rFonts w:ascii="GHEA Grapalat" w:hAnsi="GHEA Grapalat" w:cs="Arial"/>
          <w:lang w:val="hy-AM"/>
        </w:rPr>
        <w:t>«Լիցենզավորման մասին</w:t>
      </w:r>
      <w:r>
        <w:rPr>
          <w:rFonts w:ascii="GHEA Grapalat" w:hAnsi="GHEA Grapalat" w:cs="Arial"/>
          <w:lang w:val="hy-AM"/>
        </w:rPr>
        <w:t xml:space="preserve">» օրենքում լրացում կատարելու մասին» </w:t>
      </w:r>
      <w:r>
        <w:rPr>
          <w:rFonts w:ascii="GHEA Grapalat" w:hAnsi="GHEA Grapalat"/>
          <w:lang w:val="hy-AM"/>
        </w:rPr>
        <w:t xml:space="preserve">օրենքների </w:t>
      </w:r>
      <w:r>
        <w:rPr>
          <w:rFonts w:ascii="GHEA Grapalat" w:hAnsi="GHEA Grapalat" w:cs="Sylfaen"/>
          <w:lang w:val="hy-AM"/>
        </w:rPr>
        <w:t>ընդունմամբ պետական բյուջեի եկամուտներում և ծախսերում էական փոփոխություններ չեն ակնկալվում։</w:t>
      </w:r>
    </w:p>
    <w:p w:rsidR="00E5535B" w:rsidRDefault="00E5535B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Sylfaen"/>
          <w:lang w:val="hy-AM"/>
        </w:rPr>
      </w:pPr>
    </w:p>
    <w:p w:rsidR="00E5535B" w:rsidRDefault="003D5193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6. Կապը ռազմավարական փաստաթղթերի հետ</w:t>
      </w:r>
      <w:r>
        <w:rPr>
          <w:rFonts w:ascii="GHEA Grapalat" w:hAnsi="GHEA Grapalat" w:cs="Sylfaen"/>
          <w:lang w:val="hy-AM"/>
        </w:rPr>
        <w:t xml:space="preserve"> </w:t>
      </w:r>
    </w:p>
    <w:p w:rsidR="00E5535B" w:rsidRPr="003B1834" w:rsidRDefault="003D5193">
      <w:pPr>
        <w:pStyle w:val="Bodytext2"/>
        <w:shd w:val="clear" w:color="auto" w:fill="auto"/>
        <w:spacing w:line="360" w:lineRule="auto"/>
        <w:ind w:firstLineChars="200" w:firstLine="4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Նախագծի մշակումը բխում է Կառավարության 2021 </w:t>
      </w:r>
      <w:r>
        <w:rPr>
          <w:rFonts w:ascii="GHEA Grapalat" w:hAnsi="GHEA Grapalat" w:cs="Arial"/>
          <w:sz w:val="24"/>
          <w:szCs w:val="24"/>
          <w:lang w:val="hy-AM" w:eastAsia="hy-AM"/>
        </w:rPr>
        <w:t>օգոստոսի 8-ի  N 1363 որոշմ</w:t>
      </w:r>
      <w:r>
        <w:rPr>
          <w:rFonts w:ascii="GHEA Grapalat" w:hAnsi="GHEA Grapalat" w:cs="Arial"/>
          <w:sz w:val="24"/>
          <w:szCs w:val="24"/>
          <w:lang w:val="hy-AM" w:eastAsia="hy-AM"/>
        </w:rPr>
        <w:t>ամբ</w:t>
      </w:r>
      <w:r w:rsidRPr="003B1834">
        <w:rPr>
          <w:rFonts w:ascii="GHEA Grapalat" w:hAnsi="GHEA Grapalat" w:cs="Arial"/>
          <w:sz w:val="24"/>
          <w:szCs w:val="24"/>
          <w:lang w:val="hy-AM" w:eastAsia="hy-AM"/>
        </w:rPr>
        <w:t xml:space="preserve"> հաստավ</w:t>
      </w:r>
      <w:r w:rsidRPr="003B1834">
        <w:rPr>
          <w:rFonts w:ascii="GHEA Grapalat" w:hAnsi="GHEA Grapalat" w:cs="Arial"/>
          <w:sz w:val="24"/>
          <w:szCs w:val="24"/>
          <w:lang w:val="hy-AM" w:eastAsia="hy-AM"/>
        </w:rPr>
        <w:t>ած «</w:t>
      </w:r>
      <w:r>
        <w:rPr>
          <w:rFonts w:ascii="GHEA Grapalat" w:hAnsi="GHEA Grapalat" w:cs="Arial"/>
          <w:sz w:val="24"/>
          <w:szCs w:val="24"/>
          <w:lang w:val="hy-AM" w:eastAsia="hy-AM"/>
        </w:rPr>
        <w:t>ՀՀ</w:t>
      </w:r>
      <w:r w:rsidRPr="003B1834">
        <w:rPr>
          <w:rFonts w:ascii="GHEA Grapalat" w:hAnsi="GHEA Grapalat" w:cs="Arial"/>
          <w:sz w:val="24"/>
          <w:szCs w:val="24"/>
          <w:lang w:val="hy-AM" w:eastAsia="hy-AM"/>
        </w:rPr>
        <w:t xml:space="preserve"> կառավարության 2021-2026թթ․ ծրագրի»  </w:t>
      </w:r>
      <w:r>
        <w:rPr>
          <w:rFonts w:ascii="GHEA Grapalat" w:hAnsi="GHEA Grapalat" w:cs="Arial"/>
          <w:sz w:val="24"/>
          <w:szCs w:val="24"/>
          <w:lang w:val="hy-AM" w:eastAsia="hy-AM"/>
        </w:rPr>
        <w:t>4.10 ՇՐՋԱԿԱ ՄԻՋԱՎԱՅՐԻ ՊԱՀՊԱՆՈՒԹՅՈՒՆ</w:t>
      </w:r>
      <w:r w:rsidRPr="003B1834">
        <w:rPr>
          <w:rFonts w:ascii="GHEA Grapalat" w:hAnsi="GHEA Grapalat" w:cs="Arial"/>
          <w:sz w:val="24"/>
          <w:szCs w:val="24"/>
          <w:lang w:val="hy-AM" w:eastAsia="hy-AM"/>
        </w:rPr>
        <w:t>» բաժնի «</w:t>
      </w:r>
      <w:r w:rsidRPr="003B1834">
        <w:rPr>
          <w:rStyle w:val="Bodytext20"/>
          <w:rFonts w:ascii="GHEA Grapalat" w:hAnsi="GHEA Grapalat"/>
          <w:color w:val="000000"/>
          <w:sz w:val="24"/>
          <w:szCs w:val="24"/>
          <w:lang w:val="hy-AM" w:eastAsia="hy-AM"/>
        </w:rPr>
        <w:t xml:space="preserve">շրջակա միջավայրի վրա ազդեցության գնահատման և փորձաքննության համակարգի կատարելագործում՝ հիմնված կանխարգելման սկզբունքի վրա, փորձաքննության որակի բարձրացմանն ուղղված </w:t>
      </w:r>
      <w:r w:rsidRPr="003B1834">
        <w:rPr>
          <w:rStyle w:val="Bodytext20"/>
          <w:rFonts w:ascii="GHEA Grapalat" w:hAnsi="GHEA Grapalat"/>
          <w:color w:val="000000"/>
          <w:sz w:val="24"/>
          <w:szCs w:val="24"/>
          <w:lang w:val="hy-AM" w:eastAsia="hy-AM"/>
        </w:rPr>
        <w:t>գործուն մեխանիզմների ներդրմամբ,</w:t>
      </w:r>
      <w:r w:rsidRPr="003B1834">
        <w:rPr>
          <w:rStyle w:val="Bodytext20"/>
          <w:rFonts w:ascii="GHEA Grapalat" w:hAnsi="GHEA Grapalat"/>
          <w:color w:val="000000"/>
          <w:sz w:val="24"/>
          <w:szCs w:val="24"/>
          <w:lang w:val="hy-AM" w:eastAsia="hy-AM"/>
        </w:rPr>
        <w:t>» առաջնահերթ ուղղությունից</w:t>
      </w:r>
    </w:p>
    <w:p w:rsidR="00E5535B" w:rsidRPr="003B1834" w:rsidRDefault="00E5535B">
      <w:pPr>
        <w:pStyle w:val="Bodytext3"/>
        <w:shd w:val="clear" w:color="auto" w:fill="auto"/>
        <w:spacing w:before="0" w:after="0" w:line="360" w:lineRule="auto"/>
        <w:ind w:firstLineChars="200" w:firstLine="480"/>
        <w:rPr>
          <w:rFonts w:ascii="GHEA Grapalat" w:hAnsi="GHEA Grapalat" w:cs="Arial"/>
          <w:b w:val="0"/>
          <w:bCs w:val="0"/>
          <w:sz w:val="24"/>
          <w:szCs w:val="24"/>
          <w:lang w:val="hy-AM"/>
        </w:rPr>
      </w:pPr>
    </w:p>
    <w:p w:rsidR="00E5535B" w:rsidRDefault="00E5535B">
      <w:pPr>
        <w:pStyle w:val="BodyText"/>
        <w:ind w:leftChars="6" w:left="14" w:firstLineChars="193" w:firstLine="463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</w:p>
    <w:p w:rsidR="00E5535B" w:rsidRDefault="00E5535B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Sylfaen"/>
          <w:lang w:val="hy-AM"/>
        </w:rPr>
      </w:pPr>
    </w:p>
    <w:sectPr w:rsidR="00E5535B">
      <w:pgSz w:w="12240" w:h="15840"/>
      <w:pgMar w:top="567" w:right="851" w:bottom="567" w:left="8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93" w:rsidRDefault="003D5193">
      <w:r>
        <w:separator/>
      </w:r>
    </w:p>
  </w:endnote>
  <w:endnote w:type="continuationSeparator" w:id="0">
    <w:p w:rsidR="003D5193" w:rsidRDefault="003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93" w:rsidRDefault="003D5193">
      <w:r>
        <w:separator/>
      </w:r>
    </w:p>
  </w:footnote>
  <w:footnote w:type="continuationSeparator" w:id="0">
    <w:p w:rsidR="003D5193" w:rsidRDefault="003D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DB"/>
    <w:rsid w:val="0000368E"/>
    <w:rsid w:val="00005D89"/>
    <w:rsid w:val="00012150"/>
    <w:rsid w:val="00021B25"/>
    <w:rsid w:val="00023AE5"/>
    <w:rsid w:val="00025F83"/>
    <w:rsid w:val="00027FBA"/>
    <w:rsid w:val="000315A0"/>
    <w:rsid w:val="00033146"/>
    <w:rsid w:val="00041B85"/>
    <w:rsid w:val="0004539E"/>
    <w:rsid w:val="00045AE6"/>
    <w:rsid w:val="000479DA"/>
    <w:rsid w:val="00085D5A"/>
    <w:rsid w:val="00087E75"/>
    <w:rsid w:val="000C10F1"/>
    <w:rsid w:val="000C7874"/>
    <w:rsid w:val="000E42CF"/>
    <w:rsid w:val="000E45F8"/>
    <w:rsid w:val="000F3A64"/>
    <w:rsid w:val="00110D06"/>
    <w:rsid w:val="001264BF"/>
    <w:rsid w:val="00150069"/>
    <w:rsid w:val="001534E2"/>
    <w:rsid w:val="00162273"/>
    <w:rsid w:val="0016608F"/>
    <w:rsid w:val="00191E7C"/>
    <w:rsid w:val="001926DE"/>
    <w:rsid w:val="00193E34"/>
    <w:rsid w:val="001A139B"/>
    <w:rsid w:val="001B545D"/>
    <w:rsid w:val="001B7ACC"/>
    <w:rsid w:val="001C5A0B"/>
    <w:rsid w:val="001F6B42"/>
    <w:rsid w:val="00210157"/>
    <w:rsid w:val="0022376E"/>
    <w:rsid w:val="0022696A"/>
    <w:rsid w:val="00247BCE"/>
    <w:rsid w:val="00263BEE"/>
    <w:rsid w:val="00276443"/>
    <w:rsid w:val="00282820"/>
    <w:rsid w:val="00283EB9"/>
    <w:rsid w:val="002C7479"/>
    <w:rsid w:val="002D0730"/>
    <w:rsid w:val="002F4252"/>
    <w:rsid w:val="00306ACB"/>
    <w:rsid w:val="003630A7"/>
    <w:rsid w:val="0037540D"/>
    <w:rsid w:val="0037573D"/>
    <w:rsid w:val="00395DF5"/>
    <w:rsid w:val="00396BA1"/>
    <w:rsid w:val="003979C5"/>
    <w:rsid w:val="003A0415"/>
    <w:rsid w:val="003B0A9B"/>
    <w:rsid w:val="003B1834"/>
    <w:rsid w:val="003B2784"/>
    <w:rsid w:val="003B41EE"/>
    <w:rsid w:val="003C05E6"/>
    <w:rsid w:val="003C2F9D"/>
    <w:rsid w:val="003C6C54"/>
    <w:rsid w:val="003D20C1"/>
    <w:rsid w:val="003D294D"/>
    <w:rsid w:val="003D5193"/>
    <w:rsid w:val="003D74CC"/>
    <w:rsid w:val="003D75B0"/>
    <w:rsid w:val="003D7F68"/>
    <w:rsid w:val="003E70FC"/>
    <w:rsid w:val="003F3503"/>
    <w:rsid w:val="004101C4"/>
    <w:rsid w:val="004164B4"/>
    <w:rsid w:val="00423C5B"/>
    <w:rsid w:val="00426E63"/>
    <w:rsid w:val="00447884"/>
    <w:rsid w:val="00473D65"/>
    <w:rsid w:val="004B6FAD"/>
    <w:rsid w:val="004C7E05"/>
    <w:rsid w:val="004D0C36"/>
    <w:rsid w:val="004E369C"/>
    <w:rsid w:val="004E69A8"/>
    <w:rsid w:val="004F6386"/>
    <w:rsid w:val="004F6E34"/>
    <w:rsid w:val="00506CA4"/>
    <w:rsid w:val="00521DC8"/>
    <w:rsid w:val="005350FE"/>
    <w:rsid w:val="005369D6"/>
    <w:rsid w:val="00536FA0"/>
    <w:rsid w:val="00561940"/>
    <w:rsid w:val="00574090"/>
    <w:rsid w:val="00576CFC"/>
    <w:rsid w:val="005950F5"/>
    <w:rsid w:val="005B11BC"/>
    <w:rsid w:val="005B5C1D"/>
    <w:rsid w:val="005D24E4"/>
    <w:rsid w:val="005D3003"/>
    <w:rsid w:val="00602F0C"/>
    <w:rsid w:val="00614FDF"/>
    <w:rsid w:val="00623E5C"/>
    <w:rsid w:val="00653EA0"/>
    <w:rsid w:val="006551E2"/>
    <w:rsid w:val="00662700"/>
    <w:rsid w:val="00665C68"/>
    <w:rsid w:val="0066645C"/>
    <w:rsid w:val="00672662"/>
    <w:rsid w:val="0069626F"/>
    <w:rsid w:val="006B11B1"/>
    <w:rsid w:val="006F5F7A"/>
    <w:rsid w:val="006F6C90"/>
    <w:rsid w:val="00704CEB"/>
    <w:rsid w:val="00704E94"/>
    <w:rsid w:val="00705874"/>
    <w:rsid w:val="00713B0E"/>
    <w:rsid w:val="00734688"/>
    <w:rsid w:val="00735A94"/>
    <w:rsid w:val="00751195"/>
    <w:rsid w:val="00764661"/>
    <w:rsid w:val="00783BAC"/>
    <w:rsid w:val="007A3AA2"/>
    <w:rsid w:val="007A51EB"/>
    <w:rsid w:val="007A76C3"/>
    <w:rsid w:val="007B044F"/>
    <w:rsid w:val="007B2F8C"/>
    <w:rsid w:val="007B4ADB"/>
    <w:rsid w:val="007D2A45"/>
    <w:rsid w:val="007E7BAD"/>
    <w:rsid w:val="0081743C"/>
    <w:rsid w:val="008357F4"/>
    <w:rsid w:val="00846C6B"/>
    <w:rsid w:val="00856EE3"/>
    <w:rsid w:val="00872D60"/>
    <w:rsid w:val="00873E13"/>
    <w:rsid w:val="00883075"/>
    <w:rsid w:val="008913D7"/>
    <w:rsid w:val="008933B7"/>
    <w:rsid w:val="008B7FB3"/>
    <w:rsid w:val="008C2562"/>
    <w:rsid w:val="008D3D90"/>
    <w:rsid w:val="009106E1"/>
    <w:rsid w:val="00910CD8"/>
    <w:rsid w:val="009278C9"/>
    <w:rsid w:val="00932779"/>
    <w:rsid w:val="00946038"/>
    <w:rsid w:val="009623E7"/>
    <w:rsid w:val="00963ABE"/>
    <w:rsid w:val="0096556E"/>
    <w:rsid w:val="00974853"/>
    <w:rsid w:val="00983AF4"/>
    <w:rsid w:val="0098638A"/>
    <w:rsid w:val="009952A8"/>
    <w:rsid w:val="009A50C2"/>
    <w:rsid w:val="009C4903"/>
    <w:rsid w:val="009C696C"/>
    <w:rsid w:val="009E08B6"/>
    <w:rsid w:val="009E1906"/>
    <w:rsid w:val="009F3AD1"/>
    <w:rsid w:val="009F47AB"/>
    <w:rsid w:val="00A0109F"/>
    <w:rsid w:val="00A27A0F"/>
    <w:rsid w:val="00A419E5"/>
    <w:rsid w:val="00A45B6F"/>
    <w:rsid w:val="00A55978"/>
    <w:rsid w:val="00A6471F"/>
    <w:rsid w:val="00A73A74"/>
    <w:rsid w:val="00A81E99"/>
    <w:rsid w:val="00A87424"/>
    <w:rsid w:val="00A92768"/>
    <w:rsid w:val="00A971C7"/>
    <w:rsid w:val="00AA1A02"/>
    <w:rsid w:val="00AE1CE2"/>
    <w:rsid w:val="00AE519A"/>
    <w:rsid w:val="00AE70C8"/>
    <w:rsid w:val="00AF401E"/>
    <w:rsid w:val="00B047B8"/>
    <w:rsid w:val="00B11E48"/>
    <w:rsid w:val="00B171AA"/>
    <w:rsid w:val="00B20DDE"/>
    <w:rsid w:val="00B729F4"/>
    <w:rsid w:val="00B76DD3"/>
    <w:rsid w:val="00B92A4C"/>
    <w:rsid w:val="00BA68C4"/>
    <w:rsid w:val="00BB7266"/>
    <w:rsid w:val="00BC3151"/>
    <w:rsid w:val="00BD41B8"/>
    <w:rsid w:val="00BD6F53"/>
    <w:rsid w:val="00BE4DEF"/>
    <w:rsid w:val="00BE527D"/>
    <w:rsid w:val="00BF1D57"/>
    <w:rsid w:val="00C0266E"/>
    <w:rsid w:val="00C27447"/>
    <w:rsid w:val="00C51FB4"/>
    <w:rsid w:val="00C74F36"/>
    <w:rsid w:val="00C8032B"/>
    <w:rsid w:val="00CA518E"/>
    <w:rsid w:val="00CB3A27"/>
    <w:rsid w:val="00CB51EA"/>
    <w:rsid w:val="00CC7ADF"/>
    <w:rsid w:val="00CD01C9"/>
    <w:rsid w:val="00CE0BFD"/>
    <w:rsid w:val="00CE3AE1"/>
    <w:rsid w:val="00CF0E00"/>
    <w:rsid w:val="00CF6590"/>
    <w:rsid w:val="00D1530B"/>
    <w:rsid w:val="00D26156"/>
    <w:rsid w:val="00D2624B"/>
    <w:rsid w:val="00D36C20"/>
    <w:rsid w:val="00D53ABC"/>
    <w:rsid w:val="00D578DC"/>
    <w:rsid w:val="00D604B3"/>
    <w:rsid w:val="00D707AB"/>
    <w:rsid w:val="00D7256C"/>
    <w:rsid w:val="00D74DD9"/>
    <w:rsid w:val="00D76242"/>
    <w:rsid w:val="00D778C8"/>
    <w:rsid w:val="00D82C65"/>
    <w:rsid w:val="00D8322C"/>
    <w:rsid w:val="00D93A02"/>
    <w:rsid w:val="00DA6322"/>
    <w:rsid w:val="00DB42F2"/>
    <w:rsid w:val="00DD0D3D"/>
    <w:rsid w:val="00E1559A"/>
    <w:rsid w:val="00E17DFB"/>
    <w:rsid w:val="00E21C69"/>
    <w:rsid w:val="00E5535B"/>
    <w:rsid w:val="00E55FFC"/>
    <w:rsid w:val="00E615B9"/>
    <w:rsid w:val="00E71A0C"/>
    <w:rsid w:val="00E9644C"/>
    <w:rsid w:val="00EA141D"/>
    <w:rsid w:val="00EB109C"/>
    <w:rsid w:val="00EC1C70"/>
    <w:rsid w:val="00EE018E"/>
    <w:rsid w:val="00EE6E76"/>
    <w:rsid w:val="00EF09CE"/>
    <w:rsid w:val="00EF2E28"/>
    <w:rsid w:val="00EF62FA"/>
    <w:rsid w:val="00F1019E"/>
    <w:rsid w:val="00F22CE4"/>
    <w:rsid w:val="00F30420"/>
    <w:rsid w:val="00F32B18"/>
    <w:rsid w:val="00F4072F"/>
    <w:rsid w:val="00F426A4"/>
    <w:rsid w:val="00F47DEC"/>
    <w:rsid w:val="00F56924"/>
    <w:rsid w:val="00F63772"/>
    <w:rsid w:val="00F74D40"/>
    <w:rsid w:val="00F7698F"/>
    <w:rsid w:val="00F85B00"/>
    <w:rsid w:val="00FA650B"/>
    <w:rsid w:val="00FB6C10"/>
    <w:rsid w:val="00FF5A96"/>
    <w:rsid w:val="24C75CBE"/>
    <w:rsid w:val="3984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073AE-DE9A-48A9-B019-A724B6FA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LatRus" w:eastAsia="Times New Roman" w:hAnsi="Arial LatRus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Armenian" w:hAnsi="Times Armenian"/>
      <w:color w:val="auto"/>
      <w:sz w:val="28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Arial LatRus" w:eastAsia="Times New Roman" w:hAnsi="Arial LatRus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">
    <w:name w:val="Body text (3)"/>
    <w:basedOn w:val="Normal"/>
    <w:link w:val="Bodytext30"/>
    <w:uiPriority w:val="99"/>
    <w:qFormat/>
    <w:pPr>
      <w:shd w:val="clear" w:color="auto" w:fill="FFFFFF"/>
      <w:spacing w:before="240" w:after="240" w:line="240" w:lineRule="atLeast"/>
      <w:ind w:hanging="460"/>
      <w:jc w:val="both"/>
    </w:pPr>
    <w:rPr>
      <w:rFonts w:ascii="Tahoma" w:hAnsi="Tahoma" w:cs="Tahoma"/>
      <w:b/>
      <w:bCs/>
      <w:color w:val="auto"/>
      <w:sz w:val="22"/>
      <w:szCs w:val="22"/>
    </w:rPr>
  </w:style>
  <w:style w:type="character" w:customStyle="1" w:styleId="Bodytext30">
    <w:name w:val="Body text (3)_"/>
    <w:basedOn w:val="DefaultParagraphFont"/>
    <w:link w:val="Bodytext3"/>
    <w:uiPriority w:val="99"/>
    <w:qFormat/>
    <w:rPr>
      <w:rFonts w:ascii="Tahoma" w:hAnsi="Tahoma" w:cs="Tahoma"/>
      <w:b/>
      <w:bCs/>
      <w:color w:val="auto"/>
      <w:sz w:val="22"/>
      <w:szCs w:val="22"/>
      <w:lang w:eastAsia="en-US"/>
    </w:rPr>
  </w:style>
  <w:style w:type="paragraph" w:customStyle="1" w:styleId="Bodytext2">
    <w:name w:val="Body text (2)"/>
    <w:basedOn w:val="Normal"/>
    <w:link w:val="Bodytext20"/>
    <w:uiPriority w:val="99"/>
    <w:qFormat/>
    <w:pPr>
      <w:shd w:val="clear" w:color="auto" w:fill="FFFFFF"/>
      <w:spacing w:line="370" w:lineRule="exact"/>
      <w:ind w:hanging="460"/>
      <w:jc w:val="both"/>
    </w:pPr>
    <w:rPr>
      <w:rFonts w:ascii="Tahoma" w:hAnsi="Tahoma" w:cs="Tahoma"/>
      <w:color w:val="auto"/>
      <w:sz w:val="22"/>
      <w:szCs w:val="22"/>
    </w:rPr>
  </w:style>
  <w:style w:type="character" w:customStyle="1" w:styleId="Bodytext20">
    <w:name w:val="Body text (2)_"/>
    <w:basedOn w:val="DefaultParagraphFont"/>
    <w:link w:val="Bodytext2"/>
    <w:uiPriority w:val="99"/>
    <w:rPr>
      <w:rFonts w:ascii="Tahoma" w:hAnsi="Tahoma" w:cs="Tahom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Meri Harutyunyan</cp:lastModifiedBy>
  <cp:revision>2</cp:revision>
  <cp:lastPrinted>2023-05-02T12:25:00Z</cp:lastPrinted>
  <dcterms:created xsi:type="dcterms:W3CDTF">2026-02-27T04:52:00Z</dcterms:created>
  <dcterms:modified xsi:type="dcterms:W3CDTF">2026-02-27T04:52:00Z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C5179ED9F3C3412CB5A00792BE8877C0_12</vt:lpwstr>
  </property>
</Properties>
</file>