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CDD6" w14:textId="77777777" w:rsidR="00C701F8" w:rsidRPr="00745D6F" w:rsidRDefault="00C701F8" w:rsidP="00884039">
      <w:pPr>
        <w:tabs>
          <w:tab w:val="left" w:pos="0"/>
          <w:tab w:val="left" w:pos="1080"/>
        </w:tabs>
        <w:spacing w:after="0" w:line="360" w:lineRule="auto"/>
        <w:ind w:firstLine="720"/>
        <w:jc w:val="center"/>
        <w:rPr>
          <w:rFonts w:ascii="GHEA Grapalat" w:eastAsia="Times New Roman" w:hAnsi="GHEA Grapalat" w:cs="Times New Roman"/>
          <w:b/>
          <w:sz w:val="24"/>
          <w:szCs w:val="24"/>
          <w:lang w:val="am-ET"/>
        </w:rPr>
      </w:pPr>
      <w:r w:rsidRPr="00745D6F">
        <w:rPr>
          <w:rFonts w:ascii="GHEA Grapalat" w:hAnsi="GHEA Grapalat"/>
          <w:b/>
          <w:sz w:val="24"/>
          <w:szCs w:val="24"/>
          <w:lang w:val="am-ET"/>
        </w:rPr>
        <w:t>ՀԻՄՆԱՎՈՐՈՒՄ</w:t>
      </w:r>
    </w:p>
    <w:p w14:paraId="7E50768F" w14:textId="0B9FA566" w:rsidR="00C701F8" w:rsidRPr="00745D6F" w:rsidRDefault="00D765E5" w:rsidP="00884039">
      <w:pPr>
        <w:tabs>
          <w:tab w:val="left" w:pos="0"/>
          <w:tab w:val="left" w:pos="851"/>
          <w:tab w:val="left" w:pos="1080"/>
        </w:tabs>
        <w:spacing w:after="0" w:line="360" w:lineRule="auto"/>
        <w:ind w:firstLine="720"/>
        <w:jc w:val="center"/>
        <w:rPr>
          <w:rFonts w:ascii="GHEA Grapalat" w:hAnsi="GHEA Grapalat"/>
          <w:b/>
          <w:sz w:val="24"/>
          <w:szCs w:val="24"/>
          <w:lang w:val="am-ET"/>
        </w:rPr>
      </w:pPr>
      <w:r w:rsidRPr="00745D6F">
        <w:rPr>
          <w:rFonts w:ascii="GHEA Grapalat" w:hAnsi="GHEA Grapalat"/>
          <w:b/>
          <w:sz w:val="24"/>
          <w:szCs w:val="24"/>
          <w:lang w:val="am-ET"/>
        </w:rPr>
        <w:t xml:space="preserve"> «ՀԱՅԱՍՏԱՆԻ ՀԱՆՐԱՊԵՏՈՒԹՅԱՆ ՔՐԵԱԿԱՆ </w:t>
      </w:r>
      <w:r w:rsidR="0086021A" w:rsidRPr="00745D6F">
        <w:rPr>
          <w:rFonts w:ascii="GHEA Grapalat" w:hAnsi="GHEA Grapalat"/>
          <w:b/>
          <w:sz w:val="24"/>
          <w:szCs w:val="24"/>
          <w:lang w:val="hy-AM"/>
        </w:rPr>
        <w:t xml:space="preserve">ԴԱՏԱՎԱՐՈՒԹՅԱՆ </w:t>
      </w:r>
      <w:r w:rsidRPr="00745D6F">
        <w:rPr>
          <w:rFonts w:ascii="GHEA Grapalat" w:hAnsi="GHEA Grapalat"/>
          <w:b/>
          <w:sz w:val="24"/>
          <w:szCs w:val="24"/>
          <w:lang w:val="am-ET"/>
        </w:rPr>
        <w:t xml:space="preserve">ՕՐԵՆՍԳՐՔՈՒՄ </w:t>
      </w:r>
      <w:r w:rsidR="00C553A7" w:rsidRPr="00745D6F">
        <w:rPr>
          <w:rFonts w:ascii="GHEA Grapalat" w:hAnsi="GHEA Grapalat"/>
          <w:b/>
          <w:sz w:val="24"/>
          <w:szCs w:val="24"/>
          <w:lang w:val="hy-AM"/>
        </w:rPr>
        <w:t>ՓՈՓՈԽՈՒԹՅՈՒՆՆԵՐ</w:t>
      </w:r>
      <w:r w:rsidR="00E51077">
        <w:rPr>
          <w:rFonts w:ascii="GHEA Grapalat" w:hAnsi="GHEA Grapalat"/>
          <w:b/>
          <w:sz w:val="24"/>
          <w:szCs w:val="24"/>
          <w:lang w:val="hy-AM"/>
        </w:rPr>
        <w:t xml:space="preserve"> ԵՎ ԼՐԱՑՈՒՄՆԵՐ</w:t>
      </w:r>
      <w:r w:rsidR="00BA0842" w:rsidRPr="00745D6F">
        <w:rPr>
          <w:rFonts w:ascii="GHEA Grapalat" w:hAnsi="GHEA Grapalat"/>
          <w:b/>
          <w:sz w:val="24"/>
          <w:szCs w:val="24"/>
          <w:lang w:val="am-ET"/>
        </w:rPr>
        <w:t xml:space="preserve"> </w:t>
      </w:r>
      <w:r w:rsidRPr="00745D6F">
        <w:rPr>
          <w:rFonts w:ascii="GHEA Grapalat" w:hAnsi="GHEA Grapalat"/>
          <w:b/>
          <w:sz w:val="24"/>
          <w:szCs w:val="24"/>
          <w:lang w:val="am-ET"/>
        </w:rPr>
        <w:t xml:space="preserve">ԿԱՏԱՐԵԼՈՒ ՄԱՍԻՆ» ՀԱՅԱՍՏԱՆԻ ՀԱՆՐԱՊԵՏՈՒԹՅԱՆ ՕՐԵՆՔԻ </w:t>
      </w:r>
      <w:r w:rsidR="00C701F8" w:rsidRPr="00745D6F">
        <w:rPr>
          <w:rFonts w:ascii="GHEA Grapalat" w:hAnsi="GHEA Grapalat"/>
          <w:b/>
          <w:sz w:val="24"/>
          <w:szCs w:val="24"/>
          <w:lang w:val="am-ET"/>
        </w:rPr>
        <w:t>ՆԱԽԱԳ</w:t>
      </w:r>
      <w:r w:rsidR="007C72AF" w:rsidRPr="00745D6F">
        <w:rPr>
          <w:rFonts w:ascii="GHEA Grapalat" w:hAnsi="GHEA Grapalat"/>
          <w:b/>
          <w:sz w:val="24"/>
          <w:szCs w:val="24"/>
          <w:lang w:val="am-ET"/>
        </w:rPr>
        <w:t>Ծ</w:t>
      </w:r>
      <w:r w:rsidR="00C701F8" w:rsidRPr="00745D6F">
        <w:rPr>
          <w:rFonts w:ascii="GHEA Grapalat" w:hAnsi="GHEA Grapalat"/>
          <w:b/>
          <w:sz w:val="24"/>
          <w:szCs w:val="24"/>
          <w:lang w:val="am-ET"/>
        </w:rPr>
        <w:t xml:space="preserve">Ի ԸՆԴՈՒՆՄԱՆ </w:t>
      </w:r>
    </w:p>
    <w:p w14:paraId="6FE15AC3" w14:textId="77777777" w:rsidR="00741D22" w:rsidRPr="00745D6F" w:rsidRDefault="00741D22" w:rsidP="00884039">
      <w:pPr>
        <w:tabs>
          <w:tab w:val="left" w:pos="851"/>
          <w:tab w:val="left" w:pos="1080"/>
        </w:tabs>
        <w:spacing w:after="0" w:line="360" w:lineRule="auto"/>
        <w:ind w:firstLine="720"/>
        <w:jc w:val="center"/>
        <w:rPr>
          <w:rFonts w:ascii="GHEA Grapalat" w:hAnsi="GHEA Grapalat"/>
          <w:b/>
          <w:sz w:val="24"/>
          <w:szCs w:val="24"/>
          <w:lang w:val="am-ET"/>
        </w:rPr>
      </w:pPr>
    </w:p>
    <w:p w14:paraId="3363CCC6" w14:textId="77777777" w:rsidR="00C701F8" w:rsidRPr="00745D6F" w:rsidRDefault="00C701F8" w:rsidP="00884039">
      <w:pPr>
        <w:pStyle w:val="ListParagraph"/>
        <w:numPr>
          <w:ilvl w:val="0"/>
          <w:numId w:val="1"/>
        </w:numPr>
        <w:tabs>
          <w:tab w:val="left" w:pos="1080"/>
        </w:tabs>
        <w:spacing w:after="240" w:line="360" w:lineRule="auto"/>
        <w:ind w:left="0" w:firstLine="720"/>
        <w:jc w:val="both"/>
        <w:rPr>
          <w:rFonts w:ascii="GHEA Grapalat" w:hAnsi="GHEA Grapalat"/>
          <w:b/>
          <w:sz w:val="24"/>
          <w:szCs w:val="24"/>
          <w:u w:val="single"/>
          <w:lang w:val="am-ET"/>
        </w:rPr>
      </w:pPr>
      <w:r w:rsidRPr="00745D6F">
        <w:rPr>
          <w:rFonts w:ascii="GHEA Grapalat" w:hAnsi="GHEA Grapalat"/>
          <w:b/>
          <w:sz w:val="24"/>
          <w:szCs w:val="24"/>
          <w:u w:val="single"/>
          <w:lang w:val="am-ET"/>
        </w:rPr>
        <w:t>Ընթացիկ իրավիճակը և իրավական ակտի ընդունման անհրաժեշտությունը.</w:t>
      </w:r>
    </w:p>
    <w:p w14:paraId="47D6FD51" w14:textId="09F9DF98" w:rsidR="00615A01" w:rsidRPr="00615A01" w:rsidRDefault="00615A01" w:rsidP="00884039">
      <w:pPr>
        <w:tabs>
          <w:tab w:val="left" w:pos="1080"/>
        </w:tabs>
        <w:spacing w:after="0" w:line="360" w:lineRule="auto"/>
        <w:ind w:firstLine="720"/>
        <w:jc w:val="both"/>
        <w:rPr>
          <w:rFonts w:ascii="GHEA Grapalat" w:hAnsi="GHEA Grapalat"/>
          <w:sz w:val="24"/>
          <w:szCs w:val="24"/>
          <w:lang w:val="hy-AM"/>
        </w:rPr>
      </w:pPr>
      <w:r w:rsidRPr="00615A01">
        <w:rPr>
          <w:rFonts w:ascii="GHEA Grapalat" w:hAnsi="GHEA Grapalat"/>
          <w:sz w:val="24"/>
          <w:szCs w:val="24"/>
          <w:lang w:val="am-ET"/>
        </w:rPr>
        <w:t xml:space="preserve">2021 </w:t>
      </w:r>
      <w:proofErr w:type="spellStart"/>
      <w:r w:rsidRPr="00615A01">
        <w:rPr>
          <w:rFonts w:ascii="GHEA Grapalat" w:hAnsi="GHEA Grapalat"/>
          <w:sz w:val="24"/>
          <w:szCs w:val="24"/>
          <w:lang w:val="en-US"/>
        </w:rPr>
        <w:t>թվականի</w:t>
      </w:r>
      <w:proofErr w:type="spellEnd"/>
      <w:r w:rsidRPr="00615A01">
        <w:rPr>
          <w:rFonts w:ascii="GHEA Grapalat" w:hAnsi="GHEA Grapalat"/>
          <w:sz w:val="24"/>
          <w:szCs w:val="24"/>
          <w:lang w:val="am-ET"/>
        </w:rPr>
        <w:t xml:space="preserve"> </w:t>
      </w:r>
      <w:proofErr w:type="spellStart"/>
      <w:r w:rsidRPr="00615A01">
        <w:rPr>
          <w:rFonts w:ascii="GHEA Grapalat" w:hAnsi="GHEA Grapalat"/>
          <w:sz w:val="24"/>
          <w:szCs w:val="24"/>
          <w:lang w:val="en-US"/>
        </w:rPr>
        <w:t>հունիսի</w:t>
      </w:r>
      <w:proofErr w:type="spellEnd"/>
      <w:r w:rsidRPr="00615A01">
        <w:rPr>
          <w:rFonts w:ascii="GHEA Grapalat" w:hAnsi="GHEA Grapalat"/>
          <w:sz w:val="24"/>
          <w:szCs w:val="24"/>
          <w:lang w:val="am-ET"/>
        </w:rPr>
        <w:t xml:space="preserve"> 30-</w:t>
      </w:r>
      <w:proofErr w:type="spellStart"/>
      <w:r w:rsidRPr="00615A01">
        <w:rPr>
          <w:rFonts w:ascii="GHEA Grapalat" w:hAnsi="GHEA Grapalat"/>
          <w:sz w:val="24"/>
          <w:szCs w:val="24"/>
          <w:lang w:val="en-US"/>
        </w:rPr>
        <w:t>ին</w:t>
      </w:r>
      <w:proofErr w:type="spellEnd"/>
      <w:r>
        <w:rPr>
          <w:rFonts w:ascii="GHEA Grapalat" w:hAnsi="GHEA Grapalat"/>
          <w:sz w:val="24"/>
          <w:szCs w:val="24"/>
          <w:lang w:val="hy-AM"/>
        </w:rPr>
        <w:t xml:space="preserve"> ընդունվել և 2022 թվականի հուլիսի 1-ից ուժ մեջ է ՀՀ քրեական դատավարության նոր օրենսգիրքը </w:t>
      </w:r>
      <w:r w:rsidRPr="00615A01">
        <w:rPr>
          <w:rFonts w:ascii="GHEA Grapalat" w:hAnsi="GHEA Grapalat"/>
          <w:sz w:val="24"/>
          <w:szCs w:val="24"/>
          <w:lang w:val="am-ET"/>
        </w:rPr>
        <w:t>(</w:t>
      </w:r>
      <w:r>
        <w:rPr>
          <w:rFonts w:ascii="GHEA Grapalat" w:hAnsi="GHEA Grapalat"/>
          <w:sz w:val="24"/>
          <w:szCs w:val="24"/>
          <w:lang w:val="hy-AM"/>
        </w:rPr>
        <w:t>այսուհետ՝ նաև Օրենսգիրք</w:t>
      </w:r>
      <w:r w:rsidRPr="00615A01">
        <w:rPr>
          <w:rFonts w:ascii="GHEA Grapalat" w:hAnsi="GHEA Grapalat"/>
          <w:sz w:val="24"/>
          <w:szCs w:val="24"/>
          <w:lang w:val="am-ET"/>
        </w:rPr>
        <w:t>)</w:t>
      </w:r>
      <w:r>
        <w:rPr>
          <w:rFonts w:ascii="GHEA Grapalat" w:hAnsi="GHEA Grapalat"/>
          <w:sz w:val="24"/>
          <w:szCs w:val="24"/>
          <w:lang w:val="hy-AM"/>
        </w:rPr>
        <w:t xml:space="preserve">, որում </w:t>
      </w:r>
      <w:r w:rsidRPr="00615A01">
        <w:rPr>
          <w:rFonts w:ascii="GHEA Grapalat" w:hAnsi="GHEA Grapalat"/>
          <w:sz w:val="24"/>
          <w:szCs w:val="24"/>
          <w:lang w:val="hy-AM"/>
        </w:rPr>
        <w:t>առկա բազմաթիվ</w:t>
      </w:r>
      <w:r>
        <w:rPr>
          <w:rFonts w:ascii="GHEA Grapalat" w:hAnsi="GHEA Grapalat"/>
          <w:sz w:val="24"/>
          <w:szCs w:val="24"/>
          <w:lang w:val="hy-AM"/>
        </w:rPr>
        <w:t xml:space="preserve"> </w:t>
      </w:r>
      <w:r w:rsidRPr="00615A01">
        <w:rPr>
          <w:rFonts w:ascii="GHEA Grapalat" w:hAnsi="GHEA Grapalat"/>
          <w:sz w:val="24"/>
          <w:szCs w:val="24"/>
          <w:lang w:val="hy-AM"/>
        </w:rPr>
        <w:t>նորամուծությունները և համալիր կարգավորումները կոչված են լուծել ոլորտում</w:t>
      </w:r>
      <w:r>
        <w:rPr>
          <w:rFonts w:ascii="GHEA Grapalat" w:hAnsi="GHEA Grapalat"/>
          <w:sz w:val="24"/>
          <w:szCs w:val="24"/>
          <w:lang w:val="hy-AM"/>
        </w:rPr>
        <w:t xml:space="preserve"> </w:t>
      </w:r>
      <w:r w:rsidRPr="00615A01">
        <w:rPr>
          <w:rFonts w:ascii="GHEA Grapalat" w:hAnsi="GHEA Grapalat"/>
          <w:sz w:val="24"/>
          <w:szCs w:val="24"/>
          <w:lang w:val="hy-AM"/>
        </w:rPr>
        <w:t>կուտակված վարութային խնդիրները, բարձրացնել ենթադրյալ հանցանքների</w:t>
      </w:r>
      <w:r>
        <w:rPr>
          <w:rFonts w:ascii="GHEA Grapalat" w:hAnsi="GHEA Grapalat"/>
          <w:sz w:val="24"/>
          <w:szCs w:val="24"/>
          <w:lang w:val="hy-AM"/>
        </w:rPr>
        <w:t xml:space="preserve"> </w:t>
      </w:r>
      <w:r w:rsidRPr="00615A01">
        <w:rPr>
          <w:rFonts w:ascii="GHEA Grapalat" w:hAnsi="GHEA Grapalat"/>
          <w:sz w:val="24"/>
          <w:szCs w:val="24"/>
          <w:lang w:val="hy-AM"/>
        </w:rPr>
        <w:t>քննության ընթացակարգի որակը, ապահովել քրեական վարույթի իրականացման</w:t>
      </w:r>
      <w:r>
        <w:rPr>
          <w:rFonts w:ascii="GHEA Grapalat" w:hAnsi="GHEA Grapalat"/>
          <w:sz w:val="24"/>
          <w:szCs w:val="24"/>
          <w:lang w:val="hy-AM"/>
        </w:rPr>
        <w:t xml:space="preserve"> </w:t>
      </w:r>
      <w:r w:rsidRPr="00615A01">
        <w:rPr>
          <w:rFonts w:ascii="GHEA Grapalat" w:hAnsi="GHEA Grapalat"/>
          <w:sz w:val="24"/>
          <w:szCs w:val="24"/>
          <w:lang w:val="hy-AM"/>
        </w:rPr>
        <w:t>առավել արդյունավետ կարգի կիրառումը՝ այն զուգորդելով անձի իրավունքների և</w:t>
      </w:r>
      <w:r>
        <w:rPr>
          <w:rFonts w:ascii="GHEA Grapalat" w:hAnsi="GHEA Grapalat"/>
          <w:sz w:val="24"/>
          <w:szCs w:val="24"/>
          <w:lang w:val="hy-AM"/>
        </w:rPr>
        <w:t xml:space="preserve"> </w:t>
      </w:r>
      <w:r w:rsidRPr="00615A01">
        <w:rPr>
          <w:rFonts w:ascii="GHEA Grapalat" w:hAnsi="GHEA Grapalat"/>
          <w:sz w:val="24"/>
          <w:szCs w:val="24"/>
          <w:lang w:val="hy-AM"/>
        </w:rPr>
        <w:t>ազատությունների ուժեղացված պաշտպանության հետ</w:t>
      </w:r>
      <w:r>
        <w:rPr>
          <w:rFonts w:ascii="GHEA Grapalat" w:hAnsi="GHEA Grapalat"/>
          <w:sz w:val="24"/>
          <w:szCs w:val="24"/>
          <w:lang w:val="hy-AM"/>
        </w:rPr>
        <w:t xml:space="preserve">: Միաժամանակ, </w:t>
      </w:r>
      <w:r w:rsidRPr="00615A01">
        <w:rPr>
          <w:rFonts w:ascii="GHEA Grapalat" w:hAnsi="GHEA Grapalat"/>
          <w:sz w:val="24"/>
          <w:szCs w:val="24"/>
          <w:lang w:val="hy-AM"/>
        </w:rPr>
        <w:t xml:space="preserve">ակայն </w:t>
      </w:r>
      <w:r>
        <w:rPr>
          <w:rFonts w:ascii="GHEA Grapalat" w:hAnsi="GHEA Grapalat"/>
          <w:sz w:val="24"/>
          <w:szCs w:val="24"/>
          <w:lang w:val="hy-AM"/>
        </w:rPr>
        <w:t>Օ</w:t>
      </w:r>
      <w:r w:rsidRPr="00615A01">
        <w:rPr>
          <w:rFonts w:ascii="GHEA Grapalat" w:hAnsi="GHEA Grapalat"/>
          <w:sz w:val="24"/>
          <w:szCs w:val="24"/>
          <w:lang w:val="hy-AM"/>
        </w:rPr>
        <w:t xml:space="preserve">րենսգրքի </w:t>
      </w:r>
      <w:r>
        <w:rPr>
          <w:rFonts w:ascii="GHEA Grapalat" w:hAnsi="GHEA Grapalat"/>
          <w:sz w:val="24"/>
          <w:szCs w:val="24"/>
          <w:lang w:val="hy-AM"/>
        </w:rPr>
        <w:t>եռամյա</w:t>
      </w:r>
      <w:r w:rsidRPr="00615A01">
        <w:rPr>
          <w:rFonts w:ascii="GHEA Grapalat" w:hAnsi="GHEA Grapalat"/>
          <w:sz w:val="24"/>
          <w:szCs w:val="24"/>
          <w:lang w:val="hy-AM"/>
        </w:rPr>
        <w:t xml:space="preserve"> կիրառության ընթացքում ի հայտ են եկել խնդիրներ, որոնք պահանջում են օրենսդրական հստակեցումներ և լրացումներ։</w:t>
      </w:r>
    </w:p>
    <w:p w14:paraId="00E7FB8F" w14:textId="235D84AD" w:rsidR="001D4C65" w:rsidRPr="00641312" w:rsidRDefault="00641312" w:rsidP="00884039">
      <w:pPr>
        <w:tabs>
          <w:tab w:val="left" w:pos="108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Հիշյալ խնդիրների վերհանման նպատակով </w:t>
      </w:r>
      <w:r w:rsidR="001D4C65" w:rsidRPr="00641312">
        <w:rPr>
          <w:rFonts w:ascii="GHEA Grapalat" w:hAnsi="GHEA Grapalat"/>
          <w:sz w:val="24"/>
          <w:szCs w:val="24"/>
          <w:lang w:val="hy-AM"/>
        </w:rPr>
        <w:t>իրականացված</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մոնիթորինգի</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արդյունքներով</w:t>
      </w:r>
      <w:r w:rsidR="001D4C65" w:rsidRPr="002D29DD">
        <w:rPr>
          <w:rFonts w:ascii="GHEA Grapalat" w:hAnsi="GHEA Grapalat"/>
          <w:sz w:val="24"/>
          <w:szCs w:val="24"/>
          <w:lang w:val="am-ET"/>
        </w:rPr>
        <w:t xml:space="preserve"> </w:t>
      </w:r>
      <w:r>
        <w:rPr>
          <w:rFonts w:ascii="GHEA Grapalat" w:hAnsi="GHEA Grapalat"/>
          <w:sz w:val="24"/>
          <w:szCs w:val="24"/>
          <w:lang w:val="hy-AM"/>
        </w:rPr>
        <w:t>շահագրգիռ մարմիններից ստացվել են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քրեական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քրեական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դատավարության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և</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քրեակատարողական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նոր</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օրենսգրքերի</w:t>
      </w:r>
      <w:r>
        <w:rPr>
          <w:rFonts w:ascii="GHEA Grapalat" w:hAnsi="GHEA Grapalat"/>
          <w:sz w:val="24"/>
          <w:szCs w:val="24"/>
          <w:lang w:val="hy-AM"/>
        </w:rPr>
        <w:t xml:space="preserve"> </w:t>
      </w:r>
      <w:r w:rsidR="001D4C65" w:rsidRPr="00641312">
        <w:rPr>
          <w:rFonts w:ascii="GHEA Grapalat" w:hAnsi="GHEA Grapalat"/>
          <w:sz w:val="24"/>
          <w:szCs w:val="24"/>
          <w:lang w:val="hy-AM"/>
        </w:rPr>
        <w:t>կիրառման</w:t>
      </w:r>
      <w:r w:rsidR="001D4C65" w:rsidRPr="002D29DD">
        <w:rPr>
          <w:rFonts w:ascii="GHEA Grapalat" w:hAnsi="GHEA Grapalat"/>
          <w:sz w:val="24"/>
          <w:szCs w:val="24"/>
          <w:lang w:val="am-ET"/>
        </w:rPr>
        <w:t xml:space="preserve"> </w:t>
      </w:r>
      <w:r>
        <w:rPr>
          <w:rFonts w:ascii="GHEA Grapalat" w:hAnsi="GHEA Grapalat"/>
          <w:sz w:val="24"/>
          <w:szCs w:val="24"/>
          <w:lang w:val="hy-AM"/>
        </w:rPr>
        <w:t>ընթացքում</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գործնականում</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առավել</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հաճախ</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ծագ</w:t>
      </w:r>
      <w:r>
        <w:rPr>
          <w:rFonts w:ascii="GHEA Grapalat" w:hAnsi="GHEA Grapalat"/>
          <w:sz w:val="24"/>
          <w:szCs w:val="24"/>
          <w:lang w:val="hy-AM"/>
        </w:rPr>
        <w:t xml:space="preserve">ած </w:t>
      </w:r>
      <w:r w:rsidR="001D4C65" w:rsidRPr="00641312">
        <w:rPr>
          <w:rFonts w:ascii="GHEA Grapalat" w:hAnsi="GHEA Grapalat"/>
          <w:sz w:val="24"/>
          <w:szCs w:val="24"/>
          <w:lang w:val="hy-AM"/>
        </w:rPr>
        <w:t>խնդիրները</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որոնց</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լուծման</w:t>
      </w:r>
      <w:r>
        <w:rPr>
          <w:rFonts w:ascii="GHEA Grapalat" w:hAnsi="GHEA Grapalat"/>
          <w:sz w:val="24"/>
          <w:szCs w:val="24"/>
          <w:lang w:val="hy-AM"/>
        </w:rPr>
        <w:t xml:space="preserve"> </w:t>
      </w:r>
      <w:r w:rsidR="001D4C65" w:rsidRPr="00641312">
        <w:rPr>
          <w:rFonts w:ascii="GHEA Grapalat" w:hAnsi="GHEA Grapalat"/>
          <w:sz w:val="24"/>
          <w:szCs w:val="24"/>
          <w:lang w:val="hy-AM"/>
        </w:rPr>
        <w:t>նպատակով</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անհրաժեշտություն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է</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առաջացել</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ձեռնամուխ</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լինել</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համապատասխան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օրենսդրական</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փոփոխությունների</w:t>
      </w:r>
      <w:r w:rsidR="001D4C65" w:rsidRPr="002D29DD">
        <w:rPr>
          <w:rFonts w:ascii="GHEA Grapalat" w:hAnsi="GHEA Grapalat"/>
          <w:sz w:val="24"/>
          <w:szCs w:val="24"/>
          <w:lang w:val="am-ET"/>
        </w:rPr>
        <w:t xml:space="preserve"> </w:t>
      </w:r>
      <w:r w:rsidR="001D4C65" w:rsidRPr="00641312">
        <w:rPr>
          <w:rFonts w:ascii="GHEA Grapalat" w:hAnsi="GHEA Grapalat"/>
          <w:sz w:val="24"/>
          <w:szCs w:val="24"/>
          <w:lang w:val="hy-AM"/>
        </w:rPr>
        <w:t>իրականացմանը</w:t>
      </w:r>
      <w:r w:rsidR="001D4C65" w:rsidRPr="002D29DD">
        <w:rPr>
          <w:rFonts w:ascii="GHEA Grapalat" w:hAnsi="GHEA Grapalat"/>
          <w:sz w:val="24"/>
          <w:szCs w:val="24"/>
          <w:lang w:val="am-ET"/>
        </w:rPr>
        <w:t xml:space="preserve">:  </w:t>
      </w:r>
    </w:p>
    <w:p w14:paraId="5EAA42C9" w14:textId="0122A3ED" w:rsidR="00A1780C" w:rsidRPr="00E83AA6" w:rsidRDefault="00641312" w:rsidP="00884039">
      <w:pPr>
        <w:pStyle w:val="ListParagraph"/>
        <w:spacing w:after="0" w:line="360" w:lineRule="auto"/>
        <w:jc w:val="both"/>
        <w:rPr>
          <w:rFonts w:ascii="GHEA Grapalat" w:hAnsi="GHEA Grapalat" w:cs="Times New Roman"/>
          <w:sz w:val="24"/>
          <w:szCs w:val="24"/>
          <w:lang w:val="hy-AM"/>
        </w:rPr>
      </w:pPr>
      <w:r w:rsidRPr="00E83AA6">
        <w:rPr>
          <w:rFonts w:ascii="GHEA Grapalat" w:hAnsi="GHEA Grapalat" w:cs="Times New Roman"/>
          <w:sz w:val="24"/>
          <w:szCs w:val="24"/>
          <w:lang w:val="hy-AM"/>
        </w:rPr>
        <w:t xml:space="preserve">Մասնավորապես, </w:t>
      </w:r>
    </w:p>
    <w:p w14:paraId="5F6D6B3F" w14:textId="77777777" w:rsidR="00DA1835" w:rsidRDefault="00641312"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sidRPr="00DA1835">
        <w:rPr>
          <w:rFonts w:ascii="GHEA Grapalat" w:hAnsi="GHEA Grapalat" w:cs="Times New Roman"/>
          <w:sz w:val="24"/>
          <w:szCs w:val="24"/>
          <w:lang w:val="hy-AM"/>
        </w:rPr>
        <w:t xml:space="preserve">Օրենսգրքի 8-րդ հոդվածի 2-րդ մասի համաձայն՝ վարութային գործողությունները ամրագրվում են էլեկտրոնային եղանակով կազմված արձանագրությամբ: Եթե առանձին վարութային գործողության ընթացքի և արդյունքների ամրագրումն էլեկտրոնային եղանակով անհնար է, ապա այն կատարվում է թղթային եղանակով՝ համակարգչով, իսկ դրա անհնարինության դեպքում՝ ձեռագիր կազմված արձանագրությամբ։ Հիշյալ դրույթի կենսագործման նպատակով ստեղծվել է </w:t>
      </w:r>
      <w:r w:rsidRPr="00DA1835">
        <w:rPr>
          <w:rFonts w:ascii="GHEA Grapalat" w:hAnsi="GHEA Grapalat" w:cs="Times New Roman"/>
          <w:sz w:val="24"/>
          <w:szCs w:val="24"/>
          <w:lang w:val="hy-AM"/>
        </w:rPr>
        <w:lastRenderedPageBreak/>
        <w:t>քրեական գործերով մինչդատական վարույթի էլեկտրոնային կառավարման համակարգը (այսուհետ՝ Համակարգ), որը ներկայում գտնվում է լրամշակումների փուլում:  Հաշվի առնելով այն հանգամանքը, որ Համակարգի ամբողջական ներդրումից հետո բոլոր քրեական վարույթներով կատարվող վարութային գործողությունների էլեկտրոնային եղանակով ամրագրումը կդառնա պարտադիր, անհրաժեշտ է սահմանել վարութային գործողությունների էլեկտրոնային եղանակով ամրագրումից որոշակի բացառություններ զգայուն տեղեկատվություն, մասնավորապես՝ պետական գաղտնիք պարունակող տեղեկություններ ներառող քրեական վարույթների համար՝ ապահովելու համար նման տեղեկությունների լիարժեք պահպանությունը և պաշտպանությունը:</w:t>
      </w:r>
    </w:p>
    <w:p w14:paraId="30E7CA70" w14:textId="6A69FE0B" w:rsidR="00DA1835" w:rsidRPr="00CB433A" w:rsidRDefault="00641312" w:rsidP="00CB433A">
      <w:pPr>
        <w:pStyle w:val="ListParagraph"/>
        <w:numPr>
          <w:ilvl w:val="0"/>
          <w:numId w:val="9"/>
        </w:numPr>
        <w:spacing w:after="0" w:line="360" w:lineRule="auto"/>
        <w:ind w:left="0" w:firstLine="720"/>
        <w:jc w:val="both"/>
        <w:rPr>
          <w:rFonts w:ascii="GHEA Grapalat" w:hAnsi="GHEA Grapalat" w:cs="Times New Roman"/>
          <w:sz w:val="24"/>
          <w:szCs w:val="24"/>
          <w:lang w:val="hy-AM"/>
        </w:rPr>
      </w:pPr>
      <w:r w:rsidRPr="00DA1835">
        <w:rPr>
          <w:rFonts w:ascii="GHEA Grapalat" w:hAnsi="GHEA Grapalat" w:cs="Times New Roman"/>
          <w:sz w:val="24"/>
          <w:szCs w:val="24"/>
          <w:lang w:val="hy-AM"/>
        </w:rPr>
        <w:t xml:space="preserve">Օրենսգրքի 10-րդ հոդվածով ամրագրված են քրեական վարույթների </w:t>
      </w:r>
      <w:r w:rsidR="00E83AA6" w:rsidRPr="00DA1835">
        <w:rPr>
          <w:rFonts w:ascii="GHEA Grapalat" w:hAnsi="GHEA Grapalat" w:cs="Times New Roman"/>
          <w:sz w:val="24"/>
          <w:szCs w:val="24"/>
          <w:lang w:val="hy-AM"/>
        </w:rPr>
        <w:t xml:space="preserve">միացման և </w:t>
      </w:r>
      <w:r w:rsidRPr="00DA1835">
        <w:rPr>
          <w:rFonts w:ascii="GHEA Grapalat" w:hAnsi="GHEA Grapalat" w:cs="Times New Roman"/>
          <w:sz w:val="24"/>
          <w:szCs w:val="24"/>
          <w:lang w:val="hy-AM"/>
        </w:rPr>
        <w:t>անջատման կարգավորման նորմերը</w:t>
      </w:r>
      <w:r w:rsidR="00E83AA6" w:rsidRPr="00DA1835">
        <w:rPr>
          <w:rFonts w:ascii="GHEA Grapalat" w:hAnsi="GHEA Grapalat" w:cs="Times New Roman"/>
          <w:sz w:val="24"/>
          <w:szCs w:val="24"/>
          <w:lang w:val="hy-AM"/>
        </w:rPr>
        <w:t>: Հիշյալ հոդվածի</w:t>
      </w:r>
      <w:r w:rsidRPr="00DA1835">
        <w:rPr>
          <w:rFonts w:ascii="GHEA Grapalat" w:hAnsi="GHEA Grapalat" w:cs="Times New Roman"/>
          <w:sz w:val="24"/>
          <w:szCs w:val="24"/>
          <w:lang w:val="hy-AM"/>
        </w:rPr>
        <w:t xml:space="preserve"> 2-րդ մասը </w:t>
      </w:r>
      <w:r w:rsidR="00E83AA6" w:rsidRPr="00DA1835">
        <w:rPr>
          <w:rFonts w:ascii="GHEA Grapalat" w:hAnsi="GHEA Grapalat" w:cs="Times New Roman"/>
          <w:sz w:val="24"/>
          <w:szCs w:val="24"/>
          <w:lang w:val="hy-AM"/>
        </w:rPr>
        <w:t xml:space="preserve">վարույթից </w:t>
      </w:r>
      <w:r w:rsidRPr="00DA1835">
        <w:rPr>
          <w:rFonts w:ascii="GHEA Grapalat" w:hAnsi="GHEA Grapalat" w:cs="Times New Roman"/>
          <w:sz w:val="24"/>
          <w:szCs w:val="24"/>
          <w:lang w:val="hy-AM"/>
        </w:rPr>
        <w:t>նոր վարույթ անջատելու հնարավորություն է ընձեռում միայն մեկից ավելի անձանց կողմից ենթադրյալ հանցանքներ կատարելու դեպքերում</w:t>
      </w:r>
      <w:r w:rsidR="00E83AA6" w:rsidRPr="00DA1835">
        <w:rPr>
          <w:rFonts w:ascii="GHEA Grapalat" w:hAnsi="GHEA Grapalat" w:cs="Times New Roman"/>
          <w:sz w:val="24"/>
          <w:szCs w:val="24"/>
          <w:lang w:val="hy-AM"/>
        </w:rPr>
        <w:t xml:space="preserve">: Մինչդեռ </w:t>
      </w:r>
      <w:r w:rsidRPr="00DA1835">
        <w:rPr>
          <w:rFonts w:ascii="GHEA Grapalat" w:hAnsi="GHEA Grapalat" w:cs="Times New Roman"/>
          <w:sz w:val="24"/>
          <w:szCs w:val="24"/>
          <w:lang w:val="hy-AM"/>
        </w:rPr>
        <w:t xml:space="preserve">գործնականում լինում են դեպքեր, երբ </w:t>
      </w:r>
      <w:r w:rsidR="00E83AA6" w:rsidRPr="00DA1835">
        <w:rPr>
          <w:rFonts w:ascii="GHEA Grapalat" w:hAnsi="GHEA Grapalat" w:cs="Times New Roman"/>
          <w:sz w:val="24"/>
          <w:szCs w:val="24"/>
          <w:lang w:val="hy-AM"/>
        </w:rPr>
        <w:t xml:space="preserve">նույն անձին վերագրվող </w:t>
      </w:r>
      <w:r w:rsidRPr="00DA1835">
        <w:rPr>
          <w:rFonts w:ascii="GHEA Grapalat" w:hAnsi="GHEA Grapalat" w:cs="Times New Roman"/>
          <w:sz w:val="24"/>
          <w:szCs w:val="24"/>
          <w:lang w:val="hy-AM"/>
        </w:rPr>
        <w:t>մեկից ավելի ենթադրյալ հանցանքներ</w:t>
      </w:r>
      <w:r w:rsidR="00E83AA6" w:rsidRPr="00DA1835">
        <w:rPr>
          <w:rFonts w:ascii="GHEA Grapalat" w:hAnsi="GHEA Grapalat" w:cs="Times New Roman"/>
          <w:sz w:val="24"/>
          <w:szCs w:val="24"/>
          <w:lang w:val="hy-AM"/>
        </w:rPr>
        <w:t xml:space="preserve">ի </w:t>
      </w:r>
      <w:r w:rsidRPr="00DA1835">
        <w:rPr>
          <w:rFonts w:ascii="GHEA Grapalat" w:hAnsi="GHEA Grapalat" w:cs="Times New Roman"/>
          <w:sz w:val="24"/>
          <w:szCs w:val="24"/>
          <w:lang w:val="hy-AM"/>
        </w:rPr>
        <w:t xml:space="preserve">վերաբերյալ </w:t>
      </w:r>
      <w:r w:rsidR="00E83AA6" w:rsidRPr="00DA1835">
        <w:rPr>
          <w:rFonts w:ascii="GHEA Grapalat" w:hAnsi="GHEA Grapalat" w:cs="Times New Roman"/>
          <w:sz w:val="24"/>
          <w:szCs w:val="24"/>
          <w:lang w:val="hy-AM"/>
        </w:rPr>
        <w:t xml:space="preserve">վարույթով </w:t>
      </w:r>
      <w:r w:rsidRPr="00DA1835">
        <w:rPr>
          <w:rFonts w:ascii="GHEA Grapalat" w:hAnsi="GHEA Grapalat" w:cs="Times New Roman"/>
          <w:sz w:val="24"/>
          <w:szCs w:val="24"/>
          <w:lang w:val="hy-AM"/>
        </w:rPr>
        <w:t>բավարար ապացույցներ են ձեռք բերվում</w:t>
      </w:r>
      <w:r w:rsidR="00E83AA6" w:rsidRPr="00DA1835">
        <w:rPr>
          <w:rFonts w:ascii="GHEA Grapalat" w:hAnsi="GHEA Grapalat" w:cs="Times New Roman"/>
          <w:sz w:val="24"/>
          <w:szCs w:val="24"/>
          <w:lang w:val="hy-AM"/>
        </w:rPr>
        <w:t xml:space="preserve"> այդ անձին </w:t>
      </w:r>
      <w:r w:rsidRPr="00DA1835">
        <w:rPr>
          <w:rFonts w:ascii="GHEA Grapalat" w:hAnsi="GHEA Grapalat" w:cs="Times New Roman"/>
          <w:sz w:val="24"/>
          <w:szCs w:val="24"/>
          <w:lang w:val="hy-AM"/>
        </w:rPr>
        <w:t xml:space="preserve">վերագրվող արարքներից </w:t>
      </w:r>
      <w:r w:rsidR="00E83AA6" w:rsidRPr="00DA1835">
        <w:rPr>
          <w:rFonts w:ascii="GHEA Grapalat" w:hAnsi="GHEA Grapalat" w:cs="Times New Roman"/>
          <w:sz w:val="24"/>
          <w:szCs w:val="24"/>
          <w:lang w:val="hy-AM"/>
        </w:rPr>
        <w:t xml:space="preserve">միայն </w:t>
      </w:r>
      <w:r w:rsidRPr="00DA1835">
        <w:rPr>
          <w:rFonts w:ascii="GHEA Grapalat" w:hAnsi="GHEA Grapalat" w:cs="Times New Roman"/>
          <w:sz w:val="24"/>
          <w:szCs w:val="24"/>
          <w:lang w:val="hy-AM"/>
        </w:rPr>
        <w:t xml:space="preserve">մեկի դատապարտումը հավանական համարելու համար, իսկ մեղսագրված մյուս դրվագներով անհրաժեշտություն է լինում շարունակել նախաքննությունը: </w:t>
      </w:r>
      <w:r w:rsidR="00E83AA6" w:rsidRPr="00DA1835">
        <w:rPr>
          <w:rFonts w:ascii="GHEA Grapalat" w:hAnsi="GHEA Grapalat" w:cs="Times New Roman"/>
          <w:sz w:val="24"/>
          <w:szCs w:val="24"/>
          <w:lang w:val="hy-AM"/>
        </w:rPr>
        <w:t>Նման</w:t>
      </w:r>
      <w:r w:rsidRPr="00DA1835">
        <w:rPr>
          <w:rFonts w:ascii="GHEA Grapalat" w:hAnsi="GHEA Grapalat" w:cs="Times New Roman"/>
          <w:sz w:val="24"/>
          <w:szCs w:val="24"/>
          <w:lang w:val="hy-AM"/>
        </w:rPr>
        <w:t xml:space="preserve"> </w:t>
      </w:r>
      <w:r w:rsidR="00E83AA6" w:rsidRPr="00DA1835">
        <w:rPr>
          <w:rFonts w:ascii="GHEA Grapalat" w:hAnsi="GHEA Grapalat" w:cs="Times New Roman"/>
          <w:sz w:val="24"/>
          <w:szCs w:val="24"/>
          <w:lang w:val="hy-AM"/>
        </w:rPr>
        <w:t>պայմաններում</w:t>
      </w:r>
      <w:r w:rsidRPr="00DA1835">
        <w:rPr>
          <w:rFonts w:ascii="GHEA Grapalat" w:hAnsi="GHEA Grapalat" w:cs="Times New Roman"/>
          <w:sz w:val="24"/>
          <w:szCs w:val="24"/>
          <w:lang w:val="hy-AM"/>
        </w:rPr>
        <w:t xml:space="preserve"> խնդիրներ են առաջանում անձին մեղսագրված բոլոր դրվագներով հանրային </w:t>
      </w:r>
      <w:r w:rsidR="00E83AA6" w:rsidRPr="00DA1835">
        <w:rPr>
          <w:rFonts w:ascii="GHEA Grapalat" w:hAnsi="GHEA Grapalat" w:cs="Times New Roman"/>
          <w:sz w:val="24"/>
          <w:szCs w:val="24"/>
          <w:lang w:val="hy-AM"/>
        </w:rPr>
        <w:t xml:space="preserve">քրեական </w:t>
      </w:r>
      <w:r w:rsidRPr="00DA1835">
        <w:rPr>
          <w:rFonts w:ascii="GHEA Grapalat" w:hAnsi="GHEA Grapalat" w:cs="Times New Roman"/>
          <w:sz w:val="24"/>
          <w:szCs w:val="24"/>
          <w:lang w:val="hy-AM"/>
        </w:rPr>
        <w:t xml:space="preserve">հետապնդման </w:t>
      </w:r>
      <w:r w:rsidR="00E83AA6" w:rsidRPr="00DA1835">
        <w:rPr>
          <w:rFonts w:ascii="GHEA Grapalat" w:hAnsi="GHEA Grapalat" w:cs="Times New Roman"/>
          <w:sz w:val="24"/>
          <w:szCs w:val="24"/>
          <w:lang w:val="hy-AM"/>
        </w:rPr>
        <w:t xml:space="preserve">համար նախատեսված </w:t>
      </w:r>
      <w:r w:rsidRPr="00DA1835">
        <w:rPr>
          <w:rFonts w:ascii="GHEA Grapalat" w:hAnsi="GHEA Grapalat" w:cs="Times New Roman"/>
          <w:sz w:val="24"/>
          <w:szCs w:val="24"/>
          <w:lang w:val="hy-AM"/>
        </w:rPr>
        <w:t>ժամկետներում վարույթի նյութերը դատարան հանձնելու հարցում</w:t>
      </w:r>
      <w:r w:rsidR="00E83AA6" w:rsidRPr="00DA1835">
        <w:rPr>
          <w:rFonts w:ascii="GHEA Grapalat" w:hAnsi="GHEA Grapalat" w:cs="Times New Roman"/>
          <w:sz w:val="24"/>
          <w:szCs w:val="24"/>
          <w:lang w:val="hy-AM"/>
        </w:rPr>
        <w:t>: Ուստի՝ անհրաժեշտ է սահմանել</w:t>
      </w:r>
      <w:r w:rsidRPr="00DA1835">
        <w:rPr>
          <w:rFonts w:ascii="GHEA Grapalat" w:hAnsi="GHEA Grapalat" w:cs="Times New Roman"/>
          <w:sz w:val="24"/>
          <w:szCs w:val="24"/>
          <w:lang w:val="hy-AM"/>
        </w:rPr>
        <w:t xml:space="preserve"> կարգավորում՝ նույն անձի կողմից մեկից ավելի ենթադրյալ հանցանքներ կատար</w:t>
      </w:r>
      <w:r w:rsidR="00E83AA6" w:rsidRPr="00DA1835">
        <w:rPr>
          <w:rFonts w:ascii="GHEA Grapalat" w:hAnsi="GHEA Grapalat" w:cs="Times New Roman"/>
          <w:sz w:val="24"/>
          <w:szCs w:val="24"/>
          <w:lang w:val="hy-AM"/>
        </w:rPr>
        <w:t xml:space="preserve">ելու վերաբերյալ վարույթից </w:t>
      </w:r>
      <w:r w:rsidRPr="00DA1835">
        <w:rPr>
          <w:rFonts w:ascii="GHEA Grapalat" w:hAnsi="GHEA Grapalat" w:cs="Times New Roman"/>
          <w:sz w:val="24"/>
          <w:szCs w:val="24"/>
          <w:lang w:val="hy-AM"/>
        </w:rPr>
        <w:t>նոր վարույթ անջատելու հնարավորությունը նախատեսելու վերաբերյալ:</w:t>
      </w:r>
      <w:r w:rsidR="00E83AA6" w:rsidRPr="00DA1835">
        <w:rPr>
          <w:rFonts w:ascii="GHEA Grapalat" w:hAnsi="GHEA Grapalat" w:cs="Times New Roman"/>
          <w:sz w:val="24"/>
          <w:szCs w:val="24"/>
          <w:lang w:val="hy-AM"/>
        </w:rPr>
        <w:t xml:space="preserve"> </w:t>
      </w:r>
    </w:p>
    <w:p w14:paraId="190B6BD1" w14:textId="28A01043" w:rsidR="00DA1835" w:rsidRDefault="00C176D3"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hAnsi="GHEA Grapalat" w:cs="Times New Roman"/>
          <w:sz w:val="24"/>
          <w:szCs w:val="24"/>
          <w:lang w:val="hy-AM"/>
        </w:rPr>
        <w:t>Օ</w:t>
      </w:r>
      <w:r w:rsidR="00DA1835" w:rsidRPr="00DA1835">
        <w:rPr>
          <w:rFonts w:ascii="GHEA Grapalat" w:hAnsi="GHEA Grapalat" w:cs="Times New Roman"/>
          <w:sz w:val="24"/>
          <w:szCs w:val="24"/>
          <w:lang w:val="hy-AM"/>
        </w:rPr>
        <w:t>րենսգրքի 41-րդ հոդվածով սահմանվում են քննիչի լիազորությունները և նույն հոդվածի 1-ին մասի 23-րդ կետով ամրագրված է, որ վարույթը կարճելու կամ նախաքննությունն այլ կերպ ավարտելու, հարկադրանքի միջոց կիրառելու մասին հսկող դատախազի հանձնարարության, ինչպես նաև ձերբակալման ներքո չգտնվող անձի նկատմամբ քրեական հետապնդում հարուցելու մասին հսկող դատախազի որոշման հետ համաձայն չլինելու դեպքում առանց այն կատարելու քննիչը դրա վերաբերյալ մեկօրյա ժամկետում առարկություն է ներկայացնում վերադաս դատախազին:</w:t>
      </w:r>
      <w:r w:rsidR="00DA1835">
        <w:rPr>
          <w:rFonts w:ascii="GHEA Grapalat" w:hAnsi="GHEA Grapalat" w:cs="Times New Roman"/>
          <w:sz w:val="24"/>
          <w:szCs w:val="24"/>
          <w:lang w:val="hy-AM"/>
        </w:rPr>
        <w:t xml:space="preserve"> Մինչդեռ, </w:t>
      </w:r>
      <w:r w:rsidR="00F36D44">
        <w:rPr>
          <w:rFonts w:ascii="GHEA Grapalat" w:hAnsi="GHEA Grapalat" w:cs="Times New Roman"/>
          <w:sz w:val="24"/>
          <w:szCs w:val="24"/>
          <w:lang w:val="hy-AM"/>
        </w:rPr>
        <w:lastRenderedPageBreak/>
        <w:t>Օրենսգրքի 190-րդ հոդվածը  ձ</w:t>
      </w:r>
      <w:r w:rsidR="00F36D44" w:rsidRPr="00F36D44">
        <w:rPr>
          <w:rFonts w:ascii="GHEA Grapalat" w:hAnsi="GHEA Grapalat" w:cs="Times New Roman"/>
          <w:sz w:val="24"/>
          <w:szCs w:val="24"/>
          <w:lang w:val="hy-AM"/>
        </w:rPr>
        <w:t>երբակալման ներքո չգտնվող անձի նկատմամբ քրեական հետապնդում հարուցելու մասին որոշման հետ համաձայն չլինելու դեպքում քննիչ</w:t>
      </w:r>
      <w:r w:rsidR="00F36D44">
        <w:rPr>
          <w:rFonts w:ascii="GHEA Grapalat" w:hAnsi="GHEA Grapalat" w:cs="Times New Roman"/>
          <w:sz w:val="24"/>
          <w:szCs w:val="24"/>
          <w:lang w:val="hy-AM"/>
        </w:rPr>
        <w:t xml:space="preserve">ի կողմից առարկություն նախատեսելու ժամկետ է նախատեսում համապատասխան որոշումը </w:t>
      </w:r>
      <w:r w:rsidR="00F36D44" w:rsidRPr="00F36D44">
        <w:rPr>
          <w:rFonts w:ascii="GHEA Grapalat" w:hAnsi="GHEA Grapalat" w:cs="Times New Roman"/>
          <w:sz w:val="24"/>
          <w:szCs w:val="24"/>
          <w:lang w:val="hy-AM"/>
        </w:rPr>
        <w:t>ստանալուց հետո՝ 18 ժամ</w:t>
      </w:r>
      <w:r w:rsidR="00F36D44">
        <w:rPr>
          <w:rFonts w:ascii="GHEA Grapalat" w:hAnsi="GHEA Grapalat" w:cs="Times New Roman"/>
          <w:sz w:val="24"/>
          <w:szCs w:val="24"/>
          <w:lang w:val="hy-AM"/>
        </w:rPr>
        <w:t xml:space="preserve">ը: Հետևաբար՝ անհրաժեշտ է </w:t>
      </w:r>
      <w:r w:rsidR="0034694F">
        <w:rPr>
          <w:rFonts w:ascii="GHEA Grapalat" w:hAnsi="GHEA Grapalat" w:cs="Times New Roman"/>
          <w:sz w:val="24"/>
          <w:szCs w:val="24"/>
          <w:lang w:val="hy-AM"/>
        </w:rPr>
        <w:t>վերացնել հիշյալ հակասությունը:</w:t>
      </w:r>
    </w:p>
    <w:p w14:paraId="047474EA" w14:textId="59FD5F54" w:rsidR="0034694F" w:rsidRDefault="0034694F"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hAnsi="GHEA Grapalat" w:cs="Times New Roman"/>
          <w:sz w:val="24"/>
          <w:szCs w:val="24"/>
          <w:lang w:val="hy-AM"/>
        </w:rPr>
        <w:t xml:space="preserve">Հարկ է նկատել, որ </w:t>
      </w:r>
      <w:r w:rsidR="00C176D3">
        <w:rPr>
          <w:rFonts w:ascii="GHEA Grapalat" w:hAnsi="GHEA Grapalat" w:cs="Times New Roman"/>
          <w:sz w:val="24"/>
          <w:szCs w:val="24"/>
          <w:lang w:val="hy-AM"/>
        </w:rPr>
        <w:t>Օ</w:t>
      </w:r>
      <w:r w:rsidRPr="0034694F">
        <w:rPr>
          <w:rFonts w:ascii="GHEA Grapalat" w:hAnsi="GHEA Grapalat" w:cs="Times New Roman"/>
          <w:sz w:val="24"/>
          <w:szCs w:val="24"/>
          <w:lang w:val="hy-AM"/>
        </w:rPr>
        <w:t>րենսգրքի 46-րդ հոդվածի 2-րդ մասի 4-րդ կետ</w:t>
      </w:r>
      <w:r>
        <w:rPr>
          <w:rFonts w:ascii="GHEA Grapalat" w:hAnsi="GHEA Grapalat" w:cs="Times New Roman"/>
          <w:sz w:val="24"/>
          <w:szCs w:val="24"/>
          <w:lang w:val="hy-AM"/>
        </w:rPr>
        <w:t>ի համաձայն՝ վարույթին պաշտպանի պարտադիր մասնակցության հիմքերից մեկը մեղադրյալի ժամկետային զինծառայող լինելն է, մինչդեռ «</w:t>
      </w:r>
      <w:r w:rsidRPr="0034694F">
        <w:rPr>
          <w:rFonts w:ascii="GHEA Grapalat" w:hAnsi="GHEA Grapalat" w:cs="Times New Roman"/>
          <w:sz w:val="24"/>
          <w:szCs w:val="24"/>
          <w:lang w:val="hy-AM"/>
        </w:rPr>
        <w:t>Զինվորական ծառայության և զինծառայողի կարգավիճակի մասին ՀՀ օրենքի 5-րդ հոդվածի 2-րդ մասի համաձայն՝  ժամկետային զինվորական ծառայություն</w:t>
      </w:r>
      <w:r>
        <w:rPr>
          <w:rFonts w:ascii="GHEA Grapalat" w:hAnsi="GHEA Grapalat" w:cs="Times New Roman"/>
          <w:sz w:val="24"/>
          <w:szCs w:val="24"/>
          <w:lang w:val="hy-AM"/>
        </w:rPr>
        <w:t xml:space="preserve"> </w:t>
      </w:r>
      <w:r w:rsidRPr="0034694F">
        <w:rPr>
          <w:rFonts w:ascii="GHEA Grapalat" w:hAnsi="GHEA Grapalat" w:cs="Times New Roman"/>
          <w:sz w:val="24"/>
          <w:szCs w:val="24"/>
          <w:lang w:val="hy-AM"/>
        </w:rPr>
        <w:t xml:space="preserve">է </w:t>
      </w:r>
      <w:r>
        <w:rPr>
          <w:rFonts w:ascii="GHEA Grapalat" w:hAnsi="GHEA Grapalat" w:cs="Times New Roman"/>
          <w:sz w:val="24"/>
          <w:szCs w:val="24"/>
          <w:lang w:val="hy-AM"/>
        </w:rPr>
        <w:t xml:space="preserve">թե՛ </w:t>
      </w:r>
      <w:r w:rsidRPr="0034694F">
        <w:rPr>
          <w:rFonts w:ascii="GHEA Grapalat" w:hAnsi="GHEA Grapalat" w:cs="Times New Roman"/>
          <w:sz w:val="24"/>
          <w:szCs w:val="24"/>
          <w:lang w:val="hy-AM"/>
        </w:rPr>
        <w:t>պարտադիր</w:t>
      </w:r>
      <w:r>
        <w:rPr>
          <w:rFonts w:ascii="GHEA Grapalat" w:hAnsi="GHEA Grapalat" w:cs="Times New Roman"/>
          <w:sz w:val="24"/>
          <w:szCs w:val="24"/>
          <w:lang w:val="hy-AM"/>
        </w:rPr>
        <w:t>, թե՛</w:t>
      </w:r>
      <w:r w:rsidRPr="0034694F">
        <w:rPr>
          <w:rFonts w:ascii="GHEA Grapalat" w:hAnsi="GHEA Grapalat" w:cs="Times New Roman"/>
          <w:sz w:val="24"/>
          <w:szCs w:val="24"/>
          <w:lang w:val="hy-AM"/>
        </w:rPr>
        <w:t xml:space="preserve"> պայմանագրային զինվորական ծառայություն</w:t>
      </w:r>
      <w:r>
        <w:rPr>
          <w:rFonts w:ascii="GHEA Grapalat" w:hAnsi="GHEA Grapalat" w:cs="Times New Roman"/>
          <w:sz w:val="24"/>
          <w:szCs w:val="24"/>
          <w:lang w:val="hy-AM"/>
        </w:rPr>
        <w:t>ները: Այս համատեքստում, անհրաժեշտ է փաստել, որ հաշվի առնելով պարտադիր ժամկետային զինծառայության առանձնահատկությունները օրենսդրի կամքն ուղղված է եղել հենց պարտադիր ժամկետային զինծառայողներին պրոֆեսսիոնալ պաշտպանությամբ ապահովելուն: Հետևաբար հստակեցման կարիք ունի նաև քննարկվող դրույթը:</w:t>
      </w:r>
    </w:p>
    <w:p w14:paraId="2934D607" w14:textId="66C0F951" w:rsidR="0034694F" w:rsidRDefault="00C176D3"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hAnsi="GHEA Grapalat" w:cs="Times New Roman"/>
          <w:sz w:val="24"/>
          <w:szCs w:val="24"/>
          <w:lang w:val="hy-AM"/>
        </w:rPr>
        <w:t>Օ</w:t>
      </w:r>
      <w:r w:rsidR="00437A03" w:rsidRPr="00437A03">
        <w:rPr>
          <w:rFonts w:ascii="GHEA Grapalat" w:hAnsi="GHEA Grapalat" w:cs="Times New Roman"/>
          <w:sz w:val="24"/>
          <w:szCs w:val="24"/>
          <w:lang w:val="hy-AM"/>
        </w:rPr>
        <w:t>րենսգրքի 71-րդ հոդվածը նախատեսում է ընթերակային, փորձագետին, թարգմանչին և դատական նիստերի քարտուղարին բացարկելու հիմքերը, սակայն վարույթին օժանդակող անձանցից հոգեբանի մասնակցությունը բացառող հանգամանքներն օրենքով նախատեսված չեն, այնինչ, օրինակ, փորձագետի համար սահմանված համապատասխան հիմքերը կարող են հավասարապես կիրառելի լինել նաև հոգեբանի նկատմամբ:</w:t>
      </w:r>
    </w:p>
    <w:p w14:paraId="00A63C20" w14:textId="6A3137E7" w:rsidR="00CC60FD" w:rsidRDefault="00C176D3"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hAnsi="GHEA Grapalat" w:cs="Times New Roman"/>
          <w:sz w:val="24"/>
          <w:szCs w:val="24"/>
          <w:lang w:val="hy-AM"/>
        </w:rPr>
        <w:t>Օ</w:t>
      </w:r>
      <w:r w:rsidR="00437A03" w:rsidRPr="00C176D3">
        <w:rPr>
          <w:rFonts w:ascii="GHEA Grapalat" w:hAnsi="GHEA Grapalat" w:cs="Times New Roman"/>
          <w:sz w:val="24"/>
          <w:szCs w:val="24"/>
          <w:lang w:val="hy-AM"/>
        </w:rPr>
        <w:t xml:space="preserve">րենսգրքի 125-րդ հոդվածով սահմանված է, որ որպես գրավ կարող է ընտրվել նաև անշարժ գույք, սակայն սահմանված չէ, թե </w:t>
      </w:r>
      <w:r>
        <w:rPr>
          <w:rFonts w:ascii="GHEA Grapalat" w:hAnsi="GHEA Grapalat" w:cs="Times New Roman"/>
          <w:sz w:val="24"/>
          <w:szCs w:val="24"/>
          <w:lang w:val="hy-AM"/>
        </w:rPr>
        <w:t xml:space="preserve">անհրաժեշտության և առկայության դեպքում գրավադրված </w:t>
      </w:r>
      <w:r w:rsidR="00437A03" w:rsidRPr="00C176D3">
        <w:rPr>
          <w:rFonts w:ascii="GHEA Grapalat" w:hAnsi="GHEA Grapalat" w:cs="Times New Roman"/>
          <w:sz w:val="24"/>
          <w:szCs w:val="24"/>
          <w:lang w:val="hy-AM"/>
        </w:rPr>
        <w:t>տվյալ անշարժ գույքը կարող է փոխարինվել այլ</w:t>
      </w:r>
      <w:r>
        <w:rPr>
          <w:rFonts w:ascii="GHEA Grapalat" w:hAnsi="GHEA Grapalat" w:cs="Times New Roman"/>
          <w:sz w:val="24"/>
          <w:szCs w:val="24"/>
          <w:lang w:val="hy-AM"/>
        </w:rPr>
        <w:t xml:space="preserve"> համարժեք</w:t>
      </w:r>
      <w:r w:rsidR="00437A03" w:rsidRPr="00C176D3">
        <w:rPr>
          <w:rFonts w:ascii="GHEA Grapalat" w:hAnsi="GHEA Grapalat" w:cs="Times New Roman"/>
          <w:sz w:val="24"/>
          <w:szCs w:val="24"/>
          <w:lang w:val="hy-AM"/>
        </w:rPr>
        <w:t xml:space="preserve"> գույքով կամ դրամական գումարով, թե՝</w:t>
      </w:r>
      <w:r>
        <w:rPr>
          <w:rFonts w:ascii="GHEA Grapalat" w:hAnsi="GHEA Grapalat" w:cs="Times New Roman"/>
          <w:sz w:val="24"/>
          <w:szCs w:val="24"/>
          <w:lang w:val="hy-AM"/>
        </w:rPr>
        <w:t xml:space="preserve"> </w:t>
      </w:r>
      <w:r w:rsidR="00437A03" w:rsidRPr="00C176D3">
        <w:rPr>
          <w:rFonts w:ascii="GHEA Grapalat" w:hAnsi="GHEA Grapalat" w:cs="Times New Roman"/>
          <w:sz w:val="24"/>
          <w:szCs w:val="24"/>
          <w:lang w:val="hy-AM"/>
        </w:rPr>
        <w:t xml:space="preserve">ոչ, ինչը </w:t>
      </w:r>
      <w:r>
        <w:rPr>
          <w:rFonts w:ascii="GHEA Grapalat" w:hAnsi="GHEA Grapalat" w:cs="Times New Roman"/>
          <w:sz w:val="24"/>
          <w:szCs w:val="24"/>
          <w:lang w:val="hy-AM"/>
        </w:rPr>
        <w:t>ևս</w:t>
      </w:r>
      <w:r w:rsidR="00437A03" w:rsidRPr="00C176D3">
        <w:rPr>
          <w:rFonts w:ascii="GHEA Grapalat" w:hAnsi="GHEA Grapalat" w:cs="Times New Roman"/>
          <w:sz w:val="24"/>
          <w:szCs w:val="24"/>
          <w:lang w:val="hy-AM"/>
        </w:rPr>
        <w:t xml:space="preserve"> գործնականում առաջացնում է խնդիրներ:</w:t>
      </w:r>
      <w:r>
        <w:rPr>
          <w:rFonts w:ascii="GHEA Grapalat" w:hAnsi="GHEA Grapalat" w:cs="Times New Roman"/>
          <w:sz w:val="24"/>
          <w:szCs w:val="24"/>
          <w:lang w:val="hy-AM"/>
        </w:rPr>
        <w:t xml:space="preserve"> </w:t>
      </w:r>
      <w:r w:rsidR="00437A03" w:rsidRPr="00C176D3">
        <w:rPr>
          <w:rFonts w:ascii="GHEA Grapalat" w:hAnsi="GHEA Grapalat" w:cs="Times New Roman"/>
          <w:sz w:val="24"/>
          <w:szCs w:val="24"/>
          <w:lang w:val="hy-AM"/>
        </w:rPr>
        <w:t xml:space="preserve">Վերոգրյալ խնդիրը լուծելու նպատակով </w:t>
      </w:r>
      <w:r>
        <w:rPr>
          <w:rFonts w:ascii="GHEA Grapalat" w:hAnsi="GHEA Grapalat" w:cs="Times New Roman"/>
          <w:sz w:val="24"/>
          <w:szCs w:val="24"/>
          <w:lang w:val="hy-AM"/>
        </w:rPr>
        <w:t>անհրաժեշտ է Օ</w:t>
      </w:r>
      <w:r w:rsidR="00437A03" w:rsidRPr="00C176D3">
        <w:rPr>
          <w:rFonts w:ascii="GHEA Grapalat" w:hAnsi="GHEA Grapalat" w:cs="Times New Roman"/>
          <w:sz w:val="24"/>
          <w:szCs w:val="24"/>
          <w:lang w:val="hy-AM"/>
        </w:rPr>
        <w:t xml:space="preserve">րենսգրքի 125-րդ հոդվածում կատարել </w:t>
      </w:r>
      <w:r>
        <w:rPr>
          <w:rFonts w:ascii="GHEA Grapalat" w:hAnsi="GHEA Grapalat" w:cs="Times New Roman"/>
          <w:sz w:val="24"/>
          <w:szCs w:val="24"/>
          <w:lang w:val="hy-AM"/>
        </w:rPr>
        <w:t>հստակ ամրագրում</w:t>
      </w:r>
      <w:r w:rsidR="00437A03" w:rsidRPr="00C176D3">
        <w:rPr>
          <w:rFonts w:ascii="GHEA Grapalat" w:hAnsi="GHEA Grapalat" w:cs="Times New Roman"/>
          <w:sz w:val="24"/>
          <w:szCs w:val="24"/>
          <w:lang w:val="hy-AM"/>
        </w:rPr>
        <w:t xml:space="preserve">, որ գրավատուի դիմումի և հիմնավորող փաստաթղթերի </w:t>
      </w:r>
      <w:r>
        <w:rPr>
          <w:rFonts w:ascii="GHEA Grapalat" w:hAnsi="GHEA Grapalat" w:cs="Times New Roman"/>
          <w:sz w:val="24"/>
          <w:szCs w:val="24"/>
          <w:lang w:val="hy-AM"/>
        </w:rPr>
        <w:t>հիման վրա</w:t>
      </w:r>
      <w:r w:rsidR="00437A03" w:rsidRPr="00C176D3">
        <w:rPr>
          <w:rFonts w:ascii="GHEA Grapalat" w:hAnsi="GHEA Grapalat" w:cs="Times New Roman"/>
          <w:sz w:val="24"/>
          <w:szCs w:val="24"/>
          <w:lang w:val="hy-AM"/>
        </w:rPr>
        <w:t xml:space="preserve"> գրավադրված անշարժ գույքը կարող է փոխարինվել համարժեք այլ գույքով կամ դրամական գումարով։</w:t>
      </w:r>
    </w:p>
    <w:p w14:paraId="09FED296" w14:textId="0AC3A2CA" w:rsidR="00CC60FD" w:rsidRPr="00CC60FD" w:rsidRDefault="003F3531"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eastAsia="Times New Roman" w:hAnsi="GHEA Grapalat" w:cs="Times New Roman"/>
          <w:bCs/>
          <w:sz w:val="24"/>
          <w:szCs w:val="24"/>
          <w:lang w:val="hy-AM" w:eastAsia="ru-RU"/>
        </w:rPr>
        <w:lastRenderedPageBreak/>
        <w:t>Օ</w:t>
      </w:r>
      <w:r w:rsidR="00CC60FD" w:rsidRPr="00CC60FD">
        <w:rPr>
          <w:rFonts w:ascii="GHEA Grapalat" w:eastAsia="Times New Roman" w:hAnsi="GHEA Grapalat" w:cs="Times New Roman"/>
          <w:bCs/>
          <w:sz w:val="24"/>
          <w:szCs w:val="24"/>
          <w:lang w:val="hy-AM" w:eastAsia="ru-RU"/>
        </w:rPr>
        <w:t xml:space="preserve">րենսգրքի 133-րդ հոդվածի 7-րդ մասով հստակ սահմանված է արգելադրման ենթակա գույքի արժեքի որոշման կարգը։ Մասնավորապես արգելադրման ենթակա գույքի արժեքը որոշվում է </w:t>
      </w:r>
      <w:r w:rsidR="00CC60FD" w:rsidRPr="001C578C">
        <w:rPr>
          <w:rFonts w:ascii="GHEA Grapalat" w:eastAsia="Times New Roman" w:hAnsi="GHEA Grapalat" w:cs="Times New Roman"/>
          <w:sz w:val="24"/>
          <w:szCs w:val="24"/>
          <w:lang w:val="hy-AM" w:eastAsia="ru-RU"/>
        </w:rPr>
        <w:t>շուկայական գնով այդ նպատակով ներգրավված փորձագետի կողմից։</w:t>
      </w:r>
      <w:r w:rsidR="00CC60FD" w:rsidRPr="00CC60FD">
        <w:rPr>
          <w:rFonts w:ascii="GHEA Grapalat" w:eastAsia="Times New Roman" w:hAnsi="GHEA Grapalat" w:cs="Times New Roman"/>
          <w:b/>
          <w:bCs/>
          <w:sz w:val="24"/>
          <w:szCs w:val="24"/>
          <w:lang w:val="hy-AM" w:eastAsia="ru-RU"/>
        </w:rPr>
        <w:t xml:space="preserve"> </w:t>
      </w:r>
      <w:r w:rsidR="00CC60FD" w:rsidRPr="00CC60FD">
        <w:rPr>
          <w:rFonts w:ascii="GHEA Grapalat" w:eastAsia="Times New Roman" w:hAnsi="GHEA Grapalat" w:cs="Times New Roman"/>
          <w:bCs/>
          <w:sz w:val="24"/>
          <w:szCs w:val="24"/>
          <w:lang w:val="hy-AM" w:eastAsia="ru-RU"/>
        </w:rPr>
        <w:t>Այս կանոնից որևէ բացառաթյուն օրենսդիրը չի նախատեսել։</w:t>
      </w:r>
    </w:p>
    <w:p w14:paraId="0FE18828" w14:textId="02B5058C" w:rsidR="00CC60FD" w:rsidRPr="00CC60FD" w:rsidRDefault="00CC60FD" w:rsidP="00884039">
      <w:pPr>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«Գնահատման գործունեության մասին» ՀՀ օրենքի 2-րդ հոդվածի համաձայն</w:t>
      </w:r>
      <w:r w:rsidRPr="00CC60FD">
        <w:rPr>
          <w:rFonts w:ascii="Cambria Math" w:eastAsia="Times New Roman" w:hAnsi="Cambria Math" w:cs="Cambria Math"/>
          <w:bCs/>
          <w:sz w:val="24"/>
          <w:szCs w:val="24"/>
          <w:lang w:val="hy-AM" w:eastAsia="ru-RU"/>
        </w:rPr>
        <w:t>․</w:t>
      </w:r>
    </w:p>
    <w:p w14:paraId="5A311AD4"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«1. Սույն օրենքի գործողությունը տարածվում է Հայաստանի Հանրապետության տարածքում իրականացվող գնահատման գործունեության վրա:</w:t>
      </w:r>
    </w:p>
    <w:p w14:paraId="28DF2EFA"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2. Սույն օրենքը չի տարածվում մշակութային արժեքների, արժեթղթերի, ածանցյալ ֆինանսական գործիքների (գործարքների), արժութային արժեքների, թանկարժեք մետաղների, թանկարժեք քարերի ու թանկարժեք մետաղներից և քարերից պատրաստված զարդերի գնահատման, անշարժ գույքի կադաստրային գնահատման վրա:»։</w:t>
      </w:r>
    </w:p>
    <w:p w14:paraId="1519FF3F"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Նույն օրենքի 3-րդ հոդվածի համաձայն</w:t>
      </w:r>
      <w:r w:rsidRPr="00CC60FD">
        <w:rPr>
          <w:rFonts w:ascii="Cambria Math" w:eastAsia="Times New Roman" w:hAnsi="Cambria Math" w:cs="Cambria Math"/>
          <w:bCs/>
          <w:sz w:val="24"/>
          <w:szCs w:val="24"/>
          <w:lang w:val="hy-AM" w:eastAsia="ru-RU"/>
        </w:rPr>
        <w:t>․</w:t>
      </w:r>
    </w:p>
    <w:p w14:paraId="2161BFDF"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«1. Գնահատման գործունեությունը կարգավորվում է Հայաստանի Հանրապետության քաղաքացիական օրենսգրքով, սույն օրենքով, Հայաստանի Հանրապետության գնահատման ստանդարտներով և այլ նորմատիվ իրավական ակտերով, ինչպես նաև Հայաստանի Հանրապետության միջազգային պայմանագրերով:»։</w:t>
      </w:r>
    </w:p>
    <w:p w14:paraId="3E0A9964"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Նույն օրենսքի 4-րդ հոդվածի համաձայն</w:t>
      </w:r>
      <w:r w:rsidRPr="00CC60FD">
        <w:rPr>
          <w:rFonts w:ascii="Cambria Math" w:eastAsia="Times New Roman" w:hAnsi="Cambria Math" w:cs="Cambria Math"/>
          <w:bCs/>
          <w:sz w:val="24"/>
          <w:szCs w:val="24"/>
          <w:lang w:val="hy-AM" w:eastAsia="ru-RU"/>
        </w:rPr>
        <w:t>․</w:t>
      </w:r>
    </w:p>
    <w:p w14:paraId="37AB60D4"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«1. Սույն օրենքում օգտագործվում են հետևյալ հիմնական հասկացությունները.</w:t>
      </w:r>
    </w:p>
    <w:p w14:paraId="44AE7424"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i/>
          <w:sz w:val="24"/>
          <w:szCs w:val="24"/>
          <w:lang w:val="hy-AM" w:eastAsia="ru-RU"/>
        </w:rPr>
      </w:pPr>
      <w:r w:rsidRPr="00CC60FD">
        <w:rPr>
          <w:rFonts w:ascii="GHEA Grapalat" w:eastAsia="Times New Roman" w:hAnsi="GHEA Grapalat" w:cs="Times New Roman"/>
          <w:bCs/>
          <w:i/>
          <w:sz w:val="24"/>
          <w:szCs w:val="24"/>
          <w:lang w:val="hy-AM" w:eastAsia="ru-RU"/>
        </w:rPr>
        <w:t>1)</w:t>
      </w:r>
      <w:r w:rsidRPr="00CC60FD">
        <w:rPr>
          <w:rFonts w:eastAsia="Times New Roman"/>
          <w:bCs/>
          <w:i/>
          <w:sz w:val="24"/>
          <w:szCs w:val="24"/>
          <w:lang w:val="hy-AM" w:eastAsia="ru-RU"/>
        </w:rPr>
        <w:t> </w:t>
      </w:r>
      <w:r w:rsidRPr="00CC60FD">
        <w:rPr>
          <w:rFonts w:ascii="GHEA Grapalat" w:eastAsia="Times New Roman" w:hAnsi="GHEA Grapalat" w:cs="Times New Roman"/>
          <w:i/>
          <w:sz w:val="24"/>
          <w:szCs w:val="24"/>
          <w:lang w:val="hy-AM" w:eastAsia="ru-RU"/>
        </w:rPr>
        <w:t>գնահատող՝ ֆիզիկական անձ, որն ունի գնահատողի որակավորման գործող վկայական և հաշվառված է լիազոր մարմնի կողմից.</w:t>
      </w:r>
    </w:p>
    <w:p w14:paraId="73AA5BB9"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i/>
          <w:sz w:val="24"/>
          <w:szCs w:val="24"/>
          <w:lang w:val="hy-AM" w:eastAsia="ru-RU"/>
        </w:rPr>
        <w:t>2)</w:t>
      </w:r>
      <w:r w:rsidRPr="00CC60FD">
        <w:rPr>
          <w:rFonts w:eastAsia="Times New Roman"/>
          <w:i/>
          <w:sz w:val="24"/>
          <w:szCs w:val="24"/>
          <w:lang w:val="hy-AM" w:eastAsia="ru-RU"/>
        </w:rPr>
        <w:t> </w:t>
      </w:r>
      <w:r w:rsidRPr="00CC60FD">
        <w:rPr>
          <w:rFonts w:ascii="GHEA Grapalat" w:eastAsia="Times New Roman" w:hAnsi="GHEA Grapalat" w:cs="Times New Roman"/>
          <w:i/>
          <w:sz w:val="24"/>
          <w:szCs w:val="24"/>
          <w:lang w:val="hy-AM" w:eastAsia="ru-RU"/>
        </w:rPr>
        <w:t>գնահատման կազմակերպություն</w:t>
      </w:r>
      <w:r w:rsidRPr="00CC60FD">
        <w:rPr>
          <w:rFonts w:ascii="GHEA Grapalat" w:eastAsia="Times New Roman" w:hAnsi="GHEA Grapalat" w:cs="Times New Roman"/>
          <w:b/>
          <w:bCs/>
          <w:i/>
          <w:sz w:val="24"/>
          <w:szCs w:val="24"/>
          <w:lang w:val="hy-AM" w:eastAsia="ru-RU"/>
        </w:rPr>
        <w:t xml:space="preserve">՝ </w:t>
      </w:r>
      <w:r w:rsidRPr="00CC60FD">
        <w:rPr>
          <w:rFonts w:ascii="GHEA Grapalat" w:eastAsia="Times New Roman" w:hAnsi="GHEA Grapalat" w:cs="Times New Roman"/>
          <w:bCs/>
          <w:i/>
          <w:sz w:val="24"/>
          <w:szCs w:val="24"/>
          <w:lang w:val="hy-AM" w:eastAsia="ru-RU"/>
        </w:rPr>
        <w:t>գնահատման գործունեություն իրականացնող կազմակերպություն կամ անհատ ձեռնարկատեր, որը սույն օրենքով սահմանված կարգով հաշվառված է լիազոր մարմնի կողմից.</w:t>
      </w:r>
    </w:p>
    <w:p w14:paraId="698DAF75"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w:t>
      </w:r>
    </w:p>
    <w:p w14:paraId="7B910107"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Նույն օրենքի 6-րդ հոդվածի համաձայն</w:t>
      </w:r>
      <w:r w:rsidRPr="00CC60FD">
        <w:rPr>
          <w:rFonts w:ascii="Cambria Math" w:eastAsia="Times New Roman" w:hAnsi="Cambria Math" w:cs="Cambria Math"/>
          <w:bCs/>
          <w:sz w:val="24"/>
          <w:szCs w:val="24"/>
          <w:lang w:val="hy-AM" w:eastAsia="ru-RU"/>
        </w:rPr>
        <w:t>․</w:t>
      </w:r>
    </w:p>
    <w:p w14:paraId="04E16E78"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 xml:space="preserve">«1. Սույն օրենքի իմաստով՝ գնահատման օբյեկտներ են համարվում գույքը (անշարժ և շարժական), գույքի նկատմամբ սեփականության և այլ գույքային </w:t>
      </w:r>
      <w:r w:rsidRPr="00CC60FD">
        <w:rPr>
          <w:rFonts w:ascii="GHEA Grapalat" w:eastAsia="Times New Roman" w:hAnsi="GHEA Grapalat" w:cs="Times New Roman"/>
          <w:bCs/>
          <w:i/>
          <w:sz w:val="24"/>
          <w:szCs w:val="24"/>
          <w:lang w:val="hy-AM" w:eastAsia="ru-RU"/>
        </w:rPr>
        <w:lastRenderedPageBreak/>
        <w:t>իրավունքները, ինչպես նաև քաղաքացիական իրավունքի այլ օբյեկտներ, որոնք Հայաստանի Հանրապետության օրենսդրությամբ կարող են  հանդիսանալ քաղաքացիաիրավական շրջանառության օբյեկտներ, որոնց վերաբերյալ սահմանված են գնահատման ստանդարտներ:»։</w:t>
      </w:r>
    </w:p>
    <w:p w14:paraId="5757AE0F"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Նույն օրենքի 7-րդ հոդվածի համաձայն</w:t>
      </w:r>
      <w:r w:rsidRPr="00CC60FD">
        <w:rPr>
          <w:rFonts w:ascii="Cambria Math" w:eastAsia="Times New Roman" w:hAnsi="Cambria Math" w:cs="Cambria Math"/>
          <w:bCs/>
          <w:sz w:val="24"/>
          <w:szCs w:val="24"/>
          <w:lang w:val="hy-AM" w:eastAsia="ru-RU"/>
        </w:rPr>
        <w:t>․</w:t>
      </w:r>
    </w:p>
    <w:p w14:paraId="59BD65B1"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«1. Հայաստանի Հանրապետությունում գնահատման ստանդարտները, ինչպես նաև գնահատողի վարքագծին ներկայացվող պահանջները սահմանում է Կառավարությունը` գնահատման միջազգային ստանդարտներին ու վարքագծի կանոններին համահունչ, որոնց կիրառումը պարտադիր է գնահատողների համար:»։</w:t>
      </w:r>
    </w:p>
    <w:p w14:paraId="51F314E3"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«Հայաստանի Հանրապետությունում գնահատման ստանդարտները, ինչպես նաև գնահատողի վարքագծին ներկայացվող պահանջները սահմանելու մասին» ՀՀ Կառավարության  2022 թվականի օգոստոսի 24-ի թիվ N 1355-Ն որոշման N 2 հավելվածի համաձայն</w:t>
      </w:r>
      <w:r w:rsidRPr="00CC60FD">
        <w:rPr>
          <w:rFonts w:ascii="Cambria Math" w:eastAsia="Times New Roman" w:hAnsi="Cambria Math" w:cs="Cambria Math"/>
          <w:bCs/>
          <w:sz w:val="24"/>
          <w:szCs w:val="24"/>
          <w:lang w:val="hy-AM" w:eastAsia="ru-RU"/>
        </w:rPr>
        <w:t>․</w:t>
      </w:r>
      <w:r w:rsidRPr="00CC60FD">
        <w:rPr>
          <w:rFonts w:ascii="GHEA Grapalat" w:eastAsia="Times New Roman" w:hAnsi="GHEA Grapalat" w:cs="Times New Roman"/>
          <w:bCs/>
          <w:sz w:val="24"/>
          <w:szCs w:val="24"/>
          <w:lang w:val="hy-AM" w:eastAsia="ru-RU"/>
        </w:rPr>
        <w:t xml:space="preserve"> </w:t>
      </w:r>
    </w:p>
    <w:p w14:paraId="75751D48"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«1</w:t>
      </w:r>
      <w:r w:rsidRPr="00CC60FD">
        <w:rPr>
          <w:rFonts w:ascii="Cambria Math" w:eastAsia="Times New Roman" w:hAnsi="Cambria Math" w:cs="Cambria Math"/>
          <w:bCs/>
          <w:i/>
          <w:sz w:val="24"/>
          <w:szCs w:val="24"/>
          <w:lang w:val="hy-AM" w:eastAsia="ru-RU"/>
        </w:rPr>
        <w:t>․</w:t>
      </w:r>
      <w:r w:rsidRPr="00CC60FD">
        <w:rPr>
          <w:rFonts w:ascii="GHEA Grapalat" w:eastAsia="Times New Roman" w:hAnsi="GHEA Grapalat" w:cs="Times New Roman"/>
          <w:bCs/>
          <w:i/>
          <w:sz w:val="24"/>
          <w:szCs w:val="24"/>
          <w:lang w:val="hy-AM" w:eastAsia="ru-RU"/>
        </w:rPr>
        <w:t xml:space="preserve"> Սույն որոշման N 1 հավելվածով սահմանված ստանդարտում (այսուհետ` Ընդհանուր ստանդարտ) ընդգրկված դրույթները վերաբերում են նաև անշարժ գույքի գնահատմանը: Սույն հավելվածը ներառում է անշարժ գույքի նկատմամբ իրավունքների գնահատման լրացուցիչ պահանջները:</w:t>
      </w:r>
    </w:p>
    <w:p w14:paraId="28F144AD"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2. Անշարժ գույքի գնահատման ստանդարտն իրենից ներկայացնում է միջազգային ստանդարտներին համահունչ, անշարժ գույքի գնահատումը կանոնակարգող, համընդհանուր, պարտադիր և բազմակի կիրառման համար կանոններ, ցուցումներ, որում սահմանված դրույթները համապատասխանում են նաև Ընդհանուր ստանդարտին:</w:t>
      </w:r>
    </w:p>
    <w:p w14:paraId="4AE45B84"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3. Սույն հավելվածի գործողությունը տարածվում է Հայաստանի Հանրապետության տարածքում իրականացվող անշարժ գույքի գնահատման գործունեության վրա:</w:t>
      </w:r>
    </w:p>
    <w:p w14:paraId="3597B969"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4. Սույն հավելվածը ենթակա է կիրառման գնահատողների կողմից անշարժ գույքի գնահատման ժամանակ, ինչպես նաև օրենքով սահմանված կարգով գնահատման հաշվետվությունների վերաբերյալ մասնագիտական եզրակացություն տրամադրող անձանց համար:</w:t>
      </w:r>
    </w:p>
    <w:p w14:paraId="18B0BE8C"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lastRenderedPageBreak/>
        <w:t>Սույն հավելվածի դրույթները չեն տարածվում անշարժ գույքի հարկով հարկման նպատակով անշարժ գույքի շուկայական արժեքին մոտարկված կադաստրային գնահատման վրա:</w:t>
      </w:r>
    </w:p>
    <w:p w14:paraId="4F8ACCB0"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w:t>
      </w:r>
    </w:p>
    <w:p w14:paraId="1ADB4EE3"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Նույն որոշման N 1 հավելվածի 15-րդ կետի համաձայն</w:t>
      </w:r>
      <w:r w:rsidRPr="00CC60FD">
        <w:rPr>
          <w:rFonts w:ascii="Cambria Math" w:eastAsia="Times New Roman" w:hAnsi="Cambria Math" w:cs="Cambria Math"/>
          <w:bCs/>
          <w:sz w:val="24"/>
          <w:szCs w:val="24"/>
          <w:lang w:val="hy-AM" w:eastAsia="ru-RU"/>
        </w:rPr>
        <w:t>․</w:t>
      </w:r>
    </w:p>
    <w:p w14:paraId="6A6E10DC" w14:textId="77777777" w:rsidR="00CC60FD" w:rsidRPr="00CC60FD" w:rsidRDefault="00CC60FD" w:rsidP="00884039">
      <w:pPr>
        <w:shd w:val="clear" w:color="auto" w:fill="FFFFFF"/>
        <w:spacing w:after="0" w:line="360" w:lineRule="auto"/>
        <w:ind w:right="150"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w:t>
      </w:r>
      <w:r w:rsidRPr="00CC60FD">
        <w:rPr>
          <w:rFonts w:ascii="GHEA Grapalat" w:eastAsia="Times New Roman" w:hAnsi="GHEA Grapalat" w:cs="Times New Roman"/>
          <w:i/>
          <w:sz w:val="24"/>
          <w:szCs w:val="24"/>
          <w:lang w:val="hy-AM" w:eastAsia="ru-RU"/>
        </w:rPr>
        <w:t>Շուկայական արժեքը</w:t>
      </w:r>
      <w:r w:rsidRPr="00CC60FD">
        <w:rPr>
          <w:rFonts w:ascii="GHEA Grapalat" w:eastAsia="Times New Roman" w:hAnsi="GHEA Grapalat" w:cs="Times New Roman"/>
          <w:bCs/>
          <w:i/>
          <w:sz w:val="24"/>
          <w:szCs w:val="24"/>
          <w:lang w:val="hy-AM" w:eastAsia="ru-RU"/>
        </w:rPr>
        <w:t xml:space="preserve"> հաշվարկային դրամական մեծություն է, որով հավանաբար կիրականացվեր, գնահատման ամսաթվի դրությամբ, շահագրգիռ կողմերի միջև, բաց և մրցակցային շուկայում գնահատվող օբյեկտի փոխանակում, որի պարագայում կողմերից յուրաքանչյուրը, իրազեկված լինելով, գործում է ողջամտորեն և առանց հարկադրանքի:</w:t>
      </w:r>
    </w:p>
    <w:p w14:paraId="1B89C32E"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w:t>
      </w:r>
    </w:p>
    <w:p w14:paraId="0F118DD6"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2) «Շուկայական արժեք» հասկացությունը ենթադրում է, որ գները սահմանվում են բաց և մրցունակ շուկայում, որտեղ մասնակիցներն օժտված են գործելու ազատությամբ: Գնահատվող օբյեկտների շուկան կարող է լինել ինչպես միջազգային, այնպես էլ տեղական, որը կարող է բաղկացած լինել բազմաթիվ գնորդներից և վաճառողներից կամ լինել սահմանափակ մասնակիցների քանակով:</w:t>
      </w:r>
    </w:p>
    <w:p w14:paraId="2F7B0137"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i/>
          <w:sz w:val="24"/>
          <w:szCs w:val="24"/>
          <w:lang w:val="hy-AM" w:eastAsia="ru-RU"/>
        </w:rPr>
        <w:t>(…)»:</w:t>
      </w:r>
    </w:p>
    <w:p w14:paraId="1CEA76D8"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i/>
          <w:sz w:val="24"/>
          <w:szCs w:val="24"/>
          <w:lang w:val="hy-AM" w:eastAsia="ru-RU"/>
        </w:rPr>
      </w:pPr>
      <w:r w:rsidRPr="00CC60FD">
        <w:rPr>
          <w:rFonts w:ascii="GHEA Grapalat" w:eastAsia="Times New Roman" w:hAnsi="GHEA Grapalat" w:cs="Times New Roman"/>
          <w:bCs/>
          <w:sz w:val="24"/>
          <w:szCs w:val="24"/>
          <w:lang w:val="hy-AM" w:eastAsia="ru-RU"/>
        </w:rPr>
        <w:t>«Անշարժ գույքի հարկով հարկման նպատակով անշարժ գույքի շուկայական արժեքին մոտարկված կադաստրային գնահատման կարգը սահմանելու մասին» ՀՀ օրենքի 2-րդ հոդվածի համաձայն</w:t>
      </w:r>
      <w:r w:rsidRPr="00CC60FD">
        <w:rPr>
          <w:rFonts w:ascii="Cambria Math" w:eastAsia="Times New Roman" w:hAnsi="Cambria Math" w:cs="Cambria Math"/>
          <w:bCs/>
          <w:sz w:val="24"/>
          <w:szCs w:val="24"/>
          <w:lang w:val="hy-AM" w:eastAsia="ru-RU"/>
        </w:rPr>
        <w:t>․</w:t>
      </w:r>
      <w:r w:rsidRPr="00CC60FD">
        <w:rPr>
          <w:rFonts w:ascii="GHEA Grapalat" w:eastAsia="Times New Roman" w:hAnsi="GHEA Grapalat" w:cs="Times New Roman"/>
          <w:bCs/>
          <w:sz w:val="24"/>
          <w:szCs w:val="24"/>
          <w:lang w:val="hy-AM" w:eastAsia="ru-RU"/>
        </w:rPr>
        <w:t xml:space="preserve"> </w:t>
      </w:r>
      <w:r w:rsidRPr="00CC60FD">
        <w:rPr>
          <w:rFonts w:ascii="GHEA Grapalat" w:eastAsia="Times New Roman" w:hAnsi="GHEA Grapalat" w:cs="Times New Roman"/>
          <w:bCs/>
          <w:i/>
          <w:sz w:val="24"/>
          <w:szCs w:val="24"/>
          <w:lang w:val="hy-AM" w:eastAsia="ru-RU"/>
        </w:rPr>
        <w:t>«Սույն օրենքի գործողությունը տարածվում է անշարժ գույքի հարկով հարկման նպատակով կարգավորման ենթակա իրավահարաբերությունների վրա:»։</w:t>
      </w:r>
    </w:p>
    <w:p w14:paraId="69DE0A78" w14:textId="77777777" w:rsidR="00CC60FD" w:rsidRPr="00CC60FD"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Նույն օրենքի 3-5-րդ հոդվածներով նախատեսված են համապատասխան բանաձևեր՝ հարկով հարկման նպատակով անշարժ գույքի տարբեր տեսակների շուկայական արժեքին մոտարկված կադաստրային արժեքները որոշելու համար։</w:t>
      </w:r>
    </w:p>
    <w:p w14:paraId="3F76C56B" w14:textId="77777777" w:rsidR="001C578C"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 xml:space="preserve">Մեջբերված նորմերի համադրված վերլուծության հիման վրա </w:t>
      </w:r>
      <w:r w:rsidR="001C578C">
        <w:rPr>
          <w:rFonts w:ascii="GHEA Grapalat" w:eastAsia="Times New Roman" w:hAnsi="GHEA Grapalat" w:cs="Times New Roman"/>
          <w:bCs/>
          <w:sz w:val="24"/>
          <w:szCs w:val="24"/>
          <w:lang w:val="hy-AM" w:eastAsia="ru-RU"/>
        </w:rPr>
        <w:t>հարկ է արձանագրել,</w:t>
      </w:r>
      <w:r w:rsidRPr="00CC60FD">
        <w:rPr>
          <w:rFonts w:ascii="GHEA Grapalat" w:eastAsia="Times New Roman" w:hAnsi="GHEA Grapalat" w:cs="Times New Roman"/>
          <w:bCs/>
          <w:sz w:val="24"/>
          <w:szCs w:val="24"/>
          <w:lang w:val="hy-AM" w:eastAsia="ru-RU"/>
        </w:rPr>
        <w:t xml:space="preserve"> որ «արգելադրման ենթակա գույքի արժեք» հասկացությունը ենթադրում է հատուկ գիտելիքների տիրապետող օրենքով սահմանված չափանիշներին («Գնահատման գործունեության մասին» ՀՀ օրենքի 4-րդ հոդվածի 1-ին մասի 1-2-րդ կետերը) համապատասխանող անձի կողմից այդ գույքի գնահատման արդյունքում </w:t>
      </w:r>
      <w:r w:rsidRPr="00CC60FD">
        <w:rPr>
          <w:rFonts w:ascii="GHEA Grapalat" w:eastAsia="Times New Roman" w:hAnsi="GHEA Grapalat" w:cs="Times New Roman"/>
          <w:bCs/>
          <w:sz w:val="24"/>
          <w:szCs w:val="24"/>
          <w:lang w:val="hy-AM" w:eastAsia="ru-RU"/>
        </w:rPr>
        <w:lastRenderedPageBreak/>
        <w:t xml:space="preserve">ձևավորված հաշվարկային դրամական մեծություն։ Այս նպատակով անշարժ գույքի գնահատման իրավահարաբերությունների նկատմամբ կիրառելի են «Գնահատման գործունեության մասին» ՀՀ օրենքի և դրա հիման վրա ընդունված «Հայաստանի Հանրապետությունում գնահատման ստանդարտները, ինչպես նաև գնահատողի վարքագծին ներկայացվող պահանջները սահմանելու մասին» ՀՀ Կառավարության  2022 թվականի օգոստոսի 24-ի թիվ N 1355-Ն որոշման իրավական նորմերը։ </w:t>
      </w:r>
    </w:p>
    <w:p w14:paraId="5C984E8F" w14:textId="4B1D820E" w:rsidR="001C578C" w:rsidRDefault="00CC60FD"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CC60FD">
        <w:rPr>
          <w:rFonts w:ascii="GHEA Grapalat" w:eastAsia="Times New Roman" w:hAnsi="GHEA Grapalat" w:cs="Times New Roman"/>
          <w:bCs/>
          <w:sz w:val="24"/>
          <w:szCs w:val="24"/>
          <w:lang w:val="hy-AM" w:eastAsia="ru-RU"/>
        </w:rPr>
        <w:t>Ընդ որում, Կառավարության որոշմամբ սահմանված ստանդարտների ուսումնասիրությունից երևում է, որ անշարժ գույքի գնահատումն անպայմանորեն չի ենթադրում փորձաքննության իրականացում</w:t>
      </w:r>
      <w:r w:rsidR="001C578C">
        <w:rPr>
          <w:rFonts w:ascii="GHEA Grapalat" w:eastAsia="Times New Roman" w:hAnsi="GHEA Grapalat" w:cs="Times New Roman"/>
          <w:bCs/>
          <w:sz w:val="24"/>
          <w:szCs w:val="24"/>
          <w:lang w:val="hy-AM" w:eastAsia="ru-RU"/>
        </w:rPr>
        <w:t>:</w:t>
      </w:r>
      <w:r w:rsidRPr="00CC60FD">
        <w:rPr>
          <w:rFonts w:ascii="GHEA Grapalat" w:eastAsia="Times New Roman" w:hAnsi="GHEA Grapalat" w:cs="Times New Roman"/>
          <w:bCs/>
          <w:sz w:val="24"/>
          <w:szCs w:val="24"/>
          <w:lang w:val="hy-AM" w:eastAsia="ru-RU"/>
        </w:rPr>
        <w:t xml:space="preserve"> </w:t>
      </w:r>
    </w:p>
    <w:p w14:paraId="383B3F73" w14:textId="71DF8137" w:rsidR="003321A5" w:rsidRDefault="001C578C" w:rsidP="00884039">
      <w:pPr>
        <w:tabs>
          <w:tab w:val="left" w:pos="1080"/>
        </w:tabs>
        <w:spacing w:after="0" w:line="360" w:lineRule="auto"/>
        <w:ind w:firstLine="720"/>
        <w:jc w:val="both"/>
        <w:rPr>
          <w:rFonts w:ascii="GHEA Grapalat" w:hAnsi="GHEA Grapalat"/>
          <w:sz w:val="24"/>
          <w:szCs w:val="24"/>
          <w:lang w:val="hy-AM"/>
        </w:rPr>
      </w:pPr>
      <w:r>
        <w:rPr>
          <w:rFonts w:ascii="GHEA Grapalat" w:eastAsia="Times New Roman" w:hAnsi="GHEA Grapalat" w:cs="Times New Roman"/>
          <w:bCs/>
          <w:sz w:val="24"/>
          <w:szCs w:val="24"/>
          <w:lang w:val="hy-AM" w:eastAsia="ru-RU"/>
        </w:rPr>
        <w:t xml:space="preserve">Մինչդեռ, </w:t>
      </w:r>
      <w:r w:rsidR="003F3531">
        <w:rPr>
          <w:rFonts w:ascii="GHEA Grapalat" w:eastAsia="Times New Roman" w:hAnsi="GHEA Grapalat" w:cs="Times New Roman"/>
          <w:bCs/>
          <w:sz w:val="24"/>
          <w:szCs w:val="24"/>
          <w:lang w:val="hy-AM" w:eastAsia="ru-RU"/>
        </w:rPr>
        <w:t>Օ</w:t>
      </w:r>
      <w:r w:rsidRPr="00875108">
        <w:rPr>
          <w:rFonts w:ascii="GHEA Grapalat" w:hAnsi="GHEA Grapalat"/>
          <w:sz w:val="24"/>
          <w:szCs w:val="24"/>
          <w:lang w:val="hy-AM"/>
        </w:rPr>
        <w:t>րենսգրքի 133-րդ հոդվածի 7-րդ մաս</w:t>
      </w:r>
      <w:r>
        <w:rPr>
          <w:rFonts w:ascii="GHEA Grapalat" w:hAnsi="GHEA Grapalat"/>
          <w:sz w:val="24"/>
          <w:szCs w:val="24"/>
          <w:lang w:val="hy-AM"/>
        </w:rPr>
        <w:t xml:space="preserve">ում «փորձագետ» եզրույթի գործածումը </w:t>
      </w:r>
      <w:r w:rsidRPr="00875108">
        <w:rPr>
          <w:rFonts w:ascii="GHEA Grapalat" w:hAnsi="GHEA Grapalat"/>
          <w:sz w:val="24"/>
          <w:szCs w:val="24"/>
          <w:lang w:val="hy-AM"/>
        </w:rPr>
        <w:t xml:space="preserve">գործնականում </w:t>
      </w:r>
      <w:r>
        <w:rPr>
          <w:rFonts w:ascii="GHEA Grapalat" w:hAnsi="GHEA Grapalat"/>
          <w:sz w:val="24"/>
          <w:szCs w:val="24"/>
          <w:lang w:val="hy-AM"/>
        </w:rPr>
        <w:t xml:space="preserve">տարբեր մեկնաբանությունների տեղիք է տալիս և </w:t>
      </w:r>
      <w:r w:rsidRPr="00875108">
        <w:rPr>
          <w:rFonts w:ascii="GHEA Grapalat" w:hAnsi="GHEA Grapalat"/>
          <w:sz w:val="24"/>
          <w:szCs w:val="24"/>
          <w:lang w:val="hy-AM"/>
        </w:rPr>
        <w:t xml:space="preserve">խնդրահարույց է դարձնում գույքն անհապաղ արգելադրելու պահանջի իրացումը, քանի որ </w:t>
      </w:r>
      <w:r>
        <w:rPr>
          <w:rFonts w:ascii="GHEA Grapalat" w:hAnsi="GHEA Grapalat"/>
          <w:sz w:val="24"/>
          <w:szCs w:val="24"/>
          <w:lang w:val="hy-AM"/>
        </w:rPr>
        <w:t xml:space="preserve">որոշ դեպքերում այն մեկնաբանվում է որպես պարտադիր </w:t>
      </w:r>
      <w:r w:rsidRPr="00875108">
        <w:rPr>
          <w:rFonts w:ascii="GHEA Grapalat" w:hAnsi="GHEA Grapalat"/>
          <w:sz w:val="24"/>
          <w:szCs w:val="24"/>
          <w:lang w:val="hy-AM"/>
        </w:rPr>
        <w:t>փորձաքննության նշանակ</w:t>
      </w:r>
      <w:r>
        <w:rPr>
          <w:rFonts w:ascii="GHEA Grapalat" w:hAnsi="GHEA Grapalat"/>
          <w:sz w:val="24"/>
          <w:szCs w:val="24"/>
          <w:lang w:val="hy-AM"/>
        </w:rPr>
        <w:t>ման պահանջ</w:t>
      </w:r>
      <w:r w:rsidRPr="00875108">
        <w:rPr>
          <w:rFonts w:ascii="GHEA Grapalat" w:hAnsi="GHEA Grapalat"/>
          <w:sz w:val="24"/>
          <w:szCs w:val="24"/>
          <w:lang w:val="hy-AM"/>
        </w:rPr>
        <w:t xml:space="preserve"> և լրջորեն ձգձգում է գործընթացը: </w:t>
      </w:r>
      <w:r>
        <w:rPr>
          <w:rFonts w:ascii="GHEA Grapalat" w:hAnsi="GHEA Grapalat"/>
          <w:sz w:val="24"/>
          <w:szCs w:val="24"/>
          <w:lang w:val="hy-AM"/>
        </w:rPr>
        <w:t xml:space="preserve">Հիշյալը </w:t>
      </w:r>
      <w:r w:rsidRPr="00875108">
        <w:rPr>
          <w:rFonts w:ascii="GHEA Grapalat" w:hAnsi="GHEA Grapalat"/>
          <w:sz w:val="24"/>
          <w:szCs w:val="24"/>
          <w:lang w:val="hy-AM"/>
        </w:rPr>
        <w:t>ոչ իրավաչափորեն բացառում է վարույթի սկզբանական փուլում գույքի շուկայական արժեքի որոշումը</w:t>
      </w:r>
      <w:r>
        <w:rPr>
          <w:rFonts w:ascii="GHEA Grapalat" w:hAnsi="GHEA Grapalat"/>
          <w:sz w:val="24"/>
          <w:szCs w:val="24"/>
          <w:lang w:val="hy-AM"/>
        </w:rPr>
        <w:t>՝ առանց փորձաքննության իրականացման</w:t>
      </w:r>
      <w:r w:rsidRPr="00875108">
        <w:rPr>
          <w:rFonts w:ascii="GHEA Grapalat" w:hAnsi="GHEA Grapalat"/>
          <w:sz w:val="24"/>
          <w:szCs w:val="24"/>
          <w:lang w:val="hy-AM"/>
        </w:rPr>
        <w:t>:</w:t>
      </w:r>
      <w:r>
        <w:rPr>
          <w:rFonts w:ascii="GHEA Grapalat" w:hAnsi="GHEA Grapalat"/>
          <w:sz w:val="24"/>
          <w:szCs w:val="24"/>
          <w:lang w:val="hy-AM"/>
        </w:rPr>
        <w:t xml:space="preserve"> Բացի այդ՝ հիշյալ նորմում օգտագործվում է նաև «շուկայական գին» եզրույթը, մինչդեռ ոլորտային օրենսդրությունը բացահայտում է և օգտագործում է «շուկայական արժեք» եզրույթը: Հետևաբար՝ անհրաժեշտ է կատարել հստակեցումներ:</w:t>
      </w:r>
    </w:p>
    <w:p w14:paraId="2314E236" w14:textId="3F90F03D" w:rsidR="001C578C" w:rsidRPr="003321A5" w:rsidRDefault="003F3531" w:rsidP="00884039">
      <w:pPr>
        <w:pStyle w:val="ListParagraph"/>
        <w:numPr>
          <w:ilvl w:val="0"/>
          <w:numId w:val="9"/>
        </w:numPr>
        <w:spacing w:after="0" w:line="360" w:lineRule="auto"/>
        <w:ind w:left="0" w:firstLine="630"/>
        <w:jc w:val="both"/>
        <w:rPr>
          <w:rFonts w:ascii="GHEA Grapalat" w:hAnsi="GHEA Grapalat"/>
          <w:sz w:val="24"/>
          <w:szCs w:val="24"/>
          <w:lang w:val="hy-AM"/>
        </w:rPr>
      </w:pPr>
      <w:r>
        <w:rPr>
          <w:rFonts w:ascii="GHEA Grapalat" w:eastAsia="Times New Roman" w:hAnsi="GHEA Grapalat" w:cs="Times New Roman"/>
          <w:bCs/>
          <w:sz w:val="24"/>
          <w:szCs w:val="24"/>
          <w:lang w:val="hy-AM" w:eastAsia="ru-RU"/>
        </w:rPr>
        <w:t>Օ</w:t>
      </w:r>
      <w:r w:rsidR="001C578C" w:rsidRPr="003321A5">
        <w:rPr>
          <w:rFonts w:ascii="GHEA Grapalat" w:eastAsia="Times New Roman" w:hAnsi="GHEA Grapalat" w:cs="Times New Roman"/>
          <w:bCs/>
          <w:sz w:val="24"/>
          <w:szCs w:val="24"/>
          <w:lang w:val="hy-AM" w:eastAsia="ru-RU"/>
        </w:rPr>
        <w:t>րենսգրքի 196-րդ հոդվածը սահմանում է հանրային քրեական հետապնդում չհարուցելու կամ այն դադարեցնելու վերաբերյալ հսկող դատախազի կողմից որոշում կայացնելու կարգը:</w:t>
      </w:r>
      <w:r w:rsidR="003321A5" w:rsidRPr="003321A5">
        <w:rPr>
          <w:rFonts w:ascii="GHEA Grapalat" w:eastAsia="Times New Roman" w:hAnsi="GHEA Grapalat" w:cs="Times New Roman"/>
          <w:bCs/>
          <w:sz w:val="24"/>
          <w:szCs w:val="24"/>
          <w:lang w:val="hy-AM" w:eastAsia="ru-RU"/>
        </w:rPr>
        <w:t xml:space="preserve"> </w:t>
      </w:r>
      <w:r w:rsidR="001C578C" w:rsidRPr="003321A5">
        <w:rPr>
          <w:rFonts w:ascii="GHEA Grapalat" w:eastAsia="Times New Roman" w:hAnsi="GHEA Grapalat" w:cs="Times New Roman"/>
          <w:bCs/>
          <w:sz w:val="24"/>
          <w:szCs w:val="24"/>
          <w:lang w:val="hy-AM" w:eastAsia="ru-RU"/>
        </w:rPr>
        <w:t>Չնայած հիշյալ հոդվածով ամրագրված են հանրային քրեական հետապնդում չհարուցելու կամ այն դադարեցնելու իրավակարգավորումները, սակայն հստակեցված չէ, թե հսկող դատախազի կողմից ինչ ժամկետում պետք է քննարկվի քննիչի կողմից ներկայացված քրեական հետապնդում չհարուցելու կամ քրեական հետապնդումը դադարեցնելու մասին միջնորդությունը։</w:t>
      </w:r>
    </w:p>
    <w:p w14:paraId="66176BC0" w14:textId="756C8C28" w:rsidR="001C578C" w:rsidRDefault="001C578C" w:rsidP="00884039">
      <w:pPr>
        <w:tabs>
          <w:tab w:val="left" w:pos="851"/>
        </w:tabs>
        <w:spacing w:after="0" w:line="360" w:lineRule="auto"/>
        <w:ind w:firstLine="720"/>
        <w:jc w:val="both"/>
        <w:rPr>
          <w:rFonts w:ascii="GHEA Grapalat" w:eastAsia="Times New Roman" w:hAnsi="GHEA Grapalat" w:cs="Times New Roman"/>
          <w:bCs/>
          <w:sz w:val="24"/>
          <w:szCs w:val="24"/>
          <w:lang w:val="hy-AM" w:eastAsia="ru-RU"/>
        </w:rPr>
      </w:pPr>
      <w:r w:rsidRPr="001C578C">
        <w:rPr>
          <w:rFonts w:ascii="GHEA Grapalat" w:eastAsia="Times New Roman" w:hAnsi="GHEA Grapalat" w:cs="Times New Roman"/>
          <w:bCs/>
          <w:sz w:val="24"/>
          <w:szCs w:val="24"/>
          <w:lang w:val="hy-AM" w:eastAsia="ru-RU"/>
        </w:rPr>
        <w:t>Նկատի ունենալով, որ քրեական դատավարության օրենսգրքով միջնորդությունների քննարկման համար սահմանված է յոթ</w:t>
      </w:r>
      <w:r w:rsidR="003321A5">
        <w:rPr>
          <w:rFonts w:ascii="GHEA Grapalat" w:eastAsia="Times New Roman" w:hAnsi="GHEA Grapalat" w:cs="Times New Roman"/>
          <w:bCs/>
          <w:sz w:val="24"/>
          <w:szCs w:val="24"/>
          <w:lang w:val="hy-AM" w:eastAsia="ru-RU"/>
        </w:rPr>
        <w:t>ն</w:t>
      </w:r>
      <w:r w:rsidRPr="001C578C">
        <w:rPr>
          <w:rFonts w:ascii="GHEA Grapalat" w:eastAsia="Times New Roman" w:hAnsi="GHEA Grapalat" w:cs="Times New Roman"/>
          <w:bCs/>
          <w:sz w:val="24"/>
          <w:szCs w:val="24"/>
          <w:lang w:val="hy-AM" w:eastAsia="ru-RU"/>
        </w:rPr>
        <w:t xml:space="preserve">օրյա ժամկետ, ուստի անհրաժեշտություն է առաջացել </w:t>
      </w:r>
      <w:r w:rsidR="003321A5">
        <w:rPr>
          <w:rFonts w:ascii="GHEA Grapalat" w:eastAsia="Times New Roman" w:hAnsi="GHEA Grapalat" w:cs="Times New Roman"/>
          <w:bCs/>
          <w:sz w:val="24"/>
          <w:szCs w:val="24"/>
          <w:lang w:val="hy-AM" w:eastAsia="ru-RU"/>
        </w:rPr>
        <w:t>Օ</w:t>
      </w:r>
      <w:r w:rsidRPr="001C578C">
        <w:rPr>
          <w:rFonts w:ascii="GHEA Grapalat" w:eastAsia="Times New Roman" w:hAnsi="GHEA Grapalat" w:cs="Times New Roman"/>
          <w:bCs/>
          <w:sz w:val="24"/>
          <w:szCs w:val="24"/>
          <w:lang w:val="hy-AM" w:eastAsia="ru-RU"/>
        </w:rPr>
        <w:t>րենսգրք</w:t>
      </w:r>
      <w:r w:rsidR="003321A5">
        <w:rPr>
          <w:rFonts w:ascii="GHEA Grapalat" w:eastAsia="Times New Roman" w:hAnsi="GHEA Grapalat" w:cs="Times New Roman"/>
          <w:bCs/>
          <w:sz w:val="24"/>
          <w:szCs w:val="24"/>
          <w:lang w:val="hy-AM" w:eastAsia="ru-RU"/>
        </w:rPr>
        <w:t>ում</w:t>
      </w:r>
      <w:r w:rsidRPr="001C578C">
        <w:rPr>
          <w:rFonts w:ascii="GHEA Grapalat" w:eastAsia="Times New Roman" w:hAnsi="GHEA Grapalat" w:cs="Times New Roman"/>
          <w:bCs/>
          <w:sz w:val="24"/>
          <w:szCs w:val="24"/>
          <w:lang w:val="hy-AM" w:eastAsia="ru-RU"/>
        </w:rPr>
        <w:t xml:space="preserve"> կատարել փոփոխություն և </w:t>
      </w:r>
      <w:r w:rsidR="003321A5">
        <w:rPr>
          <w:rFonts w:ascii="GHEA Grapalat" w:eastAsia="Times New Roman" w:hAnsi="GHEA Grapalat" w:cs="Times New Roman"/>
          <w:bCs/>
          <w:sz w:val="24"/>
          <w:szCs w:val="24"/>
          <w:lang w:val="hy-AM" w:eastAsia="ru-RU"/>
        </w:rPr>
        <w:t xml:space="preserve">սահմանել </w:t>
      </w:r>
      <w:r w:rsidRPr="001C578C">
        <w:rPr>
          <w:rFonts w:ascii="GHEA Grapalat" w:eastAsia="Times New Roman" w:hAnsi="GHEA Grapalat" w:cs="Times New Roman"/>
          <w:bCs/>
          <w:sz w:val="24"/>
          <w:szCs w:val="24"/>
          <w:lang w:val="hy-AM" w:eastAsia="ru-RU"/>
        </w:rPr>
        <w:t xml:space="preserve">հանրային քրեական հետապնդում չհարուցելու կամ քրեական հետապնդումը </w:t>
      </w:r>
      <w:r w:rsidRPr="001C578C">
        <w:rPr>
          <w:rFonts w:ascii="GHEA Grapalat" w:eastAsia="Times New Roman" w:hAnsi="GHEA Grapalat" w:cs="Times New Roman"/>
          <w:bCs/>
          <w:sz w:val="24"/>
          <w:szCs w:val="24"/>
          <w:lang w:val="hy-AM" w:eastAsia="ru-RU"/>
        </w:rPr>
        <w:lastRenderedPageBreak/>
        <w:t>դադարեցնելու մասին քննիչի կողմից ներկայացված միջնորդությունը հսկող դատախազի կողմից քննարկ</w:t>
      </w:r>
      <w:r w:rsidR="003321A5">
        <w:rPr>
          <w:rFonts w:ascii="GHEA Grapalat" w:eastAsia="Times New Roman" w:hAnsi="GHEA Grapalat" w:cs="Times New Roman"/>
          <w:bCs/>
          <w:sz w:val="24"/>
          <w:szCs w:val="24"/>
          <w:lang w:val="hy-AM" w:eastAsia="ru-RU"/>
        </w:rPr>
        <w:t>ելու</w:t>
      </w:r>
      <w:r w:rsidRPr="001C578C">
        <w:rPr>
          <w:rFonts w:ascii="GHEA Grapalat" w:eastAsia="Times New Roman" w:hAnsi="GHEA Grapalat" w:cs="Times New Roman"/>
          <w:bCs/>
          <w:sz w:val="24"/>
          <w:szCs w:val="24"/>
          <w:lang w:val="hy-AM" w:eastAsia="ru-RU"/>
        </w:rPr>
        <w:t xml:space="preserve"> յոթ</w:t>
      </w:r>
      <w:r w:rsidR="003321A5">
        <w:rPr>
          <w:rFonts w:ascii="GHEA Grapalat" w:eastAsia="Times New Roman" w:hAnsi="GHEA Grapalat" w:cs="Times New Roman"/>
          <w:bCs/>
          <w:sz w:val="24"/>
          <w:szCs w:val="24"/>
          <w:lang w:val="hy-AM" w:eastAsia="ru-RU"/>
        </w:rPr>
        <w:t>ն</w:t>
      </w:r>
      <w:r w:rsidRPr="001C578C">
        <w:rPr>
          <w:rFonts w:ascii="GHEA Grapalat" w:eastAsia="Times New Roman" w:hAnsi="GHEA Grapalat" w:cs="Times New Roman"/>
          <w:bCs/>
          <w:sz w:val="24"/>
          <w:szCs w:val="24"/>
          <w:lang w:val="hy-AM" w:eastAsia="ru-RU"/>
        </w:rPr>
        <w:t xml:space="preserve">օրյա ժամկետ:  </w:t>
      </w:r>
    </w:p>
    <w:p w14:paraId="3DA7D50D" w14:textId="5E02FACB" w:rsidR="009953DB" w:rsidRDefault="00796D88" w:rsidP="00884039">
      <w:pPr>
        <w:pStyle w:val="ListParagraph"/>
        <w:numPr>
          <w:ilvl w:val="0"/>
          <w:numId w:val="9"/>
        </w:numPr>
        <w:spacing w:after="0" w:line="360" w:lineRule="auto"/>
        <w:ind w:left="0" w:firstLine="720"/>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Հաշվի առնելով, գտնվելու վայրն անհայտ կամ Հայաստանի Հանրապետության սահմաններից դուրս գտնվող մեղադրյալի նկատմամբ խափանման միջոց կիրառելու վերաբերյալ միջնորդության քննության առանձնահատկությունները՝ գործիքակազմի առավել արդյունավետ գործադրման նպատակով անհրաժեշտ է նախատեսել, որ, որպես կանոն, այդ միջնորդությունների քննությունը կարող է իրականացվել գրավոր ընթացակարգով:</w:t>
      </w:r>
    </w:p>
    <w:p w14:paraId="41AD023E" w14:textId="15FA55A4" w:rsidR="00CC60FD" w:rsidRPr="008D4FE6" w:rsidRDefault="00A54CF8"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sidRPr="00A54CF8">
        <w:rPr>
          <w:rFonts w:ascii="GHEA Grapalat" w:eastAsia="Times New Roman" w:hAnsi="GHEA Grapalat" w:cs="Times New Roman"/>
          <w:bCs/>
          <w:sz w:val="24"/>
          <w:szCs w:val="24"/>
          <w:lang w:val="hy-AM" w:eastAsia="ru-RU"/>
        </w:rPr>
        <w:t>Դատական վարույթի հրապարակայնությունը</w:t>
      </w:r>
      <w:r>
        <w:rPr>
          <w:rFonts w:ascii="GHEA Grapalat" w:eastAsia="Times New Roman" w:hAnsi="GHEA Grapalat" w:cs="Times New Roman"/>
          <w:bCs/>
          <w:sz w:val="24"/>
          <w:szCs w:val="24"/>
          <w:lang w:val="hy-AM" w:eastAsia="ru-RU"/>
        </w:rPr>
        <w:t xml:space="preserve"> </w:t>
      </w:r>
      <w:r w:rsidRPr="00A54CF8">
        <w:rPr>
          <w:rFonts w:ascii="GHEA Grapalat" w:eastAsia="Times New Roman" w:hAnsi="GHEA Grapalat" w:cs="Times New Roman"/>
          <w:bCs/>
          <w:sz w:val="24"/>
          <w:szCs w:val="24"/>
          <w:lang w:val="hy-AM" w:eastAsia="ru-RU"/>
        </w:rPr>
        <w:t>Սահմանադրությամբ և Մարդու իրավունքների և հիմնական ազատություների պաշտպանության մասին կոնվենցիա</w:t>
      </w:r>
      <w:r>
        <w:rPr>
          <w:rFonts w:ascii="GHEA Grapalat" w:eastAsia="Times New Roman" w:hAnsi="GHEA Grapalat" w:cs="Times New Roman"/>
          <w:bCs/>
          <w:sz w:val="24"/>
          <w:szCs w:val="24"/>
          <w:lang w:val="hy-AM" w:eastAsia="ru-RU"/>
        </w:rPr>
        <w:t xml:space="preserve">յով նախատեսված կարևոր երաշխիքներից է: </w:t>
      </w:r>
      <w:r w:rsidRPr="00A54CF8">
        <w:rPr>
          <w:rFonts w:ascii="GHEA Grapalat" w:eastAsia="Times New Roman" w:hAnsi="GHEA Grapalat" w:cs="Times New Roman"/>
          <w:bCs/>
          <w:sz w:val="24"/>
          <w:szCs w:val="24"/>
          <w:lang w:val="hy-AM" w:eastAsia="ru-RU"/>
        </w:rPr>
        <w:t xml:space="preserve"> Միևնույն ժամանակ, դրա սահմանափակումները թույլատրելի են, եթե դրանք ուղղված են</w:t>
      </w:r>
      <w:r>
        <w:rPr>
          <w:rFonts w:ascii="GHEA Grapalat" w:eastAsia="Times New Roman" w:hAnsi="GHEA Grapalat" w:cs="Times New Roman"/>
          <w:bCs/>
          <w:sz w:val="24"/>
          <w:szCs w:val="24"/>
          <w:lang w:val="hy-AM" w:eastAsia="ru-RU"/>
        </w:rPr>
        <w:t xml:space="preserve"> ինչպես </w:t>
      </w:r>
      <w:r w:rsidRPr="00A54CF8">
        <w:rPr>
          <w:rFonts w:ascii="GHEA Grapalat" w:hAnsi="GHEA Grapalat" w:cs="Times New Roman"/>
          <w:sz w:val="24"/>
          <w:szCs w:val="24"/>
          <w:lang w:val="hy-AM"/>
        </w:rPr>
        <w:t>մասնավոր մասնակիցների իրավունքներ</w:t>
      </w:r>
      <w:r>
        <w:rPr>
          <w:rFonts w:ascii="GHEA Grapalat" w:hAnsi="GHEA Grapalat" w:cs="Times New Roman"/>
          <w:sz w:val="24"/>
          <w:szCs w:val="24"/>
          <w:lang w:val="hy-AM"/>
        </w:rPr>
        <w:t xml:space="preserve">ի, այնպես էլ </w:t>
      </w:r>
      <w:r w:rsidRPr="00A54CF8">
        <w:rPr>
          <w:rFonts w:ascii="GHEA Grapalat" w:hAnsi="GHEA Grapalat" w:cs="Times New Roman"/>
          <w:sz w:val="24"/>
          <w:szCs w:val="24"/>
          <w:lang w:val="hy-AM"/>
        </w:rPr>
        <w:t>արդարադատության շահեր</w:t>
      </w:r>
      <w:r>
        <w:rPr>
          <w:rFonts w:ascii="GHEA Grapalat" w:hAnsi="GHEA Grapalat" w:cs="Times New Roman"/>
          <w:sz w:val="24"/>
          <w:szCs w:val="24"/>
          <w:lang w:val="hy-AM"/>
        </w:rPr>
        <w:t xml:space="preserve">ի պաշտպանությանը: </w:t>
      </w:r>
      <w:r w:rsidRPr="00A54CF8">
        <w:rPr>
          <w:rFonts w:ascii="GHEA Grapalat" w:eastAsia="Times New Roman" w:hAnsi="GHEA Grapalat" w:cs="Times New Roman"/>
          <w:bCs/>
          <w:sz w:val="24"/>
          <w:szCs w:val="24"/>
          <w:lang w:val="hy-AM" w:eastAsia="ru-RU"/>
        </w:rPr>
        <w:t xml:space="preserve">Գործնականում դատական նիստերի </w:t>
      </w:r>
      <w:r w:rsidR="008D4FE6">
        <w:rPr>
          <w:rFonts w:ascii="GHEA Grapalat" w:eastAsia="Times New Roman" w:hAnsi="GHEA Grapalat" w:cs="Times New Roman"/>
          <w:bCs/>
          <w:sz w:val="24"/>
          <w:szCs w:val="24"/>
          <w:lang w:val="hy-AM" w:eastAsia="ru-RU"/>
        </w:rPr>
        <w:t xml:space="preserve">տեսաձայնագրումների տարածումը, դրա ընթացքի </w:t>
      </w:r>
      <w:r w:rsidRPr="00A54CF8">
        <w:rPr>
          <w:rFonts w:ascii="GHEA Grapalat" w:eastAsia="Times New Roman" w:hAnsi="GHEA Grapalat" w:cs="Times New Roman"/>
          <w:bCs/>
          <w:sz w:val="24"/>
          <w:szCs w:val="24"/>
          <w:lang w:val="hy-AM" w:eastAsia="ru-RU"/>
        </w:rPr>
        <w:t>հեռարձակումները</w:t>
      </w:r>
      <w:r>
        <w:rPr>
          <w:rFonts w:ascii="GHEA Grapalat" w:eastAsia="Times New Roman" w:hAnsi="GHEA Grapalat" w:cs="Times New Roman"/>
          <w:bCs/>
          <w:sz w:val="24"/>
          <w:szCs w:val="24"/>
          <w:lang w:val="hy-AM" w:eastAsia="ru-RU"/>
        </w:rPr>
        <w:t xml:space="preserve"> հ</w:t>
      </w:r>
      <w:r w:rsidRPr="00A54CF8">
        <w:rPr>
          <w:rFonts w:ascii="GHEA Grapalat" w:eastAsia="Times New Roman" w:hAnsi="GHEA Grapalat" w:cs="Times New Roman"/>
          <w:bCs/>
          <w:sz w:val="24"/>
          <w:szCs w:val="24"/>
          <w:lang w:val="hy-AM" w:eastAsia="ru-RU"/>
        </w:rPr>
        <w:t xml:space="preserve">անգեցրել են այնպիսի իրավիճակների, երբ դեռևս չհարցաքննված վկաները հնարավորություն են ունեցել հետևել նիստին և տեղեկանալ արդեն տրված ցուցմունքներին։ </w:t>
      </w:r>
      <w:r>
        <w:rPr>
          <w:rFonts w:ascii="GHEA Grapalat" w:eastAsia="Times New Roman" w:hAnsi="GHEA Grapalat" w:cs="Times New Roman"/>
          <w:bCs/>
          <w:sz w:val="24"/>
          <w:szCs w:val="24"/>
          <w:lang w:val="hy-AM" w:eastAsia="ru-RU"/>
        </w:rPr>
        <w:t xml:space="preserve">Հիշյալն անընդունելի է և </w:t>
      </w:r>
      <w:r w:rsidRPr="00A54CF8">
        <w:rPr>
          <w:rFonts w:ascii="GHEA Grapalat" w:eastAsia="Times New Roman" w:hAnsi="GHEA Grapalat" w:cs="Times New Roman"/>
          <w:bCs/>
          <w:sz w:val="24"/>
          <w:szCs w:val="24"/>
          <w:lang w:val="hy-AM" w:eastAsia="ru-RU"/>
        </w:rPr>
        <w:t xml:space="preserve">վտանգում է </w:t>
      </w:r>
      <w:r>
        <w:rPr>
          <w:rFonts w:ascii="GHEA Grapalat" w:eastAsia="Times New Roman" w:hAnsi="GHEA Grapalat" w:cs="Times New Roman"/>
          <w:bCs/>
          <w:sz w:val="24"/>
          <w:szCs w:val="24"/>
          <w:lang w:val="hy-AM" w:eastAsia="ru-RU"/>
        </w:rPr>
        <w:t>գործի համակողմանի, անաչառ և պատշաճ քննության իրականացումը</w:t>
      </w:r>
      <w:r w:rsidRPr="00A54CF8">
        <w:rPr>
          <w:rFonts w:ascii="GHEA Grapalat" w:eastAsia="Times New Roman" w:hAnsi="GHEA Grapalat" w:cs="Times New Roman"/>
          <w:bCs/>
          <w:sz w:val="24"/>
          <w:szCs w:val="24"/>
          <w:lang w:val="hy-AM" w:eastAsia="ru-RU"/>
        </w:rPr>
        <w:t>։</w:t>
      </w:r>
      <w:r w:rsidR="008D4FE6">
        <w:rPr>
          <w:rFonts w:ascii="GHEA Grapalat" w:eastAsia="Times New Roman" w:hAnsi="GHEA Grapalat" w:cs="Times New Roman"/>
          <w:bCs/>
          <w:sz w:val="24"/>
          <w:szCs w:val="24"/>
          <w:lang w:val="hy-AM" w:eastAsia="ru-RU"/>
        </w:rPr>
        <w:t xml:space="preserve"> Ուստի անհրաժեշտ է </w:t>
      </w:r>
      <w:r w:rsidR="008D4FE6" w:rsidRPr="008D4FE6">
        <w:rPr>
          <w:rFonts w:ascii="GHEA Grapalat" w:eastAsia="Times New Roman" w:hAnsi="GHEA Grapalat" w:cs="Times New Roman"/>
          <w:bCs/>
          <w:sz w:val="24"/>
          <w:szCs w:val="24"/>
          <w:lang w:val="hy-AM" w:eastAsia="ru-RU"/>
        </w:rPr>
        <w:t xml:space="preserve">մինչև տվյալ քրեական գործով ներգրավված և դատական նիստին կանչված բոլոր վկաների հարցաքննության ավարտը </w:t>
      </w:r>
      <w:r w:rsidR="008D4FE6">
        <w:rPr>
          <w:rFonts w:ascii="GHEA Grapalat" w:eastAsia="Times New Roman" w:hAnsi="GHEA Grapalat" w:cs="Times New Roman"/>
          <w:bCs/>
          <w:sz w:val="24"/>
          <w:szCs w:val="24"/>
          <w:lang w:val="hy-AM" w:eastAsia="ru-RU"/>
        </w:rPr>
        <w:t>նախատեսել դատական նիստի տեսափայնագրման տարածման և հեռարձակման արգելք:</w:t>
      </w:r>
    </w:p>
    <w:p w14:paraId="3FB426DB" w14:textId="26C3A09D" w:rsidR="008D4FE6" w:rsidRPr="008E58E2" w:rsidRDefault="008D4FE6"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eastAsia="Times New Roman" w:hAnsi="GHEA Grapalat" w:cs="Times New Roman"/>
          <w:bCs/>
          <w:sz w:val="24"/>
          <w:szCs w:val="24"/>
          <w:lang w:val="hy-AM" w:eastAsia="ru-RU"/>
        </w:rPr>
        <w:t>Դատական նիստերիանհարկի հետաձգումներից խուսափելու, գործի ողջամիտ ժամկետում քննության սկզբունքի ապահովման նպատակով անհրաժեշտ է նախատեսել հնարավորություն դատական նիստը պաշտպանի բացակայությամբ շարունակելու համար: Միաժամանակ, հաշվի առնելով պաշտպանի առանցքային դերը քրեական վարույթում որպես պայման անհրաժեշտ է նախատեսել մեղադրյալի համաձայնությունը և վարույթին պաշտպանի պարտադիր մասնակցության հիմքերի բացակայությունը:</w:t>
      </w:r>
    </w:p>
    <w:p w14:paraId="302D6213" w14:textId="443638FD" w:rsidR="008D4FE6" w:rsidRPr="008E58E2" w:rsidRDefault="003F3531" w:rsidP="00884039">
      <w:pPr>
        <w:pStyle w:val="ListParagraph"/>
        <w:numPr>
          <w:ilvl w:val="0"/>
          <w:numId w:val="9"/>
        </w:numPr>
        <w:spacing w:after="0" w:line="360" w:lineRule="auto"/>
        <w:ind w:left="0" w:firstLine="720"/>
        <w:jc w:val="both"/>
        <w:rPr>
          <w:rFonts w:ascii="GHEA Grapalat" w:hAnsi="GHEA Grapalat" w:cs="Times New Roman"/>
          <w:sz w:val="24"/>
          <w:szCs w:val="24"/>
          <w:lang w:val="hy-AM"/>
        </w:rPr>
      </w:pPr>
      <w:r>
        <w:rPr>
          <w:rFonts w:ascii="GHEA Grapalat" w:eastAsia="Times New Roman" w:hAnsi="GHEA Grapalat" w:cs="Times New Roman"/>
          <w:sz w:val="24"/>
          <w:szCs w:val="24"/>
          <w:lang w:val="hy-AM" w:eastAsia="ru-RU"/>
        </w:rPr>
        <w:t>Օ</w:t>
      </w:r>
      <w:r w:rsidR="008D4FE6" w:rsidRPr="008E58E2">
        <w:rPr>
          <w:rFonts w:ascii="GHEA Grapalat" w:eastAsia="Times New Roman" w:hAnsi="GHEA Grapalat" w:cs="Times New Roman"/>
          <w:sz w:val="24"/>
          <w:szCs w:val="24"/>
          <w:lang w:val="hy-AM" w:eastAsia="ru-RU"/>
        </w:rPr>
        <w:t xml:space="preserve">րենսգրքի 297-րդ հոդվածի 1-ին մասի համաձայն՝ </w:t>
      </w:r>
    </w:p>
    <w:p w14:paraId="58182DB8" w14:textId="77777777" w:rsidR="008D4FE6" w:rsidRPr="00875108" w:rsidRDefault="008D4FE6" w:rsidP="00884039">
      <w:pPr>
        <w:tabs>
          <w:tab w:val="left" w:pos="1080"/>
        </w:tabs>
        <w:spacing w:after="0" w:line="360" w:lineRule="auto"/>
        <w:ind w:firstLine="720"/>
        <w:jc w:val="both"/>
        <w:rPr>
          <w:rFonts w:ascii="GHEA Grapalat" w:hAnsi="GHEA Grapalat"/>
          <w:i/>
          <w:color w:val="000000" w:themeColor="text1"/>
          <w:sz w:val="24"/>
          <w:szCs w:val="24"/>
          <w:lang w:val="hy-AM"/>
        </w:rPr>
      </w:pPr>
      <w:r w:rsidRPr="00875108">
        <w:rPr>
          <w:rFonts w:ascii="GHEA Grapalat" w:hAnsi="GHEA Grapalat"/>
          <w:i/>
          <w:color w:val="000000" w:themeColor="text1"/>
          <w:sz w:val="24"/>
          <w:szCs w:val="24"/>
          <w:lang w:val="am-ET"/>
        </w:rPr>
        <w:lastRenderedPageBreak/>
        <w:t></w:t>
      </w:r>
      <w:r w:rsidRPr="00875108">
        <w:rPr>
          <w:rFonts w:ascii="GHEA Grapalat" w:hAnsi="GHEA Grapalat"/>
          <w:i/>
          <w:color w:val="000000" w:themeColor="text1"/>
          <w:sz w:val="24"/>
          <w:szCs w:val="24"/>
          <w:lang w:val="hy-AM"/>
        </w:rPr>
        <w:t>Գույքի արգելադրման մասին որոշման իրավաչափությունը հաստատելու միջնորդության քննության արդյունքով դատարանը կայացնում է հետևյալ որոշումներից մեկը</w:t>
      </w:r>
      <w:r w:rsidRPr="00875108">
        <w:rPr>
          <w:rFonts w:ascii="Cambria Math" w:hAnsi="Cambria Math" w:cs="Cambria Math"/>
          <w:i/>
          <w:color w:val="000000" w:themeColor="text1"/>
          <w:sz w:val="24"/>
          <w:szCs w:val="24"/>
          <w:lang w:val="hy-AM"/>
        </w:rPr>
        <w:t>․</w:t>
      </w:r>
    </w:p>
    <w:p w14:paraId="329EDC3D" w14:textId="77777777" w:rsidR="008D4FE6" w:rsidRPr="00875108" w:rsidRDefault="008D4FE6" w:rsidP="00884039">
      <w:pPr>
        <w:tabs>
          <w:tab w:val="left" w:pos="1080"/>
        </w:tabs>
        <w:spacing w:after="0" w:line="360" w:lineRule="auto"/>
        <w:ind w:firstLine="720"/>
        <w:jc w:val="both"/>
        <w:rPr>
          <w:rFonts w:ascii="GHEA Grapalat" w:hAnsi="GHEA Grapalat"/>
          <w:i/>
          <w:color w:val="000000" w:themeColor="text1"/>
          <w:sz w:val="24"/>
          <w:szCs w:val="24"/>
          <w:lang w:val="hy-AM"/>
        </w:rPr>
      </w:pPr>
      <w:r w:rsidRPr="00875108">
        <w:rPr>
          <w:rFonts w:ascii="GHEA Grapalat" w:hAnsi="GHEA Grapalat"/>
          <w:i/>
          <w:color w:val="000000" w:themeColor="text1"/>
          <w:sz w:val="24"/>
          <w:szCs w:val="24"/>
          <w:lang w:val="hy-AM"/>
        </w:rPr>
        <w:t>1) միջնորդությունը մերժելու և գույքի արգելադրման մասին քննիչի որոշումը վերացնելու մասին.</w:t>
      </w:r>
    </w:p>
    <w:p w14:paraId="1373D552" w14:textId="77777777" w:rsidR="008D4FE6" w:rsidRPr="00875108" w:rsidRDefault="008D4FE6" w:rsidP="00884039">
      <w:pPr>
        <w:tabs>
          <w:tab w:val="left" w:pos="1080"/>
        </w:tabs>
        <w:spacing w:after="0" w:line="360" w:lineRule="auto"/>
        <w:ind w:firstLine="720"/>
        <w:jc w:val="both"/>
        <w:rPr>
          <w:rFonts w:ascii="GHEA Grapalat" w:eastAsia="GHEA Grapalat" w:hAnsi="GHEA Grapalat" w:cs="GHEA Grapalat"/>
          <w:i/>
          <w:color w:val="000000" w:themeColor="text1"/>
          <w:sz w:val="24"/>
          <w:szCs w:val="24"/>
          <w:lang w:val="hy-AM"/>
        </w:rPr>
      </w:pPr>
      <w:r w:rsidRPr="00875108">
        <w:rPr>
          <w:rFonts w:ascii="GHEA Grapalat" w:hAnsi="GHEA Grapalat"/>
          <w:i/>
          <w:color w:val="000000" w:themeColor="text1"/>
          <w:sz w:val="24"/>
          <w:szCs w:val="24"/>
          <w:lang w:val="hy-AM"/>
        </w:rPr>
        <w:t>2) միջնորդությունը բավարարելու և գույքի արգելադրման մասին քննիչի որոշման իրավաչափությունը հաստատելու մասին</w:t>
      </w:r>
      <w:r w:rsidRPr="00875108">
        <w:rPr>
          <w:rFonts w:ascii="GHEA Grapalat" w:eastAsia="GHEA Grapalat" w:hAnsi="GHEA Grapalat" w:cs="GHEA Grapalat"/>
          <w:i/>
          <w:color w:val="000000" w:themeColor="text1"/>
          <w:sz w:val="24"/>
          <w:szCs w:val="24"/>
          <w:lang w:val="hy-AM"/>
        </w:rPr>
        <w:t>»։</w:t>
      </w:r>
    </w:p>
    <w:p w14:paraId="4450C4C8" w14:textId="4A0A9BAD" w:rsidR="008D4FE6" w:rsidRDefault="008E58E2" w:rsidP="00884039">
      <w:pPr>
        <w:tabs>
          <w:tab w:val="left" w:pos="1080"/>
        </w:tabs>
        <w:spacing w:after="0" w:line="360" w:lineRule="auto"/>
        <w:ind w:firstLine="720"/>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Մե</w:t>
      </w:r>
      <w:r w:rsidR="00794E83">
        <w:rPr>
          <w:rFonts w:ascii="GHEA Grapalat" w:eastAsia="GHEA Grapalat" w:hAnsi="GHEA Grapalat" w:cs="GHEA Grapalat"/>
          <w:color w:val="000000" w:themeColor="text1"/>
          <w:sz w:val="24"/>
          <w:szCs w:val="24"/>
          <w:lang w:val="hy-AM"/>
        </w:rPr>
        <w:t>ջ</w:t>
      </w:r>
      <w:r>
        <w:rPr>
          <w:rFonts w:ascii="GHEA Grapalat" w:eastAsia="GHEA Grapalat" w:hAnsi="GHEA Grapalat" w:cs="GHEA Grapalat"/>
          <w:color w:val="000000" w:themeColor="text1"/>
          <w:sz w:val="24"/>
          <w:szCs w:val="24"/>
          <w:lang w:val="hy-AM"/>
        </w:rPr>
        <w:t>բերված նորմի</w:t>
      </w:r>
      <w:r w:rsidR="008D4FE6" w:rsidRPr="00875108">
        <w:rPr>
          <w:rFonts w:ascii="GHEA Grapalat" w:eastAsia="GHEA Grapalat" w:hAnsi="GHEA Grapalat" w:cs="GHEA Grapalat"/>
          <w:color w:val="000000" w:themeColor="text1"/>
          <w:sz w:val="24"/>
          <w:szCs w:val="24"/>
          <w:lang w:val="hy-AM"/>
        </w:rPr>
        <w:t xml:space="preserve"> ուսումնասիրությունից երևում է, որ օրենսդիրը չի նախատեսել գույքի արգելադրման</w:t>
      </w:r>
      <w:r w:rsidR="00794E83">
        <w:rPr>
          <w:rFonts w:ascii="GHEA Grapalat" w:eastAsia="GHEA Grapalat" w:hAnsi="GHEA Grapalat" w:cs="GHEA Grapalat"/>
          <w:color w:val="000000" w:themeColor="text1"/>
          <w:sz w:val="24"/>
          <w:szCs w:val="24"/>
          <w:lang w:val="hy-AM"/>
        </w:rPr>
        <w:t xml:space="preserve"> որոշման իրավաչափությունը հաստատելու վերաբերյալ</w:t>
      </w:r>
      <w:r w:rsidR="008D4FE6" w:rsidRPr="00875108">
        <w:rPr>
          <w:rFonts w:ascii="GHEA Grapalat" w:eastAsia="GHEA Grapalat" w:hAnsi="GHEA Grapalat" w:cs="GHEA Grapalat"/>
          <w:color w:val="000000" w:themeColor="text1"/>
          <w:sz w:val="24"/>
          <w:szCs w:val="24"/>
          <w:lang w:val="hy-AM"/>
        </w:rPr>
        <w:t xml:space="preserve"> քննիչի միջնորդությունը մասնակի բավարարելու </w:t>
      </w:r>
      <w:r>
        <w:rPr>
          <w:rFonts w:ascii="GHEA Grapalat" w:eastAsia="GHEA Grapalat" w:hAnsi="GHEA Grapalat" w:cs="GHEA Grapalat"/>
          <w:color w:val="000000" w:themeColor="text1"/>
          <w:sz w:val="24"/>
          <w:szCs w:val="24"/>
          <w:lang w:val="hy-AM"/>
        </w:rPr>
        <w:t>հնարավորություն: Մինչդեռ,</w:t>
      </w:r>
      <w:r w:rsidR="008D4FE6" w:rsidRPr="00875108">
        <w:rPr>
          <w:rFonts w:ascii="GHEA Grapalat" w:eastAsia="GHEA Grapalat" w:hAnsi="GHEA Grapalat" w:cs="GHEA Grapalat"/>
          <w:color w:val="000000" w:themeColor="text1"/>
          <w:sz w:val="24"/>
          <w:szCs w:val="24"/>
          <w:lang w:val="hy-AM"/>
        </w:rPr>
        <w:t xml:space="preserve"> </w:t>
      </w:r>
      <w:r w:rsidR="00794E83" w:rsidRPr="00875108">
        <w:rPr>
          <w:rFonts w:ascii="GHEA Grapalat" w:eastAsia="GHEA Grapalat" w:hAnsi="GHEA Grapalat" w:cs="GHEA Grapalat"/>
          <w:color w:val="000000" w:themeColor="text1"/>
          <w:sz w:val="24"/>
          <w:szCs w:val="24"/>
          <w:lang w:val="hy-AM"/>
        </w:rPr>
        <w:t xml:space="preserve">անձի </w:t>
      </w:r>
      <w:r w:rsidR="00794E83">
        <w:rPr>
          <w:rFonts w:ascii="GHEA Grapalat" w:eastAsia="GHEA Grapalat" w:hAnsi="GHEA Grapalat" w:cs="GHEA Grapalat"/>
          <w:color w:val="000000" w:themeColor="text1"/>
          <w:sz w:val="24"/>
          <w:szCs w:val="24"/>
          <w:lang w:val="hy-AM"/>
        </w:rPr>
        <w:t>մեկից ավելի</w:t>
      </w:r>
      <w:r w:rsidR="00794E83" w:rsidRPr="00875108">
        <w:rPr>
          <w:rFonts w:ascii="GHEA Grapalat" w:eastAsia="GHEA Grapalat" w:hAnsi="GHEA Grapalat" w:cs="GHEA Grapalat"/>
          <w:color w:val="000000" w:themeColor="text1"/>
          <w:sz w:val="24"/>
          <w:szCs w:val="24"/>
          <w:lang w:val="hy-AM"/>
        </w:rPr>
        <w:t xml:space="preserve"> գույքերի արգելադրման վերաբերյալ </w:t>
      </w:r>
      <w:r w:rsidR="00794E83">
        <w:rPr>
          <w:rFonts w:ascii="GHEA Grapalat" w:eastAsia="GHEA Grapalat" w:hAnsi="GHEA Grapalat" w:cs="GHEA Grapalat"/>
          <w:color w:val="000000" w:themeColor="text1"/>
          <w:sz w:val="24"/>
          <w:szCs w:val="24"/>
          <w:lang w:val="hy-AM"/>
        </w:rPr>
        <w:t xml:space="preserve">որոշման իրավաչափության ստուգման ընթացքում դատարանը, ներկայացված նյութերի ուսումնասիրության հիման վրա </w:t>
      </w:r>
      <w:r w:rsidR="003F3531">
        <w:rPr>
          <w:rFonts w:ascii="GHEA Grapalat" w:eastAsia="GHEA Grapalat" w:hAnsi="GHEA Grapalat" w:cs="GHEA Grapalat"/>
          <w:color w:val="000000" w:themeColor="text1"/>
          <w:sz w:val="24"/>
          <w:szCs w:val="24"/>
          <w:lang w:val="hy-AM"/>
        </w:rPr>
        <w:t>գալով</w:t>
      </w:r>
      <w:r w:rsidR="00794E83">
        <w:rPr>
          <w:rFonts w:ascii="GHEA Grapalat" w:eastAsia="GHEA Grapalat" w:hAnsi="GHEA Grapalat" w:cs="GHEA Grapalat"/>
          <w:color w:val="000000" w:themeColor="text1"/>
          <w:sz w:val="24"/>
          <w:szCs w:val="24"/>
          <w:lang w:val="hy-AM"/>
        </w:rPr>
        <w:t xml:space="preserve"> եզրահանգ</w:t>
      </w:r>
      <w:r w:rsidR="003F3531">
        <w:rPr>
          <w:rFonts w:ascii="GHEA Grapalat" w:eastAsia="GHEA Grapalat" w:hAnsi="GHEA Grapalat" w:cs="GHEA Grapalat"/>
          <w:color w:val="000000" w:themeColor="text1"/>
          <w:sz w:val="24"/>
          <w:szCs w:val="24"/>
          <w:lang w:val="hy-AM"/>
        </w:rPr>
        <w:t>ման</w:t>
      </w:r>
      <w:r w:rsidR="00794E83">
        <w:rPr>
          <w:rFonts w:ascii="GHEA Grapalat" w:eastAsia="GHEA Grapalat" w:hAnsi="GHEA Grapalat" w:cs="GHEA Grapalat"/>
          <w:color w:val="000000" w:themeColor="text1"/>
          <w:sz w:val="24"/>
          <w:szCs w:val="24"/>
          <w:lang w:val="hy-AM"/>
        </w:rPr>
        <w:t xml:space="preserve"> առ այն, որ ներկայացված գույքերից միայն մի քանիսի մասով է որոշումն իրավաչափ</w:t>
      </w:r>
      <w:r w:rsidR="003F3531">
        <w:rPr>
          <w:rFonts w:ascii="GHEA Grapalat" w:eastAsia="GHEA Grapalat" w:hAnsi="GHEA Grapalat" w:cs="GHEA Grapalat"/>
          <w:color w:val="000000" w:themeColor="text1"/>
          <w:sz w:val="24"/>
          <w:szCs w:val="24"/>
          <w:lang w:val="hy-AM"/>
        </w:rPr>
        <w:t>, չի կարող այն բավարարել մասնակի: Նման պայմաններում միջնորդությունը մերժելու դեպքում քննիչը պետք է ներկայացնի նույնաբովանդակ  նոր միջնորդություն: Ուստի՝ շրջապտույտից խուսափելու նպատակով անհրաժեշտ է նախատեսել համապատասխան լիազորություն:</w:t>
      </w:r>
    </w:p>
    <w:p w14:paraId="14030DBF" w14:textId="0A73A621" w:rsidR="003F3531" w:rsidRDefault="003F3531" w:rsidP="00884039">
      <w:pPr>
        <w:pStyle w:val="ListParagraph"/>
        <w:numPr>
          <w:ilvl w:val="0"/>
          <w:numId w:val="9"/>
        </w:numPr>
        <w:spacing w:after="0" w:line="360" w:lineRule="auto"/>
        <w:ind w:left="0" w:firstLine="720"/>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Օ</w:t>
      </w:r>
      <w:r w:rsidRPr="003F3531">
        <w:rPr>
          <w:rFonts w:ascii="GHEA Grapalat" w:eastAsia="GHEA Grapalat" w:hAnsi="GHEA Grapalat" w:cs="GHEA Grapalat"/>
          <w:color w:val="000000" w:themeColor="text1"/>
          <w:sz w:val="24"/>
          <w:szCs w:val="24"/>
          <w:lang w:val="hy-AM"/>
        </w:rPr>
        <w:t xml:space="preserve">րենսգրքի 332-րդ հոդվածի 3-րդ մասի համաձայն՝ «Այն դեպքում, երբ կողմը միջնորդել է կատարել եզրակացությունը կամ կարծիքը տված փորձագետի հարցաքննություն, այդ ապացույցը չի կարող օգտագործվել առանց տվյալ փորձագետի հարցաքննության»: Քանի որ այս նորմի նպատակը եզրակացություն տված փորձագետին հակընդդեմ հարցման ենթարկելու իրավունքն ապահովելն է, սակայն օրենքում տեղ գտած տվյալ եզրույթը գործնականում կարող է խնդրահարույց լինել փորձագետին հարցաքննելու օբյեկտիվ անհնարինության դեպքում, </w:t>
      </w:r>
      <w:r>
        <w:rPr>
          <w:rFonts w:ascii="GHEA Grapalat" w:eastAsia="GHEA Grapalat" w:hAnsi="GHEA Grapalat" w:cs="GHEA Grapalat"/>
          <w:color w:val="000000" w:themeColor="text1"/>
          <w:sz w:val="24"/>
          <w:szCs w:val="24"/>
          <w:lang w:val="hy-AM"/>
        </w:rPr>
        <w:t xml:space="preserve">ինչպես նաև տեղիք տալ իրավունքի չարաշահումների՝ անհրաժեշտ է հրաժարվել հիշյալ կարգավորումից: </w:t>
      </w:r>
    </w:p>
    <w:p w14:paraId="39E60D73" w14:textId="5CBB9A2D" w:rsidR="003F3531" w:rsidRPr="003F3531" w:rsidRDefault="003F3531" w:rsidP="00884039">
      <w:pPr>
        <w:pStyle w:val="ListParagraph"/>
        <w:numPr>
          <w:ilvl w:val="0"/>
          <w:numId w:val="9"/>
        </w:numPr>
        <w:spacing w:after="0" w:line="360" w:lineRule="auto"/>
        <w:ind w:left="0" w:firstLine="720"/>
        <w:jc w:val="both"/>
        <w:rPr>
          <w:rFonts w:ascii="GHEA Grapalat" w:eastAsia="GHEA Grapalat" w:hAnsi="GHEA Grapalat" w:cs="GHEA Grapalat"/>
          <w:color w:val="000000" w:themeColor="text1"/>
          <w:sz w:val="24"/>
          <w:szCs w:val="24"/>
          <w:lang w:val="hy-AM"/>
        </w:rPr>
      </w:pPr>
      <w:r>
        <w:rPr>
          <w:rFonts w:ascii="GHEA Grapalat" w:eastAsia="GHEA Grapalat" w:hAnsi="GHEA Grapalat" w:cs="GHEA Grapalat"/>
          <w:color w:val="000000" w:themeColor="text1"/>
          <w:sz w:val="24"/>
          <w:szCs w:val="24"/>
          <w:lang w:val="hy-AM"/>
        </w:rPr>
        <w:t>Օ</w:t>
      </w:r>
      <w:r w:rsidRPr="003F3531">
        <w:rPr>
          <w:rFonts w:ascii="GHEA Grapalat" w:eastAsia="GHEA Grapalat" w:hAnsi="GHEA Grapalat" w:cs="GHEA Grapalat"/>
          <w:color w:val="000000" w:themeColor="text1"/>
          <w:sz w:val="24"/>
          <w:szCs w:val="24"/>
          <w:lang w:val="hy-AM"/>
        </w:rPr>
        <w:t xml:space="preserve">րենսգիրքը դատական վերանայման կառուցակարգերից վերաքննության, վճռաբեկության և հատուկ վերանայման առնչությամբ հստակ նախատեսում է բողոքի վերաբերյալ նախնական վարույթով համապատասխանաբար բողոքը վերադարձնելու, վարույթ ընդունելու կամ վարույթ ընդունելը մերժելու մասին որոշումներ կայացնելու ժամկետներ, մինչդեռ բացառիկ վերանայման պարագայում </w:t>
      </w:r>
      <w:r w:rsidRPr="003F3531">
        <w:rPr>
          <w:rFonts w:ascii="GHEA Grapalat" w:eastAsia="GHEA Grapalat" w:hAnsi="GHEA Grapalat" w:cs="GHEA Grapalat"/>
          <w:color w:val="000000" w:themeColor="text1"/>
          <w:sz w:val="24"/>
          <w:szCs w:val="24"/>
          <w:lang w:val="hy-AM"/>
        </w:rPr>
        <w:lastRenderedPageBreak/>
        <w:t>Օրենսգրքի 407-րդ հոդվածը բացառիկ վերանայման բողոքը վերադարձնելու, վարույթ հարուցելու կամ վարույթի հարուցումը մերժելու մասին որոշումներ կայացնելու օրենսդրական ժամկետներ չի նախատեսում, ուստի նշվածը կարգավորելու նպատակով առաջարկվում է սահմանել բողոքը վերադարձնելու համար ժամկետ։</w:t>
      </w:r>
    </w:p>
    <w:p w14:paraId="1C0B3E05" w14:textId="77777777" w:rsidR="003F3531" w:rsidRPr="003F3531" w:rsidRDefault="003F3531" w:rsidP="00884039">
      <w:pPr>
        <w:pStyle w:val="ListParagraph"/>
        <w:numPr>
          <w:ilvl w:val="0"/>
          <w:numId w:val="9"/>
        </w:numPr>
        <w:spacing w:after="0" w:line="360" w:lineRule="auto"/>
        <w:ind w:left="0" w:firstLine="720"/>
        <w:jc w:val="both"/>
        <w:rPr>
          <w:rFonts w:ascii="GHEA Grapalat" w:eastAsia="GHEA Grapalat" w:hAnsi="GHEA Grapalat" w:cs="GHEA Grapalat"/>
          <w:i/>
          <w:iCs/>
          <w:color w:val="000000" w:themeColor="text1"/>
          <w:sz w:val="24"/>
          <w:szCs w:val="24"/>
          <w:lang w:val="hy-AM"/>
        </w:rPr>
      </w:pPr>
      <w:r>
        <w:rPr>
          <w:rFonts w:ascii="GHEA Grapalat" w:eastAsia="GHEA Grapalat" w:hAnsi="GHEA Grapalat" w:cs="GHEA Grapalat"/>
          <w:color w:val="000000" w:themeColor="text1"/>
          <w:sz w:val="24"/>
          <w:szCs w:val="24"/>
          <w:lang w:val="hy-AM"/>
        </w:rPr>
        <w:t>Օրենսգրքի</w:t>
      </w:r>
      <w:r w:rsidRPr="003F3531">
        <w:rPr>
          <w:rFonts w:ascii="GHEA Grapalat" w:eastAsia="GHEA Grapalat" w:hAnsi="GHEA Grapalat" w:cs="GHEA Grapalat"/>
          <w:color w:val="000000" w:themeColor="text1"/>
          <w:sz w:val="24"/>
          <w:szCs w:val="24"/>
          <w:lang w:val="hy-AM"/>
        </w:rPr>
        <w:t xml:space="preserve"> 408-րդ հոդվածի 1-ին մասի համաձայն՝ </w:t>
      </w:r>
      <w:r w:rsidRPr="003F3531">
        <w:rPr>
          <w:rFonts w:ascii="GHEA Grapalat" w:eastAsia="GHEA Grapalat" w:hAnsi="GHEA Grapalat" w:cs="GHEA Grapalat"/>
          <w:i/>
          <w:iCs/>
          <w:color w:val="000000" w:themeColor="text1"/>
          <w:sz w:val="24"/>
          <w:szCs w:val="24"/>
          <w:lang w:val="hy-AM"/>
        </w:rPr>
        <w:t xml:space="preserve">«Բացառիկ վերանայման արդյունքով իրավասու դատարանն ամբողջությամբ կամ մասնակի բեկանում է բողոքարկվող դատական ակտը` վարույթը փոխանցելով համապատասխան ստորադաս դատարան կամ դադարեցնելով քրեական հետապնդումը, իսկ անհրաժեշտության դեպքում՝ նաև կարճելով վարույթը»: </w:t>
      </w:r>
    </w:p>
    <w:p w14:paraId="6516429B" w14:textId="77777777" w:rsidR="003F3531" w:rsidRDefault="003F3531" w:rsidP="00884039">
      <w:pPr>
        <w:pStyle w:val="ListParagraph"/>
        <w:spacing w:after="0" w:line="360" w:lineRule="auto"/>
        <w:ind w:left="0" w:firstLine="720"/>
        <w:jc w:val="both"/>
        <w:rPr>
          <w:rFonts w:ascii="GHEA Grapalat" w:eastAsia="GHEA Grapalat" w:hAnsi="GHEA Grapalat" w:cs="GHEA Grapalat"/>
          <w:i/>
          <w:iCs/>
          <w:color w:val="000000" w:themeColor="text1"/>
          <w:sz w:val="24"/>
          <w:szCs w:val="24"/>
          <w:lang w:val="hy-AM"/>
        </w:rPr>
      </w:pPr>
      <w:r w:rsidRPr="003F3531">
        <w:rPr>
          <w:rFonts w:ascii="GHEA Grapalat" w:eastAsia="GHEA Grapalat" w:hAnsi="GHEA Grapalat" w:cs="GHEA Grapalat"/>
          <w:color w:val="000000" w:themeColor="text1"/>
          <w:sz w:val="24"/>
          <w:szCs w:val="24"/>
          <w:lang w:val="hy-AM"/>
        </w:rPr>
        <w:t xml:space="preserve">Նույն հոդվածի 2-րդ մասի համաձայն՝ </w:t>
      </w:r>
      <w:r w:rsidRPr="003F3531">
        <w:rPr>
          <w:rFonts w:ascii="GHEA Grapalat" w:eastAsia="GHEA Grapalat" w:hAnsi="GHEA Grapalat" w:cs="GHEA Grapalat"/>
          <w:i/>
          <w:iCs/>
          <w:color w:val="000000" w:themeColor="text1"/>
          <w:sz w:val="24"/>
          <w:szCs w:val="24"/>
          <w:lang w:val="hy-AM"/>
        </w:rPr>
        <w:t>«Բացառիկ վերանայում իրականացնող դատարանն իրավասու է չբեկանելու բողոքարկվող դատական ակտը, միայն եթե ծանրակշիռ փաստարկների մատնանշմամբ հիմնավորում է, որ սույն օրենսգրքի 403-րդ հոդվածով նախատեսված հանգամանքներն ըստ էության չէին կարող ազդել վարույթի արդյունքի վրա»:</w:t>
      </w:r>
    </w:p>
    <w:p w14:paraId="326B3FF8" w14:textId="20EE9B30" w:rsidR="003F3531" w:rsidRPr="003F3531" w:rsidRDefault="003F3531" w:rsidP="00884039">
      <w:pPr>
        <w:pStyle w:val="ListParagraph"/>
        <w:spacing w:after="0" w:line="360" w:lineRule="auto"/>
        <w:ind w:left="0" w:firstLine="720"/>
        <w:jc w:val="both"/>
        <w:rPr>
          <w:rFonts w:ascii="GHEA Grapalat" w:eastAsia="GHEA Grapalat" w:hAnsi="GHEA Grapalat" w:cs="GHEA Grapalat"/>
          <w:i/>
          <w:iCs/>
          <w:color w:val="000000" w:themeColor="text1"/>
          <w:sz w:val="24"/>
          <w:szCs w:val="24"/>
          <w:lang w:val="hy-AM"/>
        </w:rPr>
      </w:pPr>
      <w:r w:rsidRPr="003F3531">
        <w:rPr>
          <w:rFonts w:ascii="GHEA Grapalat" w:eastAsia="GHEA Grapalat" w:hAnsi="GHEA Grapalat" w:cs="GHEA Grapalat"/>
          <w:color w:val="000000" w:themeColor="text1"/>
          <w:sz w:val="24"/>
          <w:szCs w:val="24"/>
          <w:lang w:val="hy-AM"/>
        </w:rPr>
        <w:t>Վերոշարադրյալ նորմից բխում է, որ բացառիկ վերանայման պարագայում օրենսդիրը չի նախատեսել դատական ակտը փոփոխելու հնարավորություն: Մինչդեռ, օրինակ, Օրենսգրքի 403-րդ հոդվածի 2-րդ մասի 2.1</w:t>
      </w:r>
      <w:r>
        <w:rPr>
          <w:rFonts w:ascii="GHEA Grapalat" w:eastAsia="GHEA Grapalat" w:hAnsi="GHEA Grapalat" w:cs="GHEA Grapalat"/>
          <w:color w:val="000000" w:themeColor="text1"/>
          <w:sz w:val="24"/>
          <w:szCs w:val="24"/>
          <w:lang w:val="hy-AM"/>
        </w:rPr>
        <w:t>.</w:t>
      </w:r>
      <w:r w:rsidRPr="003F3531">
        <w:rPr>
          <w:rFonts w:ascii="GHEA Grapalat" w:eastAsia="GHEA Grapalat" w:hAnsi="GHEA Grapalat" w:cs="GHEA Grapalat"/>
          <w:color w:val="000000" w:themeColor="text1"/>
          <w:sz w:val="24"/>
          <w:szCs w:val="24"/>
          <w:lang w:val="hy-AM"/>
        </w:rPr>
        <w:t>-ին կետով նախատեսված հիմնարար խախտման հիմքի առկայության պարագայում մեղադրյալին վերագրվող հանցագործության համար նշանակվել է օրենքով չնախատեսված պատժատեսակ կամ պատժաչափ, կամ նրա նկատմամբ նշանակված պատիժը սխալ է հաշվարկվել արդարադատության արդյունավետության ապահովման շահի տեսանկյունից միանգամաjն իրավաչափ կարող է լինել դատական ակտի փոփոխումը, այլ ոչ թե վարույթը ստորադաս դատարան՝ նոր քննության փոխանցելը, ուստի նշված խնդիրը կարգավորելու նպատակով ա</w:t>
      </w:r>
      <w:r>
        <w:rPr>
          <w:rFonts w:ascii="GHEA Grapalat" w:eastAsia="GHEA Grapalat" w:hAnsi="GHEA Grapalat" w:cs="GHEA Grapalat"/>
          <w:color w:val="000000" w:themeColor="text1"/>
          <w:sz w:val="24"/>
          <w:szCs w:val="24"/>
          <w:lang w:val="hy-AM"/>
        </w:rPr>
        <w:t>նհրաժեշտ</w:t>
      </w:r>
      <w:r w:rsidRPr="003F3531">
        <w:rPr>
          <w:rFonts w:ascii="GHEA Grapalat" w:eastAsia="GHEA Grapalat" w:hAnsi="GHEA Grapalat" w:cs="GHEA Grapalat"/>
          <w:color w:val="000000" w:themeColor="text1"/>
          <w:sz w:val="24"/>
          <w:szCs w:val="24"/>
          <w:lang w:val="hy-AM"/>
        </w:rPr>
        <w:t xml:space="preserve"> է փոփոխություն կատարել ՀՀ քրեական դատավարության օրենսգրքի 408-րդ հոդվածում և սահմանել, որ օրենսգրքի 403-րդ հոդվածի 2-րդ մասի 2.1-ին կետով նախատեսված դեպքում բացառիկ վերանայման արդյունքով իրավասու դատարանը</w:t>
      </w:r>
      <w:r>
        <w:rPr>
          <w:rFonts w:ascii="GHEA Grapalat" w:eastAsia="GHEA Grapalat" w:hAnsi="GHEA Grapalat" w:cs="GHEA Grapalat"/>
          <w:color w:val="000000" w:themeColor="text1"/>
          <w:sz w:val="24"/>
          <w:szCs w:val="24"/>
          <w:lang w:val="hy-AM"/>
        </w:rPr>
        <w:t xml:space="preserve"> իրավասու է</w:t>
      </w:r>
      <w:r w:rsidRPr="003F3531">
        <w:rPr>
          <w:rFonts w:ascii="GHEA Grapalat" w:eastAsia="GHEA Grapalat" w:hAnsi="GHEA Grapalat" w:cs="GHEA Grapalat"/>
          <w:color w:val="000000" w:themeColor="text1"/>
          <w:sz w:val="24"/>
          <w:szCs w:val="24"/>
          <w:lang w:val="hy-AM"/>
        </w:rPr>
        <w:t xml:space="preserve"> փոփոխ</w:t>
      </w:r>
      <w:r>
        <w:rPr>
          <w:rFonts w:ascii="GHEA Grapalat" w:eastAsia="GHEA Grapalat" w:hAnsi="GHEA Grapalat" w:cs="GHEA Grapalat"/>
          <w:color w:val="000000" w:themeColor="text1"/>
          <w:sz w:val="24"/>
          <w:szCs w:val="24"/>
          <w:lang w:val="hy-AM"/>
        </w:rPr>
        <w:t>ել</w:t>
      </w:r>
      <w:r w:rsidRPr="003F3531">
        <w:rPr>
          <w:rFonts w:ascii="GHEA Grapalat" w:eastAsia="GHEA Grapalat" w:hAnsi="GHEA Grapalat" w:cs="GHEA Grapalat"/>
          <w:color w:val="000000" w:themeColor="text1"/>
          <w:sz w:val="24"/>
          <w:szCs w:val="24"/>
          <w:lang w:val="hy-AM"/>
        </w:rPr>
        <w:t xml:space="preserve"> ստորադաս դատարանի դատական ակտը։</w:t>
      </w:r>
    </w:p>
    <w:p w14:paraId="0FCCF9B1" w14:textId="7CC43449" w:rsidR="003F3531" w:rsidRDefault="003F3531" w:rsidP="00884039">
      <w:pPr>
        <w:pStyle w:val="ListParagraph"/>
        <w:spacing w:after="0" w:line="360" w:lineRule="auto"/>
        <w:jc w:val="both"/>
        <w:rPr>
          <w:rFonts w:ascii="GHEA Grapalat" w:eastAsia="GHEA Grapalat" w:hAnsi="GHEA Grapalat" w:cs="GHEA Grapalat"/>
          <w:color w:val="000000" w:themeColor="text1"/>
          <w:sz w:val="24"/>
          <w:szCs w:val="24"/>
          <w:lang w:val="hy-AM"/>
        </w:rPr>
      </w:pPr>
    </w:p>
    <w:p w14:paraId="44D10ECF" w14:textId="77777777" w:rsidR="00C701F8" w:rsidRPr="005C326A" w:rsidRDefault="00C701F8" w:rsidP="00884039">
      <w:pPr>
        <w:pStyle w:val="ListParagraph"/>
        <w:numPr>
          <w:ilvl w:val="0"/>
          <w:numId w:val="1"/>
        </w:numPr>
        <w:tabs>
          <w:tab w:val="left" w:pos="1080"/>
        </w:tabs>
        <w:spacing w:after="0" w:line="360" w:lineRule="auto"/>
        <w:ind w:left="0" w:firstLine="720"/>
        <w:jc w:val="both"/>
        <w:rPr>
          <w:rFonts w:ascii="GHEA Grapalat" w:hAnsi="GHEA Grapalat"/>
          <w:b/>
          <w:sz w:val="24"/>
          <w:szCs w:val="24"/>
          <w:u w:val="single"/>
          <w:lang w:val="am-ET"/>
        </w:rPr>
      </w:pPr>
      <w:r w:rsidRPr="005C326A">
        <w:rPr>
          <w:rFonts w:ascii="GHEA Grapalat" w:hAnsi="GHEA Grapalat" w:cs="Sylfaen"/>
          <w:b/>
          <w:sz w:val="24"/>
          <w:szCs w:val="24"/>
          <w:u w:val="single"/>
          <w:lang w:val="am-ET"/>
        </w:rPr>
        <w:t>Առաջարկվող</w:t>
      </w:r>
      <w:r w:rsidRPr="005C326A">
        <w:rPr>
          <w:rFonts w:ascii="GHEA Grapalat" w:hAnsi="GHEA Grapalat" w:cs="Cambria Math"/>
          <w:b/>
          <w:sz w:val="24"/>
          <w:szCs w:val="24"/>
          <w:u w:val="single"/>
          <w:lang w:val="am-ET"/>
        </w:rPr>
        <w:t xml:space="preserve"> </w:t>
      </w:r>
      <w:r w:rsidRPr="005C326A">
        <w:rPr>
          <w:rFonts w:ascii="GHEA Grapalat" w:hAnsi="GHEA Grapalat" w:cs="Sylfaen"/>
          <w:b/>
          <w:sz w:val="24"/>
          <w:szCs w:val="24"/>
          <w:u w:val="single"/>
          <w:lang w:val="am-ET"/>
        </w:rPr>
        <w:t>կարգավորման</w:t>
      </w:r>
      <w:r w:rsidRPr="005C326A">
        <w:rPr>
          <w:rFonts w:ascii="GHEA Grapalat" w:hAnsi="GHEA Grapalat" w:cs="Cambria Math"/>
          <w:b/>
          <w:sz w:val="24"/>
          <w:szCs w:val="24"/>
          <w:u w:val="single"/>
          <w:lang w:val="am-ET"/>
        </w:rPr>
        <w:t xml:space="preserve"> </w:t>
      </w:r>
      <w:r w:rsidRPr="005C326A">
        <w:rPr>
          <w:rFonts w:ascii="GHEA Grapalat" w:hAnsi="GHEA Grapalat" w:cs="Sylfaen"/>
          <w:b/>
          <w:sz w:val="24"/>
          <w:szCs w:val="24"/>
          <w:u w:val="single"/>
          <w:lang w:val="am-ET"/>
        </w:rPr>
        <w:t>բնույթը</w:t>
      </w:r>
      <w:r w:rsidRPr="005C326A">
        <w:rPr>
          <w:rFonts w:ascii="GHEA Grapalat" w:hAnsi="GHEA Grapalat" w:cs="Cambria Math"/>
          <w:b/>
          <w:sz w:val="24"/>
          <w:szCs w:val="24"/>
          <w:u w:val="single"/>
          <w:lang w:val="am-ET"/>
        </w:rPr>
        <w:t>.</w:t>
      </w:r>
    </w:p>
    <w:p w14:paraId="47535214" w14:textId="510BE15F" w:rsidR="00884039" w:rsidRDefault="001D4C65" w:rsidP="00884039">
      <w:pPr>
        <w:tabs>
          <w:tab w:val="left" w:pos="1080"/>
        </w:tabs>
        <w:spacing w:after="0" w:line="360" w:lineRule="auto"/>
        <w:ind w:firstLine="720"/>
        <w:jc w:val="both"/>
        <w:rPr>
          <w:rFonts w:ascii="GHEA Grapalat" w:hAnsi="GHEA Grapalat"/>
          <w:color w:val="000000"/>
          <w:sz w:val="24"/>
          <w:szCs w:val="24"/>
          <w:shd w:val="clear" w:color="auto" w:fill="FFFFFF"/>
          <w:lang w:val="hy-AM"/>
        </w:rPr>
      </w:pPr>
      <w:proofErr w:type="spellStart"/>
      <w:r>
        <w:rPr>
          <w:rFonts w:ascii="GHEA Grapalat" w:hAnsi="GHEA Grapalat"/>
          <w:sz w:val="24"/>
          <w:szCs w:val="24"/>
          <w:lang w:val="en-US"/>
        </w:rPr>
        <w:lastRenderedPageBreak/>
        <w:t>Նախագծով</w:t>
      </w:r>
      <w:proofErr w:type="spellEnd"/>
      <w:r w:rsidRPr="002D29DD">
        <w:rPr>
          <w:rFonts w:ascii="GHEA Grapalat" w:hAnsi="GHEA Grapalat"/>
          <w:sz w:val="24"/>
          <w:szCs w:val="24"/>
          <w:lang w:val="am-ET"/>
        </w:rPr>
        <w:t xml:space="preserve"> </w:t>
      </w:r>
      <w:proofErr w:type="spellStart"/>
      <w:r>
        <w:rPr>
          <w:rFonts w:ascii="GHEA Grapalat" w:hAnsi="GHEA Grapalat"/>
          <w:sz w:val="24"/>
          <w:szCs w:val="24"/>
          <w:lang w:val="en-US"/>
        </w:rPr>
        <w:t>առաջարկվող</w:t>
      </w:r>
      <w:proofErr w:type="spellEnd"/>
      <w:r w:rsidRPr="002D29DD">
        <w:rPr>
          <w:rFonts w:ascii="GHEA Grapalat" w:hAnsi="GHEA Grapalat"/>
          <w:sz w:val="24"/>
          <w:szCs w:val="24"/>
          <w:lang w:val="am-ET"/>
        </w:rPr>
        <w:t xml:space="preserve"> </w:t>
      </w:r>
      <w:r w:rsidR="00A72129" w:rsidRPr="00A72129">
        <w:rPr>
          <w:rFonts w:ascii="GHEA Grapalat" w:hAnsi="GHEA Grapalat" w:cs="Sylfaen"/>
          <w:sz w:val="24"/>
          <w:szCs w:val="24"/>
          <w:lang w:val="af-ZA"/>
        </w:rPr>
        <w:t>փոխություններով</w:t>
      </w:r>
      <w:r w:rsidR="00884039">
        <w:rPr>
          <w:rFonts w:ascii="GHEA Grapalat" w:hAnsi="GHEA Grapalat" w:cs="Sylfaen"/>
          <w:sz w:val="24"/>
          <w:szCs w:val="24"/>
          <w:lang w:val="hy-AM"/>
        </w:rPr>
        <w:t xml:space="preserve"> և լրացումներով</w:t>
      </w:r>
      <w:r w:rsidR="00A72129" w:rsidRPr="00A72129">
        <w:rPr>
          <w:rFonts w:ascii="GHEA Grapalat" w:hAnsi="GHEA Grapalat" w:cs="Sylfaen"/>
          <w:sz w:val="24"/>
          <w:szCs w:val="24"/>
          <w:lang w:val="af-ZA"/>
        </w:rPr>
        <w:t xml:space="preserve"> վերացվում են գործնականում ի հայտ եկած իրավական անորոշությունները</w:t>
      </w:r>
      <w:r w:rsidR="00884039">
        <w:rPr>
          <w:rFonts w:ascii="GHEA Grapalat" w:hAnsi="GHEA Grapalat" w:cs="Sylfaen"/>
          <w:sz w:val="24"/>
          <w:szCs w:val="24"/>
          <w:lang w:val="hy-AM"/>
        </w:rPr>
        <w:t xml:space="preserve"> և անհստակությունները, հստակեցվում են պետական գաղտնիք </w:t>
      </w:r>
      <w:r w:rsidR="00884039" w:rsidRPr="005A0909">
        <w:rPr>
          <w:rFonts w:ascii="GHEA Grapalat" w:hAnsi="GHEA Grapalat"/>
          <w:sz w:val="24"/>
          <w:szCs w:val="24"/>
          <w:lang w:val="hy-AM"/>
        </w:rPr>
        <w:t>պարունակող քրեական վարույթներով վարութային գործողությունները</w:t>
      </w:r>
      <w:r w:rsidR="00884039">
        <w:rPr>
          <w:rFonts w:ascii="GHEA Grapalat" w:hAnsi="GHEA Grapalat"/>
          <w:sz w:val="24"/>
          <w:szCs w:val="24"/>
          <w:lang w:val="hy-AM"/>
        </w:rPr>
        <w:t xml:space="preserve"> ամրագրելու եղանակները, լրացվում են քրեական վարույթների անջատման կանոնները, նախատեսվում է հոգեբանին բացարկելու, գրավադրված անշարժ գույքը համարժեք այլ գույքով կամ դրամական գումարով փոխարինելու հնարավորություն, հսկող դատախազի կողմից</w:t>
      </w:r>
      <w:r w:rsidR="00884039" w:rsidRPr="00884039">
        <w:rPr>
          <w:rFonts w:ascii="GHEA Grapalat" w:hAnsi="GHEA Grapalat"/>
          <w:color w:val="000000"/>
          <w:sz w:val="24"/>
          <w:szCs w:val="24"/>
          <w:shd w:val="clear" w:color="auto" w:fill="FFFFFF"/>
          <w:lang w:val="hy-AM"/>
        </w:rPr>
        <w:t xml:space="preserve"> </w:t>
      </w:r>
      <w:r w:rsidR="00884039" w:rsidRPr="005A0909">
        <w:rPr>
          <w:rFonts w:ascii="GHEA Grapalat" w:hAnsi="GHEA Grapalat"/>
          <w:color w:val="000000"/>
          <w:sz w:val="24"/>
          <w:szCs w:val="24"/>
          <w:shd w:val="clear" w:color="auto" w:fill="FFFFFF"/>
          <w:lang w:val="hy-AM"/>
        </w:rPr>
        <w:t>քրեական հետապնդում չհարուցելու կամ այն դադարեցնելու մասին</w:t>
      </w:r>
      <w:r w:rsidR="00884039">
        <w:rPr>
          <w:rFonts w:ascii="GHEA Grapalat" w:hAnsi="GHEA Grapalat"/>
          <w:color w:val="000000"/>
          <w:sz w:val="24"/>
          <w:szCs w:val="24"/>
          <w:shd w:val="clear" w:color="auto" w:fill="FFFFFF"/>
          <w:lang w:val="hy-AM"/>
        </w:rPr>
        <w:t xml:space="preserve"> որոշոման կայացման համար  </w:t>
      </w:r>
      <w:r w:rsidR="00884039">
        <w:rPr>
          <w:rFonts w:ascii="GHEA Grapalat" w:hAnsi="GHEA Grapalat"/>
          <w:sz w:val="24"/>
          <w:szCs w:val="24"/>
          <w:lang w:val="hy-AM"/>
        </w:rPr>
        <w:t xml:space="preserve">նախատեսվում </w:t>
      </w:r>
      <w:r w:rsidR="00CB433A">
        <w:rPr>
          <w:rFonts w:ascii="GHEA Grapalat" w:hAnsi="GHEA Grapalat"/>
          <w:sz w:val="24"/>
          <w:szCs w:val="24"/>
          <w:lang w:val="hy-AM"/>
        </w:rPr>
        <w:t>է յոթնօրյա</w:t>
      </w:r>
      <w:r w:rsidR="00884039">
        <w:rPr>
          <w:rFonts w:ascii="GHEA Grapalat" w:hAnsi="GHEA Grapalat"/>
          <w:sz w:val="24"/>
          <w:szCs w:val="24"/>
          <w:lang w:val="hy-AM"/>
        </w:rPr>
        <w:t xml:space="preserve"> </w:t>
      </w:r>
      <w:r w:rsidR="00884039">
        <w:rPr>
          <w:rFonts w:ascii="GHEA Grapalat" w:hAnsi="GHEA Grapalat"/>
          <w:color w:val="000000"/>
          <w:sz w:val="24"/>
          <w:szCs w:val="24"/>
          <w:shd w:val="clear" w:color="auto" w:fill="FFFFFF"/>
          <w:lang w:val="hy-AM"/>
        </w:rPr>
        <w:t>ժամկետ:</w:t>
      </w:r>
    </w:p>
    <w:p w14:paraId="1BA4EAE5" w14:textId="77777777" w:rsidR="00884039" w:rsidRDefault="00884039" w:rsidP="00884039">
      <w:pPr>
        <w:tabs>
          <w:tab w:val="left" w:pos="108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Նախագծով նախատեսվում է նաև՝</w:t>
      </w:r>
    </w:p>
    <w:p w14:paraId="5A3A6E80" w14:textId="571276F3" w:rsidR="00884039" w:rsidRDefault="00884039" w:rsidP="00884039">
      <w:pPr>
        <w:pStyle w:val="ListParagraph"/>
        <w:numPr>
          <w:ilvl w:val="0"/>
          <w:numId w:val="10"/>
        </w:numPr>
        <w:spacing w:after="0" w:line="360" w:lineRule="auto"/>
        <w:ind w:left="0" w:firstLine="810"/>
        <w:jc w:val="both"/>
        <w:rPr>
          <w:rFonts w:ascii="GHEA Grapalat" w:hAnsi="GHEA Grapalat"/>
          <w:color w:val="000000"/>
          <w:sz w:val="24"/>
          <w:szCs w:val="24"/>
          <w:shd w:val="clear" w:color="auto" w:fill="FFFFFF"/>
          <w:lang w:val="hy-AM"/>
        </w:rPr>
      </w:pPr>
      <w:r w:rsidRPr="00884039">
        <w:rPr>
          <w:rFonts w:ascii="GHEA Grapalat" w:hAnsi="GHEA Grapalat"/>
          <w:color w:val="000000"/>
          <w:sz w:val="24"/>
          <w:szCs w:val="24"/>
          <w:shd w:val="clear" w:color="auto" w:fill="FFFFFF"/>
          <w:lang w:val="hy-AM"/>
        </w:rPr>
        <w:t xml:space="preserve">մինչև տվյալ քրեական գործով ներգրավված և դատական նիստին կանչված բոլոր վկաների հարցաքննության ավարտը դատական նիստի տեսաձայնագրման տարածման, դրա ընթացքի հեռարձակման արգելք: </w:t>
      </w:r>
    </w:p>
    <w:p w14:paraId="7A6A1F91" w14:textId="397D48BD" w:rsidR="00884039" w:rsidRDefault="00884039" w:rsidP="00884039">
      <w:pPr>
        <w:pStyle w:val="ListParagraph"/>
        <w:numPr>
          <w:ilvl w:val="0"/>
          <w:numId w:val="10"/>
        </w:numPr>
        <w:spacing w:after="0" w:line="360" w:lineRule="auto"/>
        <w:ind w:left="0" w:firstLine="81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մեղադրյալի համաձայնության և պաշտպանի պարտադիր մասնակցության հիմքերի բացակայության դեպքում՝ պաշտպանի բացակայությամբ դատական նիստը շարունակելու հնարավորություն,</w:t>
      </w:r>
    </w:p>
    <w:p w14:paraId="165C4644" w14:textId="4A37EE4C" w:rsidR="00884039" w:rsidRDefault="00884039" w:rsidP="00884039">
      <w:pPr>
        <w:pStyle w:val="ListParagraph"/>
        <w:numPr>
          <w:ilvl w:val="0"/>
          <w:numId w:val="10"/>
        </w:numPr>
        <w:spacing w:after="0" w:line="360" w:lineRule="auto"/>
        <w:ind w:left="0" w:firstLine="810"/>
        <w:jc w:val="both"/>
        <w:rPr>
          <w:rFonts w:ascii="GHEA Grapalat" w:hAnsi="GHEA Grapalat"/>
          <w:color w:val="000000"/>
          <w:sz w:val="24"/>
          <w:szCs w:val="24"/>
          <w:shd w:val="clear" w:color="auto" w:fill="FFFFFF"/>
          <w:lang w:val="hy-AM"/>
        </w:rPr>
      </w:pPr>
      <w:r w:rsidRPr="00884039">
        <w:rPr>
          <w:rFonts w:ascii="GHEA Grapalat" w:hAnsi="GHEA Grapalat"/>
          <w:color w:val="000000"/>
          <w:sz w:val="24"/>
          <w:szCs w:val="24"/>
          <w:shd w:val="clear" w:color="auto" w:fill="FFFFFF"/>
          <w:lang w:val="hy-AM"/>
        </w:rPr>
        <w:t>Գույքի արգելադրման մասին որոշման իրավաչափությունը հաստատելու միջնորդությ</w:t>
      </w:r>
      <w:r>
        <w:rPr>
          <w:rFonts w:ascii="GHEA Grapalat" w:hAnsi="GHEA Grapalat"/>
          <w:color w:val="000000"/>
          <w:sz w:val="24"/>
          <w:szCs w:val="24"/>
          <w:shd w:val="clear" w:color="auto" w:fill="FFFFFF"/>
          <w:lang w:val="hy-AM"/>
        </w:rPr>
        <w:t xml:space="preserve">ունը մասնակի բավարարելու լիազորություն, </w:t>
      </w:r>
    </w:p>
    <w:p w14:paraId="5EBDC056" w14:textId="39E60623" w:rsidR="00884039" w:rsidRDefault="00884039" w:rsidP="00884039">
      <w:pPr>
        <w:pStyle w:val="ListParagraph"/>
        <w:numPr>
          <w:ilvl w:val="0"/>
          <w:numId w:val="10"/>
        </w:numPr>
        <w:spacing w:after="0" w:line="360" w:lineRule="auto"/>
        <w:ind w:left="0" w:firstLine="810"/>
        <w:jc w:val="both"/>
        <w:rPr>
          <w:rFonts w:ascii="GHEA Grapalat" w:hAnsi="GHEA Grapalat"/>
          <w:color w:val="000000"/>
          <w:sz w:val="24"/>
          <w:szCs w:val="24"/>
          <w:shd w:val="clear" w:color="auto" w:fill="FFFFFF"/>
          <w:lang w:val="hy-AM"/>
        </w:rPr>
      </w:pPr>
      <w:r w:rsidRPr="00884039">
        <w:rPr>
          <w:rFonts w:ascii="GHEA Grapalat" w:hAnsi="GHEA Grapalat"/>
          <w:color w:val="000000"/>
          <w:sz w:val="24"/>
          <w:szCs w:val="24"/>
          <w:shd w:val="clear" w:color="auto" w:fill="FFFFFF"/>
          <w:lang w:val="hy-AM"/>
        </w:rPr>
        <w:t>Բացառիկ վերանայման բողոքը վերադարձնելու մասին որոշ</w:t>
      </w:r>
      <w:r>
        <w:rPr>
          <w:rFonts w:ascii="GHEA Grapalat" w:hAnsi="GHEA Grapalat"/>
          <w:color w:val="000000"/>
          <w:sz w:val="24"/>
          <w:szCs w:val="24"/>
          <w:shd w:val="clear" w:color="auto" w:fill="FFFFFF"/>
          <w:lang w:val="hy-AM"/>
        </w:rPr>
        <w:t>ման</w:t>
      </w:r>
      <w:r w:rsidRPr="00884039">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կայացման ժամկետներ,</w:t>
      </w:r>
    </w:p>
    <w:p w14:paraId="48864A14" w14:textId="46882120" w:rsidR="00884039" w:rsidRPr="00884039" w:rsidRDefault="00884039" w:rsidP="00884039">
      <w:pPr>
        <w:pStyle w:val="ListParagraph"/>
        <w:numPr>
          <w:ilvl w:val="0"/>
          <w:numId w:val="10"/>
        </w:numPr>
        <w:spacing w:after="0" w:line="360" w:lineRule="auto"/>
        <w:ind w:left="0" w:firstLine="81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Բ</w:t>
      </w:r>
      <w:r w:rsidRPr="00884039">
        <w:rPr>
          <w:rFonts w:ascii="GHEA Grapalat" w:hAnsi="GHEA Grapalat"/>
          <w:color w:val="000000"/>
          <w:sz w:val="24"/>
          <w:szCs w:val="24"/>
          <w:shd w:val="clear" w:color="auto" w:fill="FFFFFF"/>
          <w:lang w:val="hy-AM"/>
        </w:rPr>
        <w:t>ացառիկ վերանայման արդյունքով ստորադաս դատարանի դատական ակտը</w:t>
      </w:r>
      <w:r>
        <w:rPr>
          <w:rFonts w:ascii="GHEA Grapalat" w:hAnsi="GHEA Grapalat"/>
          <w:color w:val="000000"/>
          <w:sz w:val="24"/>
          <w:szCs w:val="24"/>
          <w:shd w:val="clear" w:color="auto" w:fill="FFFFFF"/>
          <w:lang w:val="hy-AM"/>
        </w:rPr>
        <w:t xml:space="preserve"> փոփոխելու լիազորություն:</w:t>
      </w:r>
    </w:p>
    <w:p w14:paraId="35C9C163" w14:textId="77777777" w:rsidR="001E02B2" w:rsidRPr="00884039" w:rsidRDefault="001E02B2" w:rsidP="00884039">
      <w:pPr>
        <w:tabs>
          <w:tab w:val="left" w:pos="1080"/>
        </w:tabs>
        <w:spacing w:line="360" w:lineRule="auto"/>
        <w:jc w:val="both"/>
        <w:textAlignment w:val="baseline"/>
        <w:rPr>
          <w:rFonts w:ascii="GHEA Grapalat" w:hAnsi="GHEA Grapalat"/>
          <w:bCs/>
          <w:iCs/>
          <w:color w:val="FF0000"/>
          <w:sz w:val="24"/>
          <w:szCs w:val="24"/>
          <w:bdr w:val="none" w:sz="0" w:space="0" w:color="auto" w:frame="1"/>
          <w:lang w:val="hy-AM"/>
        </w:rPr>
      </w:pPr>
    </w:p>
    <w:p w14:paraId="180CD5DF" w14:textId="77777777" w:rsidR="00C701F8" w:rsidRPr="001D4C65" w:rsidRDefault="00C701F8" w:rsidP="00884039">
      <w:pPr>
        <w:pStyle w:val="ListParagraph"/>
        <w:numPr>
          <w:ilvl w:val="0"/>
          <w:numId w:val="1"/>
        </w:numPr>
        <w:tabs>
          <w:tab w:val="left" w:pos="1080"/>
        </w:tabs>
        <w:spacing w:after="240" w:line="360" w:lineRule="auto"/>
        <w:ind w:left="0" w:firstLine="720"/>
        <w:jc w:val="both"/>
        <w:rPr>
          <w:rFonts w:ascii="GHEA Grapalat" w:hAnsi="GHEA Grapalat"/>
          <w:sz w:val="24"/>
          <w:szCs w:val="24"/>
          <w:lang w:val="am-ET"/>
        </w:rPr>
      </w:pPr>
      <w:r w:rsidRPr="001D4C65">
        <w:rPr>
          <w:rFonts w:ascii="GHEA Grapalat" w:hAnsi="GHEA Grapalat"/>
          <w:b/>
          <w:bCs/>
          <w:sz w:val="24"/>
          <w:szCs w:val="24"/>
          <w:u w:val="single"/>
          <w:bdr w:val="none" w:sz="0" w:space="0" w:color="auto" w:frame="1"/>
          <w:lang w:val="am-ET"/>
        </w:rPr>
        <w:t>Նախագծի մշակման գործընթացում ներգրավված ինստիտուտները և անձինք.</w:t>
      </w:r>
    </w:p>
    <w:p w14:paraId="3F759CDC" w14:textId="61FF1268" w:rsidR="00C701F8" w:rsidRPr="001D4C65" w:rsidRDefault="00D765E5" w:rsidP="00884039">
      <w:pPr>
        <w:tabs>
          <w:tab w:val="left" w:pos="1080"/>
        </w:tabs>
        <w:spacing w:after="0" w:line="360" w:lineRule="auto"/>
        <w:ind w:firstLine="720"/>
        <w:jc w:val="both"/>
        <w:textAlignment w:val="baseline"/>
        <w:rPr>
          <w:rFonts w:ascii="GHEA Grapalat" w:hAnsi="GHEA Grapalat"/>
          <w:sz w:val="24"/>
          <w:szCs w:val="24"/>
          <w:lang w:val="am-ET"/>
        </w:rPr>
      </w:pPr>
      <w:r w:rsidRPr="001D4C65">
        <w:rPr>
          <w:rFonts w:ascii="GHEA Grapalat" w:hAnsi="GHEA Grapalat"/>
          <w:sz w:val="24"/>
          <w:szCs w:val="24"/>
          <w:lang w:val="am-ET"/>
        </w:rPr>
        <w:t>Նախագ</w:t>
      </w:r>
      <w:r w:rsidR="00753BF3" w:rsidRPr="001D4C65">
        <w:rPr>
          <w:rFonts w:ascii="GHEA Grapalat" w:hAnsi="GHEA Grapalat"/>
          <w:sz w:val="24"/>
          <w:szCs w:val="24"/>
          <w:lang w:val="hy-AM"/>
        </w:rPr>
        <w:t>իծ</w:t>
      </w:r>
      <w:r w:rsidR="00C701F8" w:rsidRPr="001D4C65">
        <w:rPr>
          <w:rFonts w:ascii="GHEA Grapalat" w:hAnsi="GHEA Grapalat"/>
          <w:sz w:val="24"/>
          <w:szCs w:val="24"/>
          <w:lang w:val="am-ET"/>
        </w:rPr>
        <w:t xml:space="preserve">ը մշակվել </w:t>
      </w:r>
      <w:r w:rsidR="00753BF3" w:rsidRPr="001D4C65">
        <w:rPr>
          <w:rFonts w:ascii="GHEA Grapalat" w:hAnsi="GHEA Grapalat"/>
          <w:sz w:val="24"/>
          <w:szCs w:val="24"/>
          <w:lang w:val="hy-AM"/>
        </w:rPr>
        <w:t>է</w:t>
      </w:r>
      <w:r w:rsidR="00C701F8" w:rsidRPr="001D4C65">
        <w:rPr>
          <w:rFonts w:ascii="GHEA Grapalat" w:hAnsi="GHEA Grapalat"/>
          <w:sz w:val="24"/>
          <w:szCs w:val="24"/>
          <w:lang w:val="am-ET"/>
        </w:rPr>
        <w:t xml:space="preserve"> </w:t>
      </w:r>
      <w:r w:rsidR="00A72129">
        <w:rPr>
          <w:rFonts w:ascii="GHEA Grapalat" w:hAnsi="GHEA Grapalat"/>
          <w:sz w:val="24"/>
          <w:szCs w:val="24"/>
          <w:lang w:val="hy-AM"/>
        </w:rPr>
        <w:t>Հայաստանի Հանրապետություն</w:t>
      </w:r>
      <w:r w:rsidR="00C701F8" w:rsidRPr="001D4C65">
        <w:rPr>
          <w:rFonts w:ascii="GHEA Grapalat" w:hAnsi="GHEA Grapalat"/>
          <w:sz w:val="24"/>
          <w:szCs w:val="24"/>
          <w:lang w:val="am-ET"/>
        </w:rPr>
        <w:t xml:space="preserve"> արդարադատության նախարարության կողմից:</w:t>
      </w:r>
    </w:p>
    <w:p w14:paraId="534A1428" w14:textId="77777777" w:rsidR="008B72E8" w:rsidRPr="00A20BF6" w:rsidRDefault="008B72E8" w:rsidP="00884039">
      <w:pPr>
        <w:tabs>
          <w:tab w:val="left" w:pos="1080"/>
        </w:tabs>
        <w:spacing w:after="0" w:line="360" w:lineRule="auto"/>
        <w:ind w:firstLine="720"/>
        <w:jc w:val="both"/>
        <w:textAlignment w:val="baseline"/>
        <w:rPr>
          <w:rFonts w:ascii="GHEA Grapalat" w:hAnsi="GHEA Grapalat"/>
          <w:b/>
          <w:color w:val="FF0000"/>
          <w:sz w:val="24"/>
          <w:szCs w:val="24"/>
          <w:u w:val="single"/>
          <w:lang w:val="am-ET"/>
        </w:rPr>
      </w:pPr>
    </w:p>
    <w:p w14:paraId="5BF43086" w14:textId="77777777" w:rsidR="001D4C65" w:rsidRPr="001D4C65" w:rsidRDefault="00C701F8" w:rsidP="00884039">
      <w:pPr>
        <w:pStyle w:val="ListParagraph"/>
        <w:numPr>
          <w:ilvl w:val="0"/>
          <w:numId w:val="1"/>
        </w:numPr>
        <w:tabs>
          <w:tab w:val="left" w:pos="1080"/>
        </w:tabs>
        <w:spacing w:after="0" w:line="360" w:lineRule="auto"/>
        <w:ind w:left="0" w:firstLine="720"/>
        <w:jc w:val="both"/>
        <w:textAlignment w:val="baseline"/>
        <w:rPr>
          <w:rFonts w:ascii="GHEA Grapalat" w:hAnsi="GHEA Grapalat"/>
          <w:sz w:val="24"/>
          <w:szCs w:val="24"/>
          <w:lang w:val="am-ET"/>
        </w:rPr>
      </w:pPr>
      <w:r w:rsidRPr="001D4C65">
        <w:rPr>
          <w:rFonts w:ascii="GHEA Grapalat" w:hAnsi="GHEA Grapalat"/>
          <w:b/>
          <w:sz w:val="24"/>
          <w:szCs w:val="24"/>
          <w:u w:val="single"/>
          <w:lang w:val="am-ET"/>
        </w:rPr>
        <w:t>Ակնկալվող արդյունքը.</w:t>
      </w:r>
    </w:p>
    <w:p w14:paraId="41F67765" w14:textId="47F285DF" w:rsidR="001D4C65" w:rsidRPr="002D29DD" w:rsidRDefault="001D4C65" w:rsidP="00884039">
      <w:pPr>
        <w:pStyle w:val="ListParagraph"/>
        <w:spacing w:after="0" w:line="360" w:lineRule="auto"/>
        <w:ind w:left="0" w:firstLine="709"/>
        <w:jc w:val="both"/>
        <w:textAlignment w:val="baseline"/>
        <w:rPr>
          <w:rFonts w:ascii="GHEA Grapalat" w:hAnsi="GHEA Grapalat"/>
          <w:sz w:val="24"/>
          <w:szCs w:val="24"/>
          <w:lang w:val="am-ET"/>
        </w:rPr>
      </w:pPr>
      <w:r w:rsidRPr="001D4C65">
        <w:rPr>
          <w:rFonts w:ascii="GHEA Grapalat" w:hAnsi="GHEA Grapalat" w:cs="Sylfaen"/>
          <w:sz w:val="24"/>
          <w:szCs w:val="24"/>
          <w:lang w:val="hy-AM"/>
        </w:rPr>
        <w:lastRenderedPageBreak/>
        <w:t>Նախագծի</w:t>
      </w:r>
      <w:r w:rsidRPr="001D4C65">
        <w:rPr>
          <w:rFonts w:ascii="GHEA Grapalat" w:hAnsi="GHEA Grapalat"/>
          <w:sz w:val="24"/>
          <w:szCs w:val="24"/>
          <w:lang w:val="hy-AM"/>
        </w:rPr>
        <w:t xml:space="preserve"> ընդունման արդյունքում կլավարկվ</w:t>
      </w:r>
      <w:r w:rsidR="00A72129">
        <w:rPr>
          <w:rFonts w:ascii="GHEA Grapalat" w:hAnsi="GHEA Grapalat"/>
          <w:sz w:val="24"/>
          <w:szCs w:val="24"/>
          <w:lang w:val="hy-AM"/>
        </w:rPr>
        <w:t>են</w:t>
      </w:r>
      <w:r w:rsidRPr="001D4C65">
        <w:rPr>
          <w:rFonts w:ascii="GHEA Grapalat" w:hAnsi="GHEA Grapalat"/>
          <w:sz w:val="24"/>
          <w:szCs w:val="24"/>
          <w:lang w:val="hy-AM"/>
        </w:rPr>
        <w:t xml:space="preserve"> </w:t>
      </w:r>
      <w:r w:rsidR="00A72129">
        <w:rPr>
          <w:rFonts w:ascii="GHEA Grapalat" w:hAnsi="GHEA Grapalat"/>
          <w:sz w:val="24"/>
          <w:szCs w:val="24"/>
          <w:lang w:val="hy-AM"/>
        </w:rPr>
        <w:t>ՀՀ ք</w:t>
      </w:r>
      <w:r w:rsidRPr="001D4C65">
        <w:rPr>
          <w:rFonts w:ascii="GHEA Grapalat" w:hAnsi="GHEA Grapalat"/>
          <w:sz w:val="24"/>
          <w:szCs w:val="24"/>
          <w:lang w:val="hy-AM"/>
        </w:rPr>
        <w:t>րեական</w:t>
      </w:r>
      <w:r w:rsidR="00A72129">
        <w:rPr>
          <w:rFonts w:ascii="GHEA Grapalat" w:hAnsi="GHEA Grapalat"/>
          <w:sz w:val="24"/>
          <w:szCs w:val="24"/>
          <w:lang w:val="hy-AM"/>
        </w:rPr>
        <w:t xml:space="preserve"> </w:t>
      </w:r>
      <w:r w:rsidRPr="001D4C65">
        <w:rPr>
          <w:rFonts w:ascii="GHEA Grapalat" w:hAnsi="GHEA Grapalat"/>
          <w:sz w:val="24"/>
          <w:szCs w:val="24"/>
          <w:lang w:val="hy-AM"/>
        </w:rPr>
        <w:t>դատավարության օրենսգրքով նախատեսված որոշ իրավակարգավորումներ:</w:t>
      </w:r>
    </w:p>
    <w:p w14:paraId="274F3B0E" w14:textId="77777777" w:rsidR="001D4C65" w:rsidRPr="002D29DD" w:rsidRDefault="001D4C65" w:rsidP="00884039">
      <w:pPr>
        <w:pStyle w:val="ListParagraph"/>
        <w:spacing w:after="0" w:line="360" w:lineRule="auto"/>
        <w:ind w:left="0" w:firstLine="709"/>
        <w:jc w:val="both"/>
        <w:textAlignment w:val="baseline"/>
        <w:rPr>
          <w:rFonts w:ascii="GHEA Grapalat" w:hAnsi="GHEA Grapalat"/>
          <w:sz w:val="24"/>
          <w:szCs w:val="24"/>
          <w:lang w:val="am-ET"/>
        </w:rPr>
      </w:pPr>
    </w:p>
    <w:p w14:paraId="25994800" w14:textId="77777777" w:rsidR="00C701F8" w:rsidRPr="001D4C65" w:rsidRDefault="00C701F8" w:rsidP="00884039">
      <w:pPr>
        <w:pStyle w:val="ListParagraph"/>
        <w:numPr>
          <w:ilvl w:val="0"/>
          <w:numId w:val="1"/>
        </w:numPr>
        <w:tabs>
          <w:tab w:val="left" w:pos="1080"/>
        </w:tabs>
        <w:spacing w:after="0" w:line="360" w:lineRule="auto"/>
        <w:ind w:left="0" w:firstLine="720"/>
        <w:jc w:val="both"/>
        <w:rPr>
          <w:rStyle w:val="Strong"/>
          <w:rFonts w:ascii="GHEA Grapalat" w:hAnsi="GHEA Grapalat"/>
          <w:bCs w:val="0"/>
          <w:sz w:val="24"/>
          <w:szCs w:val="24"/>
          <w:u w:val="single"/>
          <w:bdr w:val="none" w:sz="0" w:space="0" w:color="auto" w:frame="1"/>
          <w:lang w:val="am-ET"/>
        </w:rPr>
      </w:pPr>
      <w:r w:rsidRPr="001D4C65">
        <w:rPr>
          <w:rStyle w:val="Strong"/>
          <w:rFonts w:ascii="GHEA Grapalat" w:hAnsi="GHEA Grapalat"/>
          <w:sz w:val="24"/>
          <w:szCs w:val="24"/>
          <w:u w:val="single"/>
          <w:bdr w:val="none" w:sz="0" w:space="0" w:color="auto" w:frame="1"/>
          <w:lang w:val="am-ET"/>
        </w:rPr>
        <w:t>Լրացուցիչ ֆինանսական միջոցների անհրաժեշտության և պետական բյուջեի եկամուտներում և ծախսերում սպասվելիք փոփոխությունների մասին.</w:t>
      </w:r>
    </w:p>
    <w:p w14:paraId="046BFF85" w14:textId="02B657BC" w:rsidR="00C701F8" w:rsidRPr="001D4C65" w:rsidRDefault="00191494" w:rsidP="00884039">
      <w:pPr>
        <w:pStyle w:val="NormalWeb"/>
        <w:tabs>
          <w:tab w:val="left" w:pos="1080"/>
        </w:tabs>
        <w:spacing w:before="0" w:beforeAutospacing="0" w:after="0" w:afterAutospacing="0" w:line="360" w:lineRule="auto"/>
        <w:ind w:firstLine="720"/>
        <w:jc w:val="both"/>
        <w:textAlignment w:val="baseline"/>
        <w:rPr>
          <w:rFonts w:ascii="GHEA Grapalat" w:hAnsi="GHEA Grapalat"/>
          <w:lang w:val="am-ET"/>
        </w:rPr>
      </w:pPr>
      <w:r w:rsidRPr="001D4C65">
        <w:rPr>
          <w:rFonts w:ascii="GHEA Grapalat" w:hAnsi="GHEA Grapalat"/>
          <w:lang w:val="am-ET"/>
        </w:rPr>
        <w:t>Նախագծ</w:t>
      </w:r>
      <w:r w:rsidR="00D765E5" w:rsidRPr="001D4C65">
        <w:rPr>
          <w:rFonts w:ascii="GHEA Grapalat" w:hAnsi="GHEA Grapalat"/>
          <w:lang w:val="am-ET"/>
        </w:rPr>
        <w:t>ի ընդուն</w:t>
      </w:r>
      <w:r w:rsidR="00C701F8" w:rsidRPr="001D4C65">
        <w:rPr>
          <w:rFonts w:ascii="GHEA Grapalat" w:hAnsi="GHEA Grapalat"/>
          <w:lang w:val="am-ET"/>
        </w:rPr>
        <w:t xml:space="preserve">մամբ </w:t>
      </w:r>
      <w:r w:rsidR="00A72129">
        <w:rPr>
          <w:rFonts w:ascii="GHEA Grapalat" w:hAnsi="GHEA Grapalat"/>
          <w:lang w:val="hy-AM"/>
        </w:rPr>
        <w:t>Հայաստանի Հանրապետության</w:t>
      </w:r>
      <w:r w:rsidR="00C701F8" w:rsidRPr="001D4C65">
        <w:rPr>
          <w:rFonts w:ascii="GHEA Grapalat" w:hAnsi="GHEA Grapalat"/>
          <w:lang w:val="am-ET"/>
        </w:rPr>
        <w:t xml:space="preserve"> պետական բյուջեի եկամուտների և ծախսերի փոփոխություններ չի նախատեսվում։</w:t>
      </w:r>
    </w:p>
    <w:p w14:paraId="3E364AC9" w14:textId="77777777" w:rsidR="00C701F8" w:rsidRPr="001D4C65" w:rsidRDefault="00C701F8" w:rsidP="00884039">
      <w:pPr>
        <w:pStyle w:val="NormalWeb"/>
        <w:tabs>
          <w:tab w:val="left" w:pos="1080"/>
        </w:tabs>
        <w:spacing w:before="0" w:beforeAutospacing="0" w:after="0" w:afterAutospacing="0" w:line="360" w:lineRule="auto"/>
        <w:ind w:firstLine="720"/>
        <w:jc w:val="both"/>
        <w:textAlignment w:val="baseline"/>
        <w:rPr>
          <w:rFonts w:ascii="GHEA Grapalat" w:hAnsi="GHEA Grapalat"/>
          <w:lang w:val="am-ET"/>
        </w:rPr>
      </w:pPr>
    </w:p>
    <w:p w14:paraId="43DFE712" w14:textId="77777777" w:rsidR="00C701F8" w:rsidRPr="001D4C65" w:rsidRDefault="00191494" w:rsidP="00884039">
      <w:pPr>
        <w:pStyle w:val="ListParagraph"/>
        <w:numPr>
          <w:ilvl w:val="0"/>
          <w:numId w:val="1"/>
        </w:numPr>
        <w:tabs>
          <w:tab w:val="left" w:pos="1080"/>
        </w:tabs>
        <w:spacing w:after="0" w:line="360" w:lineRule="auto"/>
        <w:ind w:left="0" w:firstLine="720"/>
        <w:jc w:val="both"/>
        <w:rPr>
          <w:rStyle w:val="Strong"/>
          <w:rFonts w:ascii="GHEA Grapalat" w:hAnsi="GHEA Grapalat"/>
          <w:bCs w:val="0"/>
          <w:sz w:val="24"/>
          <w:szCs w:val="24"/>
          <w:u w:val="single"/>
          <w:bdr w:val="none" w:sz="0" w:space="0" w:color="auto" w:frame="1"/>
          <w:lang w:val="am-ET"/>
        </w:rPr>
      </w:pPr>
      <w:r w:rsidRPr="001D4C65">
        <w:rPr>
          <w:rStyle w:val="Strong"/>
          <w:rFonts w:ascii="GHEA Grapalat" w:hAnsi="GHEA Grapalat"/>
          <w:sz w:val="24"/>
          <w:szCs w:val="24"/>
          <w:u w:val="single"/>
          <w:bdr w:val="none" w:sz="0" w:space="0" w:color="auto" w:frame="1"/>
          <w:lang w:val="am-ET"/>
        </w:rPr>
        <w:t>Նախագծ</w:t>
      </w:r>
      <w:r w:rsidR="00D765E5" w:rsidRPr="001D4C65">
        <w:rPr>
          <w:rStyle w:val="Strong"/>
          <w:rFonts w:ascii="GHEA Grapalat" w:hAnsi="GHEA Grapalat"/>
          <w:sz w:val="24"/>
          <w:szCs w:val="24"/>
          <w:u w:val="single"/>
          <w:bdr w:val="none" w:sz="0" w:space="0" w:color="auto" w:frame="1"/>
          <w:lang w:val="am-ET"/>
        </w:rPr>
        <w:t>ի ընդուն</w:t>
      </w:r>
      <w:r w:rsidR="00C701F8" w:rsidRPr="001D4C65">
        <w:rPr>
          <w:rStyle w:val="Strong"/>
          <w:rFonts w:ascii="GHEA Grapalat" w:hAnsi="GHEA Grapalat"/>
          <w:sz w:val="24"/>
          <w:szCs w:val="24"/>
          <w:u w:val="single"/>
          <w:bdr w:val="none" w:sz="0" w:space="0" w:color="auto" w:frame="1"/>
          <w:lang w:val="am-ET"/>
        </w:rPr>
        <w:t>ման առնչությամբ ընդունվելիք այլ իրավական ակտերի նախագծերը կամ դրանց ընդունման անհրաժեշտության բացակայության մասին.</w:t>
      </w:r>
    </w:p>
    <w:p w14:paraId="7FB08683" w14:textId="77777777" w:rsidR="00C701F8" w:rsidRPr="001D4C65" w:rsidRDefault="00D765E5" w:rsidP="00884039">
      <w:pPr>
        <w:pStyle w:val="NormalWeb"/>
        <w:tabs>
          <w:tab w:val="left" w:pos="1080"/>
        </w:tabs>
        <w:spacing w:before="0" w:beforeAutospacing="0" w:after="0" w:afterAutospacing="0" w:line="360" w:lineRule="auto"/>
        <w:ind w:firstLine="720"/>
        <w:jc w:val="both"/>
        <w:textAlignment w:val="baseline"/>
        <w:rPr>
          <w:rFonts w:ascii="GHEA Grapalat" w:hAnsi="GHEA Grapalat"/>
          <w:lang w:val="am-ET"/>
        </w:rPr>
      </w:pPr>
      <w:r w:rsidRPr="001D4C65">
        <w:rPr>
          <w:rFonts w:ascii="GHEA Grapalat" w:hAnsi="GHEA Grapalat"/>
          <w:lang w:val="am-ET"/>
        </w:rPr>
        <w:t>Նախ</w:t>
      </w:r>
      <w:r w:rsidR="00191494" w:rsidRPr="001D4C65">
        <w:rPr>
          <w:rFonts w:ascii="GHEA Grapalat" w:hAnsi="GHEA Grapalat"/>
          <w:lang w:val="am-ET"/>
        </w:rPr>
        <w:t>ագծ</w:t>
      </w:r>
      <w:r w:rsidRPr="001D4C65">
        <w:rPr>
          <w:rFonts w:ascii="GHEA Grapalat" w:hAnsi="GHEA Grapalat"/>
          <w:lang w:val="am-ET"/>
        </w:rPr>
        <w:t>ի ընդուն</w:t>
      </w:r>
      <w:r w:rsidR="00C701F8" w:rsidRPr="001D4C65">
        <w:rPr>
          <w:rFonts w:ascii="GHEA Grapalat" w:hAnsi="GHEA Grapalat"/>
          <w:lang w:val="am-ET"/>
        </w:rPr>
        <w:t xml:space="preserve">մամբ </w:t>
      </w:r>
      <w:r w:rsidR="001E02B2" w:rsidRPr="001D4C65">
        <w:rPr>
          <w:rFonts w:ascii="GHEA Grapalat" w:hAnsi="GHEA Grapalat"/>
          <w:lang w:val="am-ET"/>
        </w:rPr>
        <w:t>ոլորտային ենթաօրենսդրական ակտերում փոփոխություն կատարելու</w:t>
      </w:r>
      <w:r w:rsidR="001E02B2" w:rsidRPr="001D4C65">
        <w:rPr>
          <w:rFonts w:ascii="GHEA Grapalat" w:hAnsi="GHEA Grapalat"/>
          <w:lang w:val="hy-AM"/>
        </w:rPr>
        <w:t xml:space="preserve"> </w:t>
      </w:r>
      <w:r w:rsidR="00C701F8" w:rsidRPr="001D4C65">
        <w:rPr>
          <w:rFonts w:ascii="GHEA Grapalat" w:hAnsi="GHEA Grapalat"/>
          <w:lang w:val="am-ET"/>
        </w:rPr>
        <w:t>անհրաժեշտություն չի առաջանալու</w:t>
      </w:r>
      <w:r w:rsidR="002C0C23" w:rsidRPr="001D4C65">
        <w:rPr>
          <w:rFonts w:ascii="GHEA Grapalat" w:hAnsi="GHEA Grapalat"/>
          <w:lang w:val="am-ET"/>
        </w:rPr>
        <w:t>:</w:t>
      </w:r>
      <w:r w:rsidR="00C701F8" w:rsidRPr="001D4C65">
        <w:rPr>
          <w:rFonts w:ascii="GHEA Grapalat" w:hAnsi="GHEA Grapalat"/>
          <w:lang w:val="am-ET"/>
        </w:rPr>
        <w:t xml:space="preserve"> </w:t>
      </w:r>
    </w:p>
    <w:p w14:paraId="32253BCA" w14:textId="77777777" w:rsidR="00C701F8" w:rsidRPr="001D4C65" w:rsidRDefault="00C701F8" w:rsidP="00884039">
      <w:pPr>
        <w:tabs>
          <w:tab w:val="left" w:pos="1080"/>
        </w:tabs>
        <w:spacing w:after="0" w:line="360" w:lineRule="auto"/>
        <w:ind w:firstLine="720"/>
        <w:jc w:val="both"/>
        <w:rPr>
          <w:rFonts w:ascii="GHEA Grapalat" w:hAnsi="GHEA Grapalat"/>
          <w:sz w:val="24"/>
          <w:szCs w:val="24"/>
          <w:lang w:val="am-ET"/>
        </w:rPr>
      </w:pPr>
    </w:p>
    <w:p w14:paraId="597372F2" w14:textId="77777777" w:rsidR="00C701F8" w:rsidRPr="001D4C65" w:rsidRDefault="00C701F8" w:rsidP="00884039">
      <w:pPr>
        <w:pStyle w:val="ListParagraph"/>
        <w:numPr>
          <w:ilvl w:val="0"/>
          <w:numId w:val="1"/>
        </w:numPr>
        <w:tabs>
          <w:tab w:val="left" w:pos="1080"/>
        </w:tabs>
        <w:spacing w:after="0" w:line="360" w:lineRule="auto"/>
        <w:ind w:left="0" w:firstLine="720"/>
        <w:jc w:val="both"/>
        <w:rPr>
          <w:rFonts w:ascii="GHEA Grapalat" w:eastAsia="Times New Roman" w:hAnsi="GHEA Grapalat" w:cs="Times New Roman"/>
          <w:b/>
          <w:sz w:val="24"/>
          <w:szCs w:val="24"/>
          <w:u w:val="single"/>
          <w:lang w:val="am-ET" w:eastAsia="ru-RU"/>
        </w:rPr>
      </w:pPr>
      <w:r w:rsidRPr="001D4C65">
        <w:rPr>
          <w:rFonts w:ascii="GHEA Grapalat" w:eastAsia="Times New Roman" w:hAnsi="GHEA Grapalat" w:cs="Times New Roman"/>
          <w:b/>
          <w:sz w:val="24"/>
          <w:szCs w:val="24"/>
          <w:u w:val="single"/>
          <w:lang w:val="am-ET" w:eastAsia="ru-RU"/>
        </w:rPr>
        <w:t>Ռազմավարական փաստաթղթերի հետ նախագծի կապի մասին.</w:t>
      </w:r>
    </w:p>
    <w:p w14:paraId="3D0DA174" w14:textId="11496513" w:rsidR="001E02B2" w:rsidRPr="001D4C65" w:rsidRDefault="00191494" w:rsidP="00884039">
      <w:pPr>
        <w:pStyle w:val="NormalWeb"/>
        <w:spacing w:before="0" w:beforeAutospacing="0" w:after="0" w:afterAutospacing="0" w:line="360" w:lineRule="auto"/>
        <w:ind w:firstLine="720"/>
        <w:jc w:val="both"/>
        <w:textAlignment w:val="baseline"/>
        <w:rPr>
          <w:rFonts w:ascii="GHEA Grapalat" w:eastAsia="Calibri" w:hAnsi="GHEA Grapalat" w:cs="Cambria"/>
          <w:lang w:val="sq-AL"/>
        </w:rPr>
      </w:pPr>
      <w:r w:rsidRPr="001D4C65">
        <w:rPr>
          <w:rFonts w:ascii="GHEA Grapalat" w:hAnsi="GHEA Grapalat"/>
          <w:lang w:val="am-ET"/>
        </w:rPr>
        <w:t>Նախագծ</w:t>
      </w:r>
      <w:r w:rsidR="00C701F8" w:rsidRPr="001D4C65">
        <w:rPr>
          <w:rFonts w:ascii="GHEA Grapalat" w:hAnsi="GHEA Grapalat"/>
          <w:lang w:val="am-ET"/>
        </w:rPr>
        <w:t xml:space="preserve">ի ընդունումը բխում է </w:t>
      </w:r>
      <w:r w:rsidR="001E02B2" w:rsidRPr="001D4C65">
        <w:rPr>
          <w:rFonts w:ascii="GHEA Grapalat" w:eastAsia="Calibri" w:hAnsi="GHEA Grapalat" w:cs="Sylfaen"/>
          <w:lang w:val="sq-AL"/>
        </w:rPr>
        <w:t xml:space="preserve">Կառավարության 2022 թվականի հուլիսի 21-ի «Հայաստանի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1441-Լ որոշումն ուժը կորցրած ճանաչելու մասին» N 1133-Լ որոշման պահանջներից, մասնավորապես՝ </w:t>
      </w:r>
      <w:r w:rsidR="00BF6388">
        <w:rPr>
          <w:rFonts w:ascii="GHEA Grapalat" w:eastAsia="Calibri" w:hAnsi="GHEA Grapalat" w:cs="Sylfaen"/>
          <w:lang w:val="sq-AL"/>
        </w:rPr>
        <w:t>Հայաստանի Հանրապետության</w:t>
      </w:r>
      <w:bookmarkStart w:id="0" w:name="_GoBack"/>
      <w:bookmarkEnd w:id="0"/>
      <w:r w:rsidR="001E02B2" w:rsidRPr="001D4C65">
        <w:rPr>
          <w:rFonts w:ascii="GHEA Grapalat" w:eastAsia="Calibri" w:hAnsi="GHEA Grapalat" w:cs="Sylfaen"/>
          <w:lang w:val="sq-AL"/>
        </w:rPr>
        <w:t xml:space="preserve"> քրեական և քրեական դատավարության նոր օրենսգրքերի ուժի մեջ մտնելուց հետո մոնիթորինգ իրականացնելու և օրենսգրքերի դրույթների կիրառման կապակցությամբ գործնականում ծագող խնդիրները վեր հանելու պահանջներից:</w:t>
      </w:r>
    </w:p>
    <w:p w14:paraId="4EF7BC6D" w14:textId="77777777" w:rsidR="009364EE" w:rsidRPr="00A20BF6" w:rsidRDefault="009364EE" w:rsidP="00884039">
      <w:pPr>
        <w:pStyle w:val="NormalWeb"/>
        <w:tabs>
          <w:tab w:val="left" w:pos="1080"/>
        </w:tabs>
        <w:spacing w:before="0" w:beforeAutospacing="0" w:after="0" w:afterAutospacing="0" w:line="360" w:lineRule="auto"/>
        <w:ind w:firstLine="720"/>
        <w:jc w:val="both"/>
        <w:textAlignment w:val="baseline"/>
        <w:rPr>
          <w:rFonts w:ascii="GHEA Grapalat" w:hAnsi="GHEA Grapalat"/>
          <w:color w:val="FF0000"/>
          <w:lang w:val="sq-AL"/>
        </w:rPr>
      </w:pPr>
    </w:p>
    <w:sectPr w:rsidR="009364EE" w:rsidRPr="00A20BF6" w:rsidSect="00191494">
      <w:footerReference w:type="default" r:id="rId8"/>
      <w:pgSz w:w="11907" w:h="16839" w:code="9"/>
      <w:pgMar w:top="936" w:right="851" w:bottom="1134" w:left="14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49689" w14:textId="77777777" w:rsidR="0020328C" w:rsidRDefault="0020328C" w:rsidP="0055671A">
      <w:pPr>
        <w:spacing w:after="0" w:line="240" w:lineRule="auto"/>
      </w:pPr>
      <w:r>
        <w:separator/>
      </w:r>
    </w:p>
  </w:endnote>
  <w:endnote w:type="continuationSeparator" w:id="0">
    <w:p w14:paraId="2B5F9C3D" w14:textId="77777777" w:rsidR="0020328C" w:rsidRDefault="0020328C" w:rsidP="0055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969656"/>
      <w:docPartObj>
        <w:docPartGallery w:val="Page Numbers (Bottom of Page)"/>
        <w:docPartUnique/>
      </w:docPartObj>
    </w:sdtPr>
    <w:sdtEndPr/>
    <w:sdtContent>
      <w:p w14:paraId="673CF2FD" w14:textId="6B291711" w:rsidR="00D72728" w:rsidRDefault="00330B9F">
        <w:pPr>
          <w:pStyle w:val="Footer"/>
          <w:jc w:val="center"/>
        </w:pPr>
        <w:r>
          <w:fldChar w:fldCharType="begin"/>
        </w:r>
        <w:r>
          <w:instrText>PAGE   \* MERGEFORMAT</w:instrText>
        </w:r>
        <w:r>
          <w:fldChar w:fldCharType="separate"/>
        </w:r>
        <w:r w:rsidR="00BF6388">
          <w:rPr>
            <w:noProof/>
          </w:rPr>
          <w:t>12</w:t>
        </w:r>
        <w:r>
          <w:rPr>
            <w:noProof/>
          </w:rPr>
          <w:fldChar w:fldCharType="end"/>
        </w:r>
      </w:p>
    </w:sdtContent>
  </w:sdt>
  <w:p w14:paraId="2842C940" w14:textId="77777777" w:rsidR="00D72728" w:rsidRDefault="00D727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0453" w14:textId="77777777" w:rsidR="0020328C" w:rsidRDefault="0020328C" w:rsidP="0055671A">
      <w:pPr>
        <w:spacing w:after="0" w:line="240" w:lineRule="auto"/>
      </w:pPr>
      <w:r>
        <w:separator/>
      </w:r>
    </w:p>
  </w:footnote>
  <w:footnote w:type="continuationSeparator" w:id="0">
    <w:p w14:paraId="2DE69348" w14:textId="77777777" w:rsidR="0020328C" w:rsidRDefault="0020328C" w:rsidP="00556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862BF"/>
    <w:multiLevelType w:val="hybridMultilevel"/>
    <w:tmpl w:val="0826F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E624CA"/>
    <w:multiLevelType w:val="hybridMultilevel"/>
    <w:tmpl w:val="287CA244"/>
    <w:lvl w:ilvl="0" w:tplc="3474B0E8">
      <w:start w:val="2021"/>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083268"/>
    <w:multiLevelType w:val="hybridMultilevel"/>
    <w:tmpl w:val="FF4E0A5E"/>
    <w:lvl w:ilvl="0" w:tplc="04190011">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3E755D5F"/>
    <w:multiLevelType w:val="hybridMultilevel"/>
    <w:tmpl w:val="AFDAD792"/>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45D55002"/>
    <w:multiLevelType w:val="hybridMultilevel"/>
    <w:tmpl w:val="4306C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D86B71"/>
    <w:multiLevelType w:val="multilevel"/>
    <w:tmpl w:val="F1C6E504"/>
    <w:lvl w:ilvl="0">
      <w:start w:val="1"/>
      <w:numFmt w:val="decimal"/>
      <w:lvlText w:val="%1."/>
      <w:lvlJc w:val="left"/>
      <w:pPr>
        <w:ind w:left="6881" w:hanging="360"/>
      </w:pPr>
      <w:rPr>
        <w:rFonts w:hint="default"/>
        <w:b/>
      </w:rPr>
    </w:lvl>
    <w:lvl w:ilvl="1">
      <w:start w:val="1"/>
      <w:numFmt w:val="decimal"/>
      <w:isLgl/>
      <w:lvlText w:val="%1.%2"/>
      <w:lvlJc w:val="left"/>
      <w:pPr>
        <w:ind w:left="1000"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72" w:hanging="1440"/>
      </w:pPr>
      <w:rPr>
        <w:rFonts w:hint="default"/>
      </w:rPr>
    </w:lvl>
    <w:lvl w:ilvl="6">
      <w:start w:val="1"/>
      <w:numFmt w:val="decimal"/>
      <w:isLgl/>
      <w:lvlText w:val="%1.%2.%3.%4.%5.%6.%7"/>
      <w:lvlJc w:val="left"/>
      <w:pPr>
        <w:ind w:left="2445" w:hanging="1440"/>
      </w:pPr>
      <w:rPr>
        <w:rFonts w:hint="default"/>
      </w:rPr>
    </w:lvl>
    <w:lvl w:ilvl="7">
      <w:start w:val="1"/>
      <w:numFmt w:val="decimal"/>
      <w:isLgl/>
      <w:lvlText w:val="%1.%2.%3.%4.%5.%6.%7.%8"/>
      <w:lvlJc w:val="left"/>
      <w:pPr>
        <w:ind w:left="2878" w:hanging="1800"/>
      </w:pPr>
      <w:rPr>
        <w:rFonts w:hint="default"/>
      </w:rPr>
    </w:lvl>
    <w:lvl w:ilvl="8">
      <w:start w:val="1"/>
      <w:numFmt w:val="decimal"/>
      <w:isLgl/>
      <w:lvlText w:val="%1.%2.%3.%4.%5.%6.%7.%8.%9"/>
      <w:lvlJc w:val="left"/>
      <w:pPr>
        <w:ind w:left="3311" w:hanging="2160"/>
      </w:pPr>
      <w:rPr>
        <w:rFonts w:hint="default"/>
      </w:rPr>
    </w:lvl>
  </w:abstractNum>
  <w:abstractNum w:abstractNumId="6" w15:restartNumberingAfterBreak="0">
    <w:nsid w:val="5D834696"/>
    <w:multiLevelType w:val="hybridMultilevel"/>
    <w:tmpl w:val="112AFA5C"/>
    <w:lvl w:ilvl="0" w:tplc="40601D0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3F1628"/>
    <w:multiLevelType w:val="hybridMultilevel"/>
    <w:tmpl w:val="4C48E5F4"/>
    <w:lvl w:ilvl="0" w:tplc="FE7A2AB8">
      <w:numFmt w:val="bullet"/>
      <w:lvlText w:val="-"/>
      <w:lvlJc w:val="left"/>
      <w:pPr>
        <w:ind w:left="1080" w:hanging="360"/>
      </w:pPr>
      <w:rPr>
        <w:rFonts w:ascii="GHEA Grapalat" w:eastAsia="Calibri" w:hAnsi="GHEA Grapalat"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941B31"/>
    <w:multiLevelType w:val="hybridMultilevel"/>
    <w:tmpl w:val="A86490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7B01A1"/>
    <w:multiLevelType w:val="hybridMultilevel"/>
    <w:tmpl w:val="585651EC"/>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0"/>
  </w:num>
  <w:num w:numId="6">
    <w:abstractNumId w:val="7"/>
  </w:num>
  <w:num w:numId="7">
    <w:abstractNumId w:val="4"/>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07"/>
    <w:rsid w:val="00004D18"/>
    <w:rsid w:val="000565E9"/>
    <w:rsid w:val="00067DBC"/>
    <w:rsid w:val="000749B1"/>
    <w:rsid w:val="00083A31"/>
    <w:rsid w:val="0009607A"/>
    <w:rsid w:val="00097075"/>
    <w:rsid w:val="000C65C5"/>
    <w:rsid w:val="000D0E8F"/>
    <w:rsid w:val="000D1C87"/>
    <w:rsid w:val="000F1157"/>
    <w:rsid w:val="00103474"/>
    <w:rsid w:val="00103A60"/>
    <w:rsid w:val="0013298A"/>
    <w:rsid w:val="00150826"/>
    <w:rsid w:val="00160A19"/>
    <w:rsid w:val="00191494"/>
    <w:rsid w:val="00192D05"/>
    <w:rsid w:val="001C578C"/>
    <w:rsid w:val="001C676A"/>
    <w:rsid w:val="001C6C9A"/>
    <w:rsid w:val="001D4C65"/>
    <w:rsid w:val="001D6F6A"/>
    <w:rsid w:val="001E02B2"/>
    <w:rsid w:val="001E4DE8"/>
    <w:rsid w:val="001F380D"/>
    <w:rsid w:val="0020328C"/>
    <w:rsid w:val="00203E61"/>
    <w:rsid w:val="00241367"/>
    <w:rsid w:val="00247985"/>
    <w:rsid w:val="00263BA0"/>
    <w:rsid w:val="00265639"/>
    <w:rsid w:val="00273A99"/>
    <w:rsid w:val="00276160"/>
    <w:rsid w:val="00276BD8"/>
    <w:rsid w:val="00295973"/>
    <w:rsid w:val="002A0612"/>
    <w:rsid w:val="002A439F"/>
    <w:rsid w:val="002B6063"/>
    <w:rsid w:val="002C0C23"/>
    <w:rsid w:val="002D29DD"/>
    <w:rsid w:val="003075DE"/>
    <w:rsid w:val="00324EB8"/>
    <w:rsid w:val="00330B9F"/>
    <w:rsid w:val="003321A5"/>
    <w:rsid w:val="00342307"/>
    <w:rsid w:val="0034694F"/>
    <w:rsid w:val="00367010"/>
    <w:rsid w:val="003B2AB6"/>
    <w:rsid w:val="003B776A"/>
    <w:rsid w:val="003C1A1F"/>
    <w:rsid w:val="003E299C"/>
    <w:rsid w:val="003F3531"/>
    <w:rsid w:val="003F49FD"/>
    <w:rsid w:val="00424B8C"/>
    <w:rsid w:val="00437A03"/>
    <w:rsid w:val="00441F5E"/>
    <w:rsid w:val="00446741"/>
    <w:rsid w:val="00447B56"/>
    <w:rsid w:val="00452EDC"/>
    <w:rsid w:val="004611E6"/>
    <w:rsid w:val="00463995"/>
    <w:rsid w:val="004654E3"/>
    <w:rsid w:val="004726AB"/>
    <w:rsid w:val="004760D9"/>
    <w:rsid w:val="00476581"/>
    <w:rsid w:val="00482BB9"/>
    <w:rsid w:val="004A7984"/>
    <w:rsid w:val="004D1F41"/>
    <w:rsid w:val="004D3CDB"/>
    <w:rsid w:val="004F282D"/>
    <w:rsid w:val="004F65E9"/>
    <w:rsid w:val="0050719D"/>
    <w:rsid w:val="005226F4"/>
    <w:rsid w:val="00531F34"/>
    <w:rsid w:val="00533CED"/>
    <w:rsid w:val="005559AB"/>
    <w:rsid w:val="0055671A"/>
    <w:rsid w:val="005648BD"/>
    <w:rsid w:val="00583027"/>
    <w:rsid w:val="00591342"/>
    <w:rsid w:val="005972F2"/>
    <w:rsid w:val="005B65A0"/>
    <w:rsid w:val="005C1B78"/>
    <w:rsid w:val="005C326A"/>
    <w:rsid w:val="005C3818"/>
    <w:rsid w:val="00615A01"/>
    <w:rsid w:val="00636293"/>
    <w:rsid w:val="00641312"/>
    <w:rsid w:val="00654DCA"/>
    <w:rsid w:val="00693B10"/>
    <w:rsid w:val="006950CE"/>
    <w:rsid w:val="006A0018"/>
    <w:rsid w:val="006B7CA7"/>
    <w:rsid w:val="006B7F33"/>
    <w:rsid w:val="00705F3C"/>
    <w:rsid w:val="00741D22"/>
    <w:rsid w:val="00745D6F"/>
    <w:rsid w:val="00753BF3"/>
    <w:rsid w:val="00772977"/>
    <w:rsid w:val="00783A6B"/>
    <w:rsid w:val="007876B8"/>
    <w:rsid w:val="00787756"/>
    <w:rsid w:val="00794E83"/>
    <w:rsid w:val="00796D88"/>
    <w:rsid w:val="007A000A"/>
    <w:rsid w:val="007B2FF0"/>
    <w:rsid w:val="007B68FF"/>
    <w:rsid w:val="007C38DA"/>
    <w:rsid w:val="007C72AF"/>
    <w:rsid w:val="007F58C9"/>
    <w:rsid w:val="008234F5"/>
    <w:rsid w:val="0086021A"/>
    <w:rsid w:val="00866AC1"/>
    <w:rsid w:val="00882B6E"/>
    <w:rsid w:val="00884039"/>
    <w:rsid w:val="0089168A"/>
    <w:rsid w:val="00895031"/>
    <w:rsid w:val="008B52C7"/>
    <w:rsid w:val="008B72E8"/>
    <w:rsid w:val="008D4FE6"/>
    <w:rsid w:val="008E45BC"/>
    <w:rsid w:val="008E58E2"/>
    <w:rsid w:val="008F4209"/>
    <w:rsid w:val="008F67FF"/>
    <w:rsid w:val="009121B9"/>
    <w:rsid w:val="009124A7"/>
    <w:rsid w:val="00923D78"/>
    <w:rsid w:val="009364EE"/>
    <w:rsid w:val="00951D72"/>
    <w:rsid w:val="009660FF"/>
    <w:rsid w:val="00966697"/>
    <w:rsid w:val="009953DB"/>
    <w:rsid w:val="009A0926"/>
    <w:rsid w:val="009C4595"/>
    <w:rsid w:val="009D20DE"/>
    <w:rsid w:val="009D3E56"/>
    <w:rsid w:val="009F5181"/>
    <w:rsid w:val="00A1780C"/>
    <w:rsid w:val="00A20BF6"/>
    <w:rsid w:val="00A212C0"/>
    <w:rsid w:val="00A4694C"/>
    <w:rsid w:val="00A54CF8"/>
    <w:rsid w:val="00A72129"/>
    <w:rsid w:val="00A767D1"/>
    <w:rsid w:val="00AB4794"/>
    <w:rsid w:val="00AC4FDF"/>
    <w:rsid w:val="00AE19CF"/>
    <w:rsid w:val="00B12B33"/>
    <w:rsid w:val="00B303C7"/>
    <w:rsid w:val="00B80B01"/>
    <w:rsid w:val="00B95004"/>
    <w:rsid w:val="00B97444"/>
    <w:rsid w:val="00BA0842"/>
    <w:rsid w:val="00BB18DB"/>
    <w:rsid w:val="00BD1925"/>
    <w:rsid w:val="00BF395C"/>
    <w:rsid w:val="00BF6388"/>
    <w:rsid w:val="00BF78AA"/>
    <w:rsid w:val="00C11657"/>
    <w:rsid w:val="00C176D3"/>
    <w:rsid w:val="00C25466"/>
    <w:rsid w:val="00C410B4"/>
    <w:rsid w:val="00C553A7"/>
    <w:rsid w:val="00C701F8"/>
    <w:rsid w:val="00C72EE9"/>
    <w:rsid w:val="00C92C91"/>
    <w:rsid w:val="00CA24A5"/>
    <w:rsid w:val="00CA4426"/>
    <w:rsid w:val="00CB36D2"/>
    <w:rsid w:val="00CB433A"/>
    <w:rsid w:val="00CC60FD"/>
    <w:rsid w:val="00CD408F"/>
    <w:rsid w:val="00CE6839"/>
    <w:rsid w:val="00CF0D88"/>
    <w:rsid w:val="00D25229"/>
    <w:rsid w:val="00D25EDD"/>
    <w:rsid w:val="00D518A4"/>
    <w:rsid w:val="00D53B53"/>
    <w:rsid w:val="00D616B2"/>
    <w:rsid w:val="00D72728"/>
    <w:rsid w:val="00D765E5"/>
    <w:rsid w:val="00D90BF5"/>
    <w:rsid w:val="00DA1835"/>
    <w:rsid w:val="00DB2D24"/>
    <w:rsid w:val="00DB47B3"/>
    <w:rsid w:val="00DC10ED"/>
    <w:rsid w:val="00DD2372"/>
    <w:rsid w:val="00DF2FF2"/>
    <w:rsid w:val="00DF323A"/>
    <w:rsid w:val="00DF36AD"/>
    <w:rsid w:val="00E04E25"/>
    <w:rsid w:val="00E162C0"/>
    <w:rsid w:val="00E236D5"/>
    <w:rsid w:val="00E40604"/>
    <w:rsid w:val="00E42752"/>
    <w:rsid w:val="00E51077"/>
    <w:rsid w:val="00E557F8"/>
    <w:rsid w:val="00E70178"/>
    <w:rsid w:val="00E751DA"/>
    <w:rsid w:val="00E83AA6"/>
    <w:rsid w:val="00E94829"/>
    <w:rsid w:val="00EA49AC"/>
    <w:rsid w:val="00EC19B7"/>
    <w:rsid w:val="00EC5138"/>
    <w:rsid w:val="00EC6172"/>
    <w:rsid w:val="00EC7DAF"/>
    <w:rsid w:val="00ED1622"/>
    <w:rsid w:val="00EE7E90"/>
    <w:rsid w:val="00F04E0A"/>
    <w:rsid w:val="00F2130F"/>
    <w:rsid w:val="00F36D44"/>
    <w:rsid w:val="00F6225B"/>
    <w:rsid w:val="00F96BCC"/>
    <w:rsid w:val="00FD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28DE"/>
  <w15:docId w15:val="{27B03560-B796-4DDE-BDDA-4F0A1527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1F8"/>
    <w:pPr>
      <w:spacing w:line="256" w:lineRule="auto"/>
    </w:pPr>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01F8"/>
    <w:rPr>
      <w:b/>
      <w:bCs/>
    </w:rPr>
  </w:style>
  <w:style w:type="paragraph" w:styleId="ListParagraph">
    <w:name w:val="List Paragraph"/>
    <w:basedOn w:val="Normal"/>
    <w:uiPriority w:val="34"/>
    <w:qFormat/>
    <w:rsid w:val="00C701F8"/>
    <w:pPr>
      <w:ind w:left="720"/>
      <w:contextualSpacing/>
    </w:pPr>
  </w:style>
  <w:style w:type="character" w:customStyle="1" w:styleId="105pt">
    <w:name w:val="Сноска + 10.5 pt"/>
    <w:aliases w:val="Курсив,Основной текст (2) + 13 pt,Основной текст (2) + Полужирный"/>
    <w:basedOn w:val="DefaultParagraphFont"/>
    <w:rsid w:val="00C701F8"/>
    <w:rPr>
      <w:rFonts w:ascii="Times New Roman" w:eastAsia="Times New Roman" w:hAnsi="Times New Roman" w:cs="Times New Roman" w:hint="default"/>
      <w:i/>
      <w:iCs/>
      <w:color w:val="000000"/>
      <w:spacing w:val="0"/>
      <w:w w:val="100"/>
      <w:position w:val="0"/>
      <w:sz w:val="21"/>
      <w:szCs w:val="21"/>
      <w:shd w:val="clear" w:color="auto" w:fill="FFFFFF"/>
      <w:lang w:val="hy-AM" w:eastAsia="hy-AM" w:bidi="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C70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C701F8"/>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556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71A"/>
    <w:rPr>
      <w:rFonts w:ascii="Calibri" w:eastAsia="Calibri" w:hAnsi="Calibri" w:cs="Calibri"/>
      <w:sz w:val="20"/>
      <w:szCs w:val="20"/>
      <w:lang w:val="ru-RU"/>
    </w:rPr>
  </w:style>
  <w:style w:type="character" w:styleId="FootnoteReference">
    <w:name w:val="footnote reference"/>
    <w:basedOn w:val="DefaultParagraphFont"/>
    <w:uiPriority w:val="99"/>
    <w:semiHidden/>
    <w:unhideWhenUsed/>
    <w:rsid w:val="0055671A"/>
    <w:rPr>
      <w:vertAlign w:val="superscript"/>
    </w:rPr>
  </w:style>
  <w:style w:type="paragraph" w:styleId="Header">
    <w:name w:val="header"/>
    <w:basedOn w:val="Normal"/>
    <w:link w:val="HeaderChar"/>
    <w:uiPriority w:val="99"/>
    <w:unhideWhenUsed/>
    <w:rsid w:val="004765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476581"/>
    <w:rPr>
      <w:rFonts w:ascii="Calibri" w:eastAsia="Calibri" w:hAnsi="Calibri" w:cs="Calibri"/>
      <w:lang w:val="ru-RU"/>
    </w:rPr>
  </w:style>
  <w:style w:type="paragraph" w:styleId="Footer">
    <w:name w:val="footer"/>
    <w:basedOn w:val="Normal"/>
    <w:link w:val="FooterChar"/>
    <w:uiPriority w:val="99"/>
    <w:unhideWhenUsed/>
    <w:rsid w:val="004765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476581"/>
    <w:rPr>
      <w:rFonts w:ascii="Calibri" w:eastAsia="Calibri" w:hAnsi="Calibri" w:cs="Calibri"/>
      <w:lang w:val="ru-RU"/>
    </w:rPr>
  </w:style>
  <w:style w:type="character" w:styleId="Emphasis">
    <w:name w:val="Emphasis"/>
    <w:basedOn w:val="DefaultParagraphFont"/>
    <w:uiPriority w:val="20"/>
    <w:qFormat/>
    <w:rsid w:val="008B52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6375">
      <w:bodyDiv w:val="1"/>
      <w:marLeft w:val="0"/>
      <w:marRight w:val="0"/>
      <w:marTop w:val="0"/>
      <w:marBottom w:val="0"/>
      <w:divBdr>
        <w:top w:val="none" w:sz="0" w:space="0" w:color="auto"/>
        <w:left w:val="none" w:sz="0" w:space="0" w:color="auto"/>
        <w:bottom w:val="none" w:sz="0" w:space="0" w:color="auto"/>
        <w:right w:val="none" w:sz="0" w:space="0" w:color="auto"/>
      </w:divBdr>
    </w:div>
    <w:div w:id="893740470">
      <w:bodyDiv w:val="1"/>
      <w:marLeft w:val="0"/>
      <w:marRight w:val="0"/>
      <w:marTop w:val="0"/>
      <w:marBottom w:val="0"/>
      <w:divBdr>
        <w:top w:val="none" w:sz="0" w:space="0" w:color="auto"/>
        <w:left w:val="none" w:sz="0" w:space="0" w:color="auto"/>
        <w:bottom w:val="none" w:sz="0" w:space="0" w:color="auto"/>
        <w:right w:val="none" w:sz="0" w:space="0" w:color="auto"/>
      </w:divBdr>
    </w:div>
    <w:div w:id="1215771810">
      <w:bodyDiv w:val="1"/>
      <w:marLeft w:val="0"/>
      <w:marRight w:val="0"/>
      <w:marTop w:val="0"/>
      <w:marBottom w:val="0"/>
      <w:divBdr>
        <w:top w:val="none" w:sz="0" w:space="0" w:color="auto"/>
        <w:left w:val="none" w:sz="0" w:space="0" w:color="auto"/>
        <w:bottom w:val="none" w:sz="0" w:space="0" w:color="auto"/>
        <w:right w:val="none" w:sz="0" w:space="0" w:color="auto"/>
      </w:divBdr>
    </w:div>
    <w:div w:id="1669483734">
      <w:bodyDiv w:val="1"/>
      <w:marLeft w:val="0"/>
      <w:marRight w:val="0"/>
      <w:marTop w:val="0"/>
      <w:marBottom w:val="0"/>
      <w:divBdr>
        <w:top w:val="none" w:sz="0" w:space="0" w:color="auto"/>
        <w:left w:val="none" w:sz="0" w:space="0" w:color="auto"/>
        <w:bottom w:val="none" w:sz="0" w:space="0" w:color="auto"/>
        <w:right w:val="none" w:sz="0" w:space="0" w:color="auto"/>
      </w:divBdr>
    </w:div>
    <w:div w:id="20050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E191-4D2A-4237-A621-D31BDC64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3063</Words>
  <Characters>17462</Characters>
  <Application>Microsoft Office Word</Application>
  <DocSecurity>0</DocSecurity>
  <Lines>145</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Araqelyan</dc:creator>
  <cp:keywords/>
  <dc:description/>
  <cp:lastModifiedBy>Mane Yavrumyan</cp:lastModifiedBy>
  <cp:revision>38</cp:revision>
  <cp:lastPrinted>2025-01-31T07:57:00Z</cp:lastPrinted>
  <dcterms:created xsi:type="dcterms:W3CDTF">2025-09-04T13:40:00Z</dcterms:created>
  <dcterms:modified xsi:type="dcterms:W3CDTF">2025-09-25T07:27:00Z</dcterms:modified>
</cp:coreProperties>
</file>