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229B1" w14:textId="77777777" w:rsidR="009D215F" w:rsidRPr="004D5038" w:rsidRDefault="009D215F" w:rsidP="00D649C1">
      <w:pPr>
        <w:spacing w:after="0"/>
        <w:ind w:firstLine="709"/>
        <w:jc w:val="center"/>
        <w:rPr>
          <w:rFonts w:ascii="GHEA Grapalat" w:hAnsi="GHEA Grapalat"/>
          <w:b/>
          <w:sz w:val="24"/>
          <w:szCs w:val="24"/>
          <w:lang w:val="hy-AM"/>
        </w:rPr>
      </w:pPr>
      <w:r w:rsidRPr="004D5038">
        <w:rPr>
          <w:rFonts w:ascii="GHEA Grapalat" w:hAnsi="GHEA Grapalat"/>
          <w:b/>
          <w:sz w:val="24"/>
          <w:szCs w:val="24"/>
          <w:lang w:val="hy-AM"/>
        </w:rPr>
        <w:t>Հ Ի Մ Ն Ա Վ Ո Ր ՈՒ Մ</w:t>
      </w:r>
    </w:p>
    <w:p w14:paraId="4DD64C2F" w14:textId="77777777" w:rsidR="009D215F" w:rsidRPr="004D5038" w:rsidRDefault="009D215F" w:rsidP="00D649C1">
      <w:pPr>
        <w:spacing w:after="0"/>
        <w:ind w:firstLine="709"/>
        <w:jc w:val="center"/>
        <w:rPr>
          <w:rFonts w:ascii="GHEA Grapalat" w:hAnsi="GHEA Grapalat"/>
          <w:b/>
          <w:sz w:val="24"/>
          <w:szCs w:val="24"/>
          <w:lang w:val="hy-AM"/>
        </w:rPr>
      </w:pPr>
    </w:p>
    <w:p w14:paraId="31357B98" w14:textId="1B45B9D7" w:rsidR="009D215F" w:rsidRDefault="00DD20C6" w:rsidP="00D649C1">
      <w:pPr>
        <w:spacing w:after="0"/>
        <w:jc w:val="center"/>
        <w:rPr>
          <w:rFonts w:ascii="GHEA Grapalat" w:hAnsi="GHEA Grapalat"/>
          <w:b/>
          <w:sz w:val="24"/>
          <w:szCs w:val="24"/>
          <w:shd w:val="clear" w:color="auto" w:fill="FFFFFF"/>
          <w:lang w:val="hy-AM"/>
        </w:rPr>
      </w:pPr>
      <w:r w:rsidRPr="004D5038">
        <w:rPr>
          <w:rFonts w:ascii="GHEA Grapalat" w:hAnsi="GHEA Grapalat"/>
          <w:b/>
          <w:sz w:val="24"/>
          <w:szCs w:val="24"/>
          <w:shd w:val="clear" w:color="auto" w:fill="FFFFFF"/>
          <w:lang w:val="hy-AM"/>
        </w:rPr>
        <w:t>«</w:t>
      </w:r>
      <w:r w:rsidR="000936F8" w:rsidRPr="000936F8">
        <w:rPr>
          <w:rFonts w:ascii="GHEA Grapalat" w:hAnsi="GHEA Grapalat"/>
          <w:b/>
          <w:color w:val="000000"/>
          <w:sz w:val="24"/>
          <w:szCs w:val="24"/>
          <w:shd w:val="clear" w:color="auto" w:fill="FFFFFF"/>
          <w:lang w:val="hy-AM"/>
        </w:rPr>
        <w:t>ՀԱՅԱՍՏԱՆԻ ՀԱՆՐԱՊԵՏՈՒԹՅԱՆ ԿՈՏԱՅՔԻ ՄԱՐԶԻ «ՀԱՏԻՍ» ՀՐԱԲՈՒԽ» ԲՆՈՒԹՅԱՆ ԵՐԿՐԱԲԱՆԱԿԱՆ ՀՈՒՇԱՐՁԱՆԻ ԱՆՁՆԱԳԻՐԸ ՀԱՍՏԱՏԵԼՈՒ ՄԱՍԻՆ</w:t>
      </w:r>
      <w:r w:rsidRPr="004D5038">
        <w:rPr>
          <w:rFonts w:ascii="GHEA Grapalat" w:hAnsi="GHEA Grapalat"/>
          <w:b/>
          <w:sz w:val="24"/>
          <w:szCs w:val="24"/>
          <w:shd w:val="clear" w:color="auto" w:fill="FFFFFF"/>
          <w:lang w:val="hy-AM"/>
        </w:rPr>
        <w:t>»</w:t>
      </w:r>
      <w:r w:rsidR="009D215F" w:rsidRPr="004D5038">
        <w:rPr>
          <w:rFonts w:ascii="GHEA Grapalat" w:hAnsi="GHEA Grapalat"/>
          <w:b/>
          <w:sz w:val="24"/>
          <w:szCs w:val="24"/>
          <w:shd w:val="clear" w:color="auto" w:fill="FFFFFF"/>
          <w:lang w:val="hy-AM"/>
        </w:rPr>
        <w:t xml:space="preserve"> ՇՐՋԱԿԱ ՄԻՋԱՎԱՅՐԻ ՆԱԽԱՐԱՐԻ ՀՐԱՄԱՆԻ ՆԱԽԱԳԾԻ</w:t>
      </w:r>
      <w:r w:rsidR="009810A2">
        <w:rPr>
          <w:rFonts w:ascii="GHEA Grapalat" w:hAnsi="GHEA Grapalat"/>
          <w:b/>
          <w:sz w:val="24"/>
          <w:szCs w:val="24"/>
          <w:shd w:val="clear" w:color="auto" w:fill="FFFFFF"/>
          <w:lang w:val="hy-AM"/>
        </w:rPr>
        <w:t xml:space="preserve"> ԸՆԴՈՒՆՄԱՆ ԱՆՀՐԱԺԵՇՏՈՒԹՅԱՆ</w:t>
      </w:r>
      <w:r w:rsidR="009D215F" w:rsidRPr="004D5038">
        <w:rPr>
          <w:rFonts w:ascii="GHEA Grapalat" w:hAnsi="GHEA Grapalat"/>
          <w:b/>
          <w:sz w:val="24"/>
          <w:szCs w:val="24"/>
          <w:shd w:val="clear" w:color="auto" w:fill="FFFFFF"/>
          <w:lang w:val="hy-AM"/>
        </w:rPr>
        <w:t xml:space="preserve"> ՎԵՐԱԲԵՐՅԱԼ</w:t>
      </w:r>
    </w:p>
    <w:p w14:paraId="6BD34BDC" w14:textId="77777777" w:rsidR="005134D0" w:rsidRPr="005134D0" w:rsidRDefault="005134D0" w:rsidP="00D649C1">
      <w:pPr>
        <w:spacing w:after="0"/>
        <w:jc w:val="center"/>
        <w:rPr>
          <w:rFonts w:ascii="GHEA Grapalat" w:hAnsi="GHEA Grapalat" w:cs="Arial"/>
          <w:b/>
          <w:sz w:val="24"/>
          <w:szCs w:val="24"/>
          <w:lang w:val="hy-AM"/>
        </w:rPr>
      </w:pPr>
    </w:p>
    <w:p w14:paraId="67A351EC" w14:textId="23C43188" w:rsidR="00D57C6D" w:rsidRPr="009810A2" w:rsidRDefault="001A47F2" w:rsidP="00D649C1">
      <w:pPr>
        <w:pStyle w:val="ListParagraph"/>
        <w:numPr>
          <w:ilvl w:val="0"/>
          <w:numId w:val="2"/>
        </w:numPr>
        <w:spacing w:after="0"/>
        <w:ind w:left="360"/>
        <w:jc w:val="both"/>
        <w:rPr>
          <w:rFonts w:ascii="GHEA Grapalat" w:hAnsi="GHEA Grapalat"/>
          <w:b/>
          <w:sz w:val="24"/>
          <w:szCs w:val="24"/>
          <w:shd w:val="clear" w:color="auto" w:fill="FFFFFF"/>
          <w:lang w:val="hy-AM"/>
        </w:rPr>
      </w:pPr>
      <w:r w:rsidRPr="001A47F2">
        <w:rPr>
          <w:rFonts w:ascii="GHEA Grapalat" w:hAnsi="GHEA Grapalat"/>
          <w:b/>
          <w:sz w:val="24"/>
          <w:szCs w:val="24"/>
          <w:lang w:val="hy-AM"/>
        </w:rPr>
        <w:t>Ընթացիկ</w:t>
      </w:r>
      <w:r w:rsidRPr="001A47F2">
        <w:rPr>
          <w:rFonts w:ascii="GHEA Grapalat" w:hAnsi="GHEA Grapalat"/>
          <w:b/>
          <w:sz w:val="24"/>
          <w:szCs w:val="24"/>
          <w:lang w:val="fi-FI"/>
        </w:rPr>
        <w:t xml:space="preserve"> </w:t>
      </w:r>
      <w:r w:rsidRPr="001A47F2">
        <w:rPr>
          <w:rFonts w:ascii="GHEA Grapalat" w:hAnsi="GHEA Grapalat"/>
          <w:b/>
          <w:sz w:val="24"/>
          <w:szCs w:val="24"/>
          <w:lang w:val="hy-AM"/>
        </w:rPr>
        <w:t>իրավիճակը</w:t>
      </w:r>
      <w:r w:rsidRPr="001A47F2">
        <w:rPr>
          <w:rFonts w:ascii="GHEA Grapalat" w:hAnsi="GHEA Grapalat"/>
          <w:b/>
          <w:sz w:val="24"/>
          <w:szCs w:val="24"/>
          <w:lang w:val="fi-FI"/>
        </w:rPr>
        <w:t xml:space="preserve"> </w:t>
      </w:r>
      <w:r w:rsidRPr="001A47F2">
        <w:rPr>
          <w:rFonts w:ascii="GHEA Grapalat" w:hAnsi="GHEA Grapalat"/>
          <w:b/>
          <w:sz w:val="24"/>
          <w:szCs w:val="24"/>
          <w:lang w:val="hy-AM"/>
        </w:rPr>
        <w:t>և</w:t>
      </w:r>
      <w:r w:rsidRPr="001A47F2">
        <w:rPr>
          <w:rFonts w:ascii="GHEA Grapalat" w:hAnsi="GHEA Grapalat"/>
          <w:b/>
          <w:sz w:val="24"/>
          <w:szCs w:val="24"/>
          <w:lang w:val="fi-FI"/>
        </w:rPr>
        <w:t xml:space="preserve"> </w:t>
      </w:r>
      <w:r w:rsidRPr="001A47F2">
        <w:rPr>
          <w:rFonts w:ascii="GHEA Grapalat" w:hAnsi="GHEA Grapalat"/>
          <w:b/>
          <w:sz w:val="24"/>
          <w:szCs w:val="24"/>
          <w:lang w:val="hy-AM"/>
        </w:rPr>
        <w:t>իրավական</w:t>
      </w:r>
      <w:r w:rsidRPr="001A47F2">
        <w:rPr>
          <w:rFonts w:ascii="GHEA Grapalat" w:hAnsi="GHEA Grapalat"/>
          <w:b/>
          <w:sz w:val="24"/>
          <w:szCs w:val="24"/>
          <w:lang w:val="fr-FR"/>
        </w:rPr>
        <w:t xml:space="preserve"> </w:t>
      </w:r>
      <w:r w:rsidRPr="001A47F2">
        <w:rPr>
          <w:rFonts w:ascii="GHEA Grapalat" w:hAnsi="GHEA Grapalat"/>
          <w:b/>
          <w:sz w:val="24"/>
          <w:szCs w:val="24"/>
          <w:lang w:val="hy-AM"/>
        </w:rPr>
        <w:t>ակտի</w:t>
      </w:r>
      <w:r w:rsidRPr="001A47F2">
        <w:rPr>
          <w:rFonts w:ascii="GHEA Grapalat" w:hAnsi="GHEA Grapalat"/>
          <w:b/>
          <w:sz w:val="24"/>
          <w:szCs w:val="24"/>
          <w:lang w:val="fr-FR"/>
        </w:rPr>
        <w:t xml:space="preserve"> </w:t>
      </w:r>
      <w:r w:rsidRPr="001A47F2">
        <w:rPr>
          <w:rFonts w:ascii="GHEA Grapalat" w:hAnsi="GHEA Grapalat"/>
          <w:b/>
          <w:sz w:val="24"/>
          <w:szCs w:val="24"/>
          <w:lang w:val="hy-AM"/>
        </w:rPr>
        <w:t>ընդունման</w:t>
      </w:r>
      <w:r w:rsidRPr="001A47F2">
        <w:rPr>
          <w:rFonts w:ascii="GHEA Grapalat" w:hAnsi="GHEA Grapalat"/>
          <w:b/>
          <w:sz w:val="24"/>
          <w:szCs w:val="24"/>
          <w:lang w:val="fr-FR"/>
        </w:rPr>
        <w:t xml:space="preserve"> </w:t>
      </w:r>
      <w:r w:rsidRPr="001A47F2">
        <w:rPr>
          <w:rFonts w:ascii="GHEA Grapalat" w:hAnsi="GHEA Grapalat"/>
          <w:b/>
          <w:sz w:val="24"/>
          <w:szCs w:val="24"/>
          <w:lang w:val="hy-AM"/>
        </w:rPr>
        <w:t>անհրաժեշտությունը</w:t>
      </w:r>
    </w:p>
    <w:p w14:paraId="31BD6878" w14:textId="03FAEB47" w:rsidR="000936F8" w:rsidRPr="000936F8" w:rsidRDefault="000936F8" w:rsidP="00D649C1">
      <w:pPr>
        <w:shd w:val="clear" w:color="auto" w:fill="FFFFFF"/>
        <w:spacing w:after="0"/>
        <w:ind w:firstLine="360"/>
        <w:jc w:val="both"/>
        <w:rPr>
          <w:rFonts w:ascii="GHEA Grapalat" w:hAnsi="GHEA Grapalat" w:cs="Sylfaen"/>
          <w:sz w:val="24"/>
          <w:szCs w:val="24"/>
          <w:lang w:val="hy-AM"/>
        </w:rPr>
      </w:pPr>
      <w:r w:rsidRPr="000936F8">
        <w:rPr>
          <w:rFonts w:ascii="GHEA Grapalat" w:hAnsi="GHEA Grapalat" w:cs="Sylfaen"/>
          <w:sz w:val="24"/>
          <w:szCs w:val="24"/>
          <w:lang w:val="hy-AM"/>
        </w:rPr>
        <w:t xml:space="preserve">ՀՀ կառավարության 2008 թվականի օգոստոսի 14-ի № 967-Ն որոշմամբ հաստատվել է 233 բնության հուշարձանների ցանկը, որտեղ ընդգրկվել են հազվագյուտ, եզակի, բացառիկ կամ տիպիկ, գիտական, հնէաբանական, էկոլոգիական, գեղագիտական և պատմամշակութային հատուկ արժեք ներկայացնող բնական գոյացություններ և բնապատմական համալիրներ: Վերոնշյալ երկրաբանական գոյացություններին բնության հուշարձանի կարգավիճակ տալու նպատակը՝ բնական, անխաթար վիճակով պահպանումն է և դրանց շուրջ զբոսաշրջիկների և այցելուների սպասարկման ծառայությունների կազմակերպումը: </w:t>
      </w:r>
    </w:p>
    <w:p w14:paraId="3AA65C67" w14:textId="2208974A" w:rsidR="00B318DD" w:rsidRPr="00B318DD" w:rsidRDefault="000936F8" w:rsidP="00D649C1">
      <w:pPr>
        <w:shd w:val="clear" w:color="auto" w:fill="FFFFFF"/>
        <w:spacing w:after="0"/>
        <w:ind w:firstLine="360"/>
        <w:jc w:val="both"/>
        <w:rPr>
          <w:rFonts w:ascii="GHEA Grapalat" w:hAnsi="GHEA Grapalat" w:cs="Sylfaen"/>
          <w:sz w:val="24"/>
          <w:szCs w:val="24"/>
          <w:lang w:val="hy-AM"/>
        </w:rPr>
      </w:pPr>
      <w:r w:rsidRPr="000936F8">
        <w:rPr>
          <w:rFonts w:ascii="GHEA Grapalat" w:hAnsi="GHEA Grapalat" w:cs="Sylfaen"/>
          <w:sz w:val="24"/>
          <w:szCs w:val="24"/>
          <w:lang w:val="hy-AM"/>
        </w:rPr>
        <w:t>Համաձայն «Բնության հատուկ պահպանվող տարածքների մասին» օրենքի 19-րդ հոդվածի 2-րդ մասի՝ բնության հուշարձանների պահպանության ռեժիմը սահմանվում է յուրաքանչյուր բնության հուշարձանի համար կազմված անձնագրով, որում համաձայն նույն հոդվածի 3-րդ մասի՝ ընդգրկվում է անվանումը և դասակարգումը, տեղադիրքը և աշխարհագրական կոորդինատները, նկարագրությունը, չափագրությունը և վիճակը, սահմանների և պահպանման գոտու նկարագրությունը, մակերեսը, քարտեզ-հատակագիծը, պահպանության և օգտագործման ռեժիմի առանձնահատկությունները և այլ անհրաժեշտ տեղեկատվություն:</w:t>
      </w:r>
      <w:r w:rsidR="00B318DD" w:rsidRPr="00B318DD">
        <w:rPr>
          <w:rFonts w:ascii="GHEA Grapalat" w:hAnsi="GHEA Grapalat" w:cs="Sylfaen"/>
          <w:sz w:val="24"/>
          <w:szCs w:val="24"/>
          <w:lang w:val="hy-AM"/>
        </w:rPr>
        <w:t xml:space="preserve"> Հաշվի առնելով վերոնշյալ </w:t>
      </w:r>
      <w:r w:rsidR="006230BB">
        <w:rPr>
          <w:rFonts w:ascii="GHEA Grapalat" w:hAnsi="GHEA Grapalat" w:cs="Sylfaen"/>
          <w:sz w:val="24"/>
          <w:szCs w:val="24"/>
          <w:lang w:val="hy-AM"/>
        </w:rPr>
        <w:t>հանգամանքները, ինչպես նաև հրաբ</w:t>
      </w:r>
      <w:r w:rsidR="00B318DD" w:rsidRPr="00B318DD">
        <w:rPr>
          <w:rFonts w:ascii="GHEA Grapalat" w:hAnsi="GHEA Grapalat" w:cs="Sylfaen"/>
          <w:sz w:val="24"/>
          <w:szCs w:val="24"/>
          <w:lang w:val="hy-AM"/>
        </w:rPr>
        <w:t>խի՝ ժամանակի ընթացքում կրած փոփոխությունները, այդ թվում մասնավոր սեփականություն հանդիսացող տարածքների առկայությունը, ինչպես նաև իրականացված հողային աշխատանքների արդյունքում տեղի ունեցած ֆիզիկական հատկանիշների, այդ թվում՝ ռելիեֆի փոփոխությունները, ԳԱԱ Երկրաբանական գիտությունների ինստիտուտի հետ համագործակցության շրջանակներում՝ շրջակա միջավայրի նախարարության կողմից նախաձեռնվել և իրականացվել են հրաբուխի երկրաձևաբանական, երկրաբանա-հրաբխագիտական և իրականացված հողային աշխատանքների մանրամասն նկարագրի կազմման, ներկա</w:t>
      </w:r>
      <w:r w:rsidR="008F1882">
        <w:rPr>
          <w:rFonts w:ascii="GHEA Grapalat" w:hAnsi="GHEA Grapalat" w:cs="Sylfaen"/>
          <w:sz w:val="24"/>
          <w:szCs w:val="24"/>
          <w:lang w:val="hy-AM"/>
        </w:rPr>
        <w:t xml:space="preserve"> իրավիճակի վերլուծության, հրաբ</w:t>
      </w:r>
      <w:r w:rsidR="00B318DD" w:rsidRPr="00B318DD">
        <w:rPr>
          <w:rFonts w:ascii="GHEA Grapalat" w:hAnsi="GHEA Grapalat" w:cs="Sylfaen"/>
          <w:sz w:val="24"/>
          <w:szCs w:val="24"/>
          <w:lang w:val="hy-AM"/>
        </w:rPr>
        <w:t xml:space="preserve">խի գիտական և զբոսաշրջային արժեքի գնահատման, ինչպես նաև կարգավիճակի </w:t>
      </w:r>
      <w:r w:rsidR="00B318DD" w:rsidRPr="00B318DD">
        <w:rPr>
          <w:rFonts w:ascii="GHEA Grapalat" w:hAnsi="GHEA Grapalat" w:cs="Sylfaen"/>
          <w:sz w:val="24"/>
          <w:szCs w:val="24"/>
          <w:lang w:val="hy-AM"/>
        </w:rPr>
        <w:lastRenderedPageBreak/>
        <w:t xml:space="preserve">համապատասխանության գնահատման աշխատանքներ, </w:t>
      </w:r>
      <w:r w:rsidR="00B318DD">
        <w:rPr>
          <w:rFonts w:ascii="GHEA Grapalat" w:hAnsi="GHEA Grapalat" w:cs="Sylfaen"/>
          <w:sz w:val="24"/>
          <w:szCs w:val="24"/>
          <w:lang w:val="hy-AM"/>
        </w:rPr>
        <w:t>այդ թվում</w:t>
      </w:r>
      <w:r w:rsidR="00B318DD" w:rsidRPr="00B318DD">
        <w:rPr>
          <w:rFonts w:ascii="GHEA Grapalat" w:hAnsi="GHEA Grapalat" w:cs="Sylfaen"/>
          <w:sz w:val="24"/>
          <w:szCs w:val="24"/>
          <w:lang w:val="hy-AM"/>
        </w:rPr>
        <w:t xml:space="preserve"> հրաբուխի երկրաբանական տեսակետից անբաժանելի մաս հանդիսացող տարածքների քարտեզագրում: </w:t>
      </w:r>
    </w:p>
    <w:p w14:paraId="6DF94915" w14:textId="29B546C4" w:rsidR="00496635" w:rsidRDefault="00B318DD" w:rsidP="00D649C1">
      <w:pPr>
        <w:shd w:val="clear" w:color="auto" w:fill="FFFFFF"/>
        <w:spacing w:after="0"/>
        <w:ind w:firstLine="360"/>
        <w:jc w:val="both"/>
        <w:rPr>
          <w:rFonts w:ascii="GHEA Grapalat" w:hAnsi="GHEA Grapalat" w:cs="Sylfaen"/>
          <w:sz w:val="24"/>
          <w:szCs w:val="24"/>
          <w:lang w:val="hy-AM"/>
        </w:rPr>
      </w:pPr>
      <w:r w:rsidRPr="00B318DD">
        <w:rPr>
          <w:rFonts w:ascii="GHEA Grapalat" w:hAnsi="GHEA Grapalat" w:cs="Sylfaen"/>
          <w:sz w:val="24"/>
          <w:szCs w:val="24"/>
          <w:lang w:val="hy-AM"/>
        </w:rPr>
        <w:t>Նշված աշխատանքների արդյունքում՝ համայնքային սեփականություն հանդիսացող հողամասերի վրա առանձնացվել են բնապահպանական, երկրագիտական և զբոսաշրջային արժեք ներկայացնող 9 երկրատեղանքներ (ընդհանուր՝ 148,75 հա մակերեսով), որոնց հիման վրա հաստատվել է Կառավարության 2024 թվականի մայիսի 16-ի «Հատիս հրաբուխ» բնության երկրաբանական հուշարձանի սահմանները և ընդհանուր տարածքի չափը հաստատելու, Ակունք համայնքի Ակունք, Զովաշեն, Հատիս և Կոտայք բնակավայրերի վարչական սահմաններում գտնվող՝ համայնքային սեփականություն հանդիսացող հողամասերը որպես նվիրաբերություն ընդունելու, նպատակային և գործառնական նշանակությո</w:t>
      </w:r>
      <w:r w:rsidR="00E76F47">
        <w:rPr>
          <w:rFonts w:ascii="GHEA Grapalat" w:hAnsi="GHEA Grapalat" w:cs="Sylfaen"/>
          <w:sz w:val="24"/>
          <w:szCs w:val="24"/>
          <w:lang w:val="hy-AM"/>
        </w:rPr>
        <w:t xml:space="preserve">ւնը փոխելու մասին» № 715-Լ որոշումը </w:t>
      </w:r>
      <w:r w:rsidR="00E76F47" w:rsidRPr="00E76F47">
        <w:rPr>
          <w:rFonts w:ascii="GHEA Grapalat" w:hAnsi="GHEA Grapalat" w:cs="Sylfaen"/>
          <w:sz w:val="24"/>
          <w:szCs w:val="24"/>
          <w:lang w:val="hy-AM"/>
        </w:rPr>
        <w:t>(</w:t>
      </w:r>
      <w:r w:rsidR="00E76F47">
        <w:rPr>
          <w:rFonts w:ascii="GHEA Grapalat" w:hAnsi="GHEA Grapalat" w:cs="Sylfaen"/>
          <w:sz w:val="24"/>
          <w:szCs w:val="24"/>
          <w:lang w:val="hy-AM"/>
        </w:rPr>
        <w:t>այսուհետ՝ Որոշում</w:t>
      </w:r>
      <w:r w:rsidR="00E76F47" w:rsidRPr="00E76F47">
        <w:rPr>
          <w:rFonts w:ascii="GHEA Grapalat" w:hAnsi="GHEA Grapalat" w:cs="Sylfaen"/>
          <w:sz w:val="24"/>
          <w:szCs w:val="24"/>
          <w:lang w:val="hy-AM"/>
        </w:rPr>
        <w:t>)</w:t>
      </w:r>
      <w:r w:rsidRPr="00B318DD">
        <w:rPr>
          <w:rFonts w:ascii="GHEA Grapalat" w:hAnsi="GHEA Grapalat" w:cs="Sylfaen"/>
          <w:sz w:val="24"/>
          <w:szCs w:val="24"/>
          <w:lang w:val="hy-AM"/>
        </w:rPr>
        <w:t xml:space="preserve">: </w:t>
      </w:r>
      <w:r w:rsidR="00E76F47">
        <w:rPr>
          <w:rFonts w:ascii="GHEA Grapalat" w:hAnsi="GHEA Grapalat" w:cs="Sylfaen"/>
          <w:sz w:val="24"/>
          <w:szCs w:val="24"/>
          <w:lang w:val="hy-AM"/>
        </w:rPr>
        <w:t>Որոշմամբ, վ</w:t>
      </w:r>
      <w:r w:rsidR="008F1882">
        <w:rPr>
          <w:rFonts w:ascii="GHEA Grapalat" w:hAnsi="GHEA Grapalat" w:cs="Sylfaen"/>
          <w:sz w:val="24"/>
          <w:szCs w:val="24"/>
          <w:lang w:val="hy-AM"/>
        </w:rPr>
        <w:t>երոնշյալ հողերի սեփականության իրավունքի պետական գրանցումն իրականացնելուց հետո՝ շրջակա միջավայրի նախարարությանը հանձնարարվել է</w:t>
      </w:r>
      <w:r w:rsidRPr="00B318DD">
        <w:rPr>
          <w:rFonts w:ascii="GHEA Grapalat" w:hAnsi="GHEA Grapalat" w:cs="Sylfaen"/>
          <w:sz w:val="24"/>
          <w:szCs w:val="24"/>
          <w:lang w:val="hy-AM"/>
        </w:rPr>
        <w:t xml:space="preserve"> մեկնարկել այդ </w:t>
      </w:r>
      <w:r w:rsidR="008F1882">
        <w:rPr>
          <w:rFonts w:ascii="GHEA Grapalat" w:hAnsi="GHEA Grapalat" w:cs="Sylfaen"/>
          <w:sz w:val="24"/>
          <w:szCs w:val="24"/>
          <w:lang w:val="hy-AM"/>
        </w:rPr>
        <w:t>հողամասերի նպատակային և գործառնական նշանակության փոփոխման</w:t>
      </w:r>
      <w:r w:rsidR="00E76F47">
        <w:rPr>
          <w:rFonts w:ascii="GHEA Grapalat" w:hAnsi="GHEA Grapalat" w:cs="Sylfaen"/>
          <w:sz w:val="24"/>
          <w:szCs w:val="24"/>
          <w:lang w:val="hy-AM"/>
        </w:rPr>
        <w:t xml:space="preserve"> գործընթաց</w:t>
      </w:r>
      <w:r w:rsidR="008F1882">
        <w:rPr>
          <w:rFonts w:ascii="GHEA Grapalat" w:hAnsi="GHEA Grapalat" w:cs="Sylfaen"/>
          <w:sz w:val="24"/>
          <w:szCs w:val="24"/>
          <w:lang w:val="hy-AM"/>
        </w:rPr>
        <w:t xml:space="preserve">, </w:t>
      </w:r>
      <w:r w:rsidR="00E76F47">
        <w:rPr>
          <w:rFonts w:ascii="GHEA Grapalat" w:hAnsi="GHEA Grapalat" w:cs="Sylfaen"/>
          <w:sz w:val="24"/>
          <w:szCs w:val="24"/>
          <w:lang w:val="hy-AM"/>
        </w:rPr>
        <w:t xml:space="preserve">այդ գործընթացներին զուգահեռ հանձնարարվել է նաև մեկնարկել </w:t>
      </w:r>
      <w:r w:rsidR="008F1882">
        <w:rPr>
          <w:rFonts w:ascii="GHEA Grapalat" w:hAnsi="GHEA Grapalat" w:cs="Sylfaen"/>
          <w:sz w:val="24"/>
          <w:szCs w:val="24"/>
          <w:lang w:val="hy-AM"/>
        </w:rPr>
        <w:t xml:space="preserve">բնության հուշարձանի անձնագրի մշակման և հաստատման </w:t>
      </w:r>
      <w:r w:rsidR="00D54C05">
        <w:rPr>
          <w:rFonts w:ascii="GHEA Grapalat" w:hAnsi="GHEA Grapalat" w:cs="Sylfaen"/>
          <w:sz w:val="24"/>
          <w:szCs w:val="24"/>
          <w:lang w:val="hy-AM"/>
        </w:rPr>
        <w:t>աշխատանքներ</w:t>
      </w:r>
      <w:r w:rsidRPr="00B318DD">
        <w:rPr>
          <w:rFonts w:ascii="GHEA Grapalat" w:hAnsi="GHEA Grapalat" w:cs="Sylfaen"/>
          <w:sz w:val="24"/>
          <w:szCs w:val="24"/>
          <w:lang w:val="hy-AM"/>
        </w:rPr>
        <w:t>:</w:t>
      </w:r>
    </w:p>
    <w:p w14:paraId="36C7A5D3" w14:textId="77777777" w:rsidR="00665605" w:rsidRDefault="00665605" w:rsidP="00D649C1">
      <w:pPr>
        <w:shd w:val="clear" w:color="auto" w:fill="FFFFFF"/>
        <w:spacing w:after="0"/>
        <w:ind w:firstLine="360"/>
        <w:jc w:val="both"/>
        <w:rPr>
          <w:rFonts w:ascii="GHEA Grapalat" w:hAnsi="GHEA Grapalat" w:cs="Sylfaen"/>
          <w:sz w:val="24"/>
          <w:szCs w:val="24"/>
          <w:lang w:val="hy-AM"/>
        </w:rPr>
      </w:pPr>
    </w:p>
    <w:p w14:paraId="07CC6B11" w14:textId="77777777" w:rsidR="001A47F2" w:rsidRPr="001A47F2" w:rsidRDefault="001A47F2" w:rsidP="00D649C1">
      <w:pPr>
        <w:pStyle w:val="ListParagraph"/>
        <w:numPr>
          <w:ilvl w:val="0"/>
          <w:numId w:val="2"/>
        </w:numPr>
        <w:spacing w:after="0"/>
        <w:ind w:left="360"/>
        <w:jc w:val="both"/>
        <w:rPr>
          <w:rFonts w:ascii="GHEA Grapalat" w:hAnsi="GHEA Grapalat"/>
          <w:b/>
          <w:sz w:val="24"/>
          <w:szCs w:val="24"/>
          <w:lang w:val="hy-AM"/>
        </w:rPr>
      </w:pPr>
      <w:r w:rsidRPr="001A47F2">
        <w:rPr>
          <w:rFonts w:ascii="GHEA Grapalat" w:hAnsi="GHEA Grapalat"/>
          <w:b/>
          <w:sz w:val="24"/>
          <w:szCs w:val="24"/>
          <w:lang w:val="hy-AM"/>
        </w:rPr>
        <w:t xml:space="preserve">Առաջարկվող կարգավորման բնույթը </w:t>
      </w:r>
    </w:p>
    <w:p w14:paraId="5F662F0C" w14:textId="24498FEB" w:rsidR="00D77FDA" w:rsidRDefault="001A47F2" w:rsidP="00D649C1">
      <w:pPr>
        <w:suppressAutoHyphens/>
        <w:spacing w:after="0"/>
        <w:ind w:firstLine="720"/>
        <w:jc w:val="both"/>
        <w:rPr>
          <w:rFonts w:ascii="GHEA Grapalat" w:eastAsia="GHEA Grapalat" w:hAnsi="GHEA Grapalat" w:cs="GHEA Grapalat"/>
          <w:sz w:val="24"/>
          <w:szCs w:val="24"/>
          <w:lang w:val="hy-AM"/>
        </w:rPr>
      </w:pPr>
      <w:r w:rsidRPr="001A47F2">
        <w:rPr>
          <w:rFonts w:ascii="GHEA Grapalat" w:eastAsia="GHEA Grapalat" w:hAnsi="GHEA Grapalat" w:cs="GHEA Grapalat"/>
          <w:sz w:val="24"/>
          <w:szCs w:val="24"/>
          <w:lang w:val="hy-AM"/>
        </w:rPr>
        <w:t xml:space="preserve">Նախագծի ընդունման </w:t>
      </w:r>
      <w:r w:rsidR="00527354">
        <w:rPr>
          <w:rFonts w:ascii="GHEA Grapalat" w:eastAsia="GHEA Grapalat" w:hAnsi="GHEA Grapalat" w:cs="GHEA Grapalat"/>
          <w:sz w:val="24"/>
          <w:szCs w:val="24"/>
          <w:lang w:val="hy-AM"/>
        </w:rPr>
        <w:t xml:space="preserve">հիմնական </w:t>
      </w:r>
      <w:r w:rsidRPr="001A47F2">
        <w:rPr>
          <w:rFonts w:ascii="GHEA Grapalat" w:eastAsia="GHEA Grapalat" w:hAnsi="GHEA Grapalat" w:cs="GHEA Grapalat"/>
          <w:sz w:val="24"/>
          <w:szCs w:val="24"/>
          <w:lang w:val="hy-AM"/>
        </w:rPr>
        <w:t xml:space="preserve">նպատակը </w:t>
      </w:r>
      <w:r w:rsidR="00527354">
        <w:rPr>
          <w:rFonts w:ascii="GHEA Grapalat" w:eastAsia="GHEA Grapalat" w:hAnsi="GHEA Grapalat" w:cs="GHEA Grapalat"/>
          <w:sz w:val="24"/>
          <w:szCs w:val="24"/>
          <w:lang w:val="hy-AM"/>
        </w:rPr>
        <w:t xml:space="preserve">Որոշման 4-րդ հոդվածի 2 մասի կատարման շրջանակներում՝ </w:t>
      </w:r>
      <w:r w:rsidR="00BB5C1C">
        <w:rPr>
          <w:rFonts w:ascii="GHEA Grapalat" w:eastAsia="GHEA Grapalat" w:hAnsi="GHEA Grapalat" w:cs="GHEA Grapalat"/>
          <w:sz w:val="24"/>
          <w:szCs w:val="24"/>
          <w:lang w:val="hy-AM"/>
        </w:rPr>
        <w:t xml:space="preserve">Հայաստանի Հանրապետության </w:t>
      </w:r>
      <w:r w:rsidR="00BE69C1">
        <w:rPr>
          <w:rFonts w:ascii="GHEA Grapalat" w:eastAsia="GHEA Grapalat" w:hAnsi="GHEA Grapalat" w:cs="GHEA Grapalat"/>
          <w:sz w:val="24"/>
          <w:szCs w:val="24"/>
          <w:lang w:val="hy-AM"/>
        </w:rPr>
        <w:t xml:space="preserve">կառավարության 2008 թվականի օգոստոսի 14-ի </w:t>
      </w:r>
      <w:r w:rsidR="00BE69C1" w:rsidRPr="00BE69C1">
        <w:rPr>
          <w:rFonts w:ascii="GHEA Grapalat" w:eastAsia="GHEA Grapalat" w:hAnsi="GHEA Grapalat" w:cs="GHEA Grapalat"/>
          <w:sz w:val="24"/>
          <w:szCs w:val="24"/>
          <w:lang w:val="hy-AM"/>
        </w:rPr>
        <w:t>«</w:t>
      </w:r>
      <w:r w:rsidR="00BE69C1">
        <w:rPr>
          <w:rFonts w:ascii="GHEA Grapalat" w:eastAsia="GHEA Grapalat" w:hAnsi="GHEA Grapalat" w:cs="GHEA Grapalat"/>
          <w:sz w:val="24"/>
          <w:szCs w:val="24"/>
          <w:lang w:val="hy-AM"/>
        </w:rPr>
        <w:t>Հայաստանի Հանրապետության բնության հուշարձանների ցանկը հաստատելու մասին</w:t>
      </w:r>
      <w:r w:rsidR="00BE69C1" w:rsidRPr="00BE69C1">
        <w:rPr>
          <w:rFonts w:ascii="GHEA Grapalat" w:eastAsia="GHEA Grapalat" w:hAnsi="GHEA Grapalat" w:cs="GHEA Grapalat"/>
          <w:sz w:val="24"/>
          <w:szCs w:val="24"/>
          <w:lang w:val="hy-AM"/>
        </w:rPr>
        <w:t>»</w:t>
      </w:r>
      <w:r w:rsidR="00BE69C1">
        <w:rPr>
          <w:rFonts w:ascii="GHEA Grapalat" w:eastAsia="GHEA Grapalat" w:hAnsi="GHEA Grapalat" w:cs="GHEA Grapalat"/>
          <w:sz w:val="24"/>
          <w:szCs w:val="24"/>
          <w:lang w:val="hy-AM"/>
        </w:rPr>
        <w:t xml:space="preserve"> № 967-Ն որոշմամբ հաստատված՝ </w:t>
      </w:r>
      <w:r w:rsidR="00BE69C1" w:rsidRPr="00BE69C1">
        <w:rPr>
          <w:rFonts w:ascii="GHEA Grapalat" w:eastAsia="GHEA Grapalat" w:hAnsi="GHEA Grapalat" w:cs="GHEA Grapalat"/>
          <w:sz w:val="24"/>
          <w:szCs w:val="24"/>
          <w:lang w:val="hy-AM"/>
        </w:rPr>
        <w:t>«</w:t>
      </w:r>
      <w:r w:rsidR="00BE69C1">
        <w:rPr>
          <w:rFonts w:ascii="GHEA Grapalat" w:eastAsia="GHEA Grapalat" w:hAnsi="GHEA Grapalat" w:cs="GHEA Grapalat"/>
          <w:sz w:val="24"/>
          <w:szCs w:val="24"/>
          <w:lang w:val="hy-AM"/>
        </w:rPr>
        <w:t>Հատիս</w:t>
      </w:r>
      <w:r w:rsidR="00BE69C1" w:rsidRPr="00BE69C1">
        <w:rPr>
          <w:rFonts w:ascii="GHEA Grapalat" w:eastAsia="GHEA Grapalat" w:hAnsi="GHEA Grapalat" w:cs="GHEA Grapalat"/>
          <w:sz w:val="24"/>
          <w:szCs w:val="24"/>
          <w:lang w:val="hy-AM"/>
        </w:rPr>
        <w:t>»</w:t>
      </w:r>
      <w:r w:rsidR="00BE69C1">
        <w:rPr>
          <w:rFonts w:ascii="GHEA Grapalat" w:eastAsia="GHEA Grapalat" w:hAnsi="GHEA Grapalat" w:cs="GHEA Grapalat"/>
          <w:sz w:val="24"/>
          <w:szCs w:val="24"/>
          <w:lang w:val="hy-AM"/>
        </w:rPr>
        <w:t xml:space="preserve"> հրաբուխ</w:t>
      </w:r>
      <w:r w:rsidR="00BE69C1" w:rsidRPr="00BE69C1">
        <w:rPr>
          <w:rFonts w:ascii="GHEA Grapalat" w:eastAsia="GHEA Grapalat" w:hAnsi="GHEA Grapalat" w:cs="GHEA Grapalat"/>
          <w:sz w:val="24"/>
          <w:szCs w:val="24"/>
          <w:lang w:val="hy-AM"/>
        </w:rPr>
        <w:t xml:space="preserve">» </w:t>
      </w:r>
      <w:r w:rsidR="00BE69C1">
        <w:rPr>
          <w:rFonts w:ascii="GHEA Grapalat" w:eastAsia="GHEA Grapalat" w:hAnsi="GHEA Grapalat" w:cs="GHEA Grapalat"/>
          <w:sz w:val="24"/>
          <w:szCs w:val="24"/>
          <w:lang w:val="hy-AM"/>
        </w:rPr>
        <w:t xml:space="preserve">բնության երկրաբանական հուշարձանի անձնագրի հաստատումն է, </w:t>
      </w:r>
      <w:r w:rsidR="00D77FDA">
        <w:rPr>
          <w:rFonts w:ascii="GHEA Grapalat" w:eastAsia="GHEA Grapalat" w:hAnsi="GHEA Grapalat" w:cs="GHEA Grapalat"/>
          <w:sz w:val="24"/>
          <w:szCs w:val="24"/>
          <w:lang w:val="hy-AM"/>
        </w:rPr>
        <w:t xml:space="preserve">որի արդյունքում՝ կսահմանվի բնության հուշարձանի և դրա երկրատեղանքների նկարագրությունը, սահմանների նկարագիրը, հատակագիծը, պահպանության և օգտագործման ռեժիմի առանձնահատկությունները, </w:t>
      </w:r>
      <w:r w:rsidR="00067C5C">
        <w:rPr>
          <w:rFonts w:ascii="GHEA Grapalat" w:eastAsia="GHEA Grapalat" w:hAnsi="GHEA Grapalat" w:cs="GHEA Grapalat"/>
          <w:sz w:val="24"/>
          <w:szCs w:val="24"/>
          <w:lang w:val="hy-AM"/>
        </w:rPr>
        <w:t xml:space="preserve">ինչը համահունչ է </w:t>
      </w:r>
      <w:r w:rsidR="00067C5C" w:rsidRPr="00BE69C1">
        <w:rPr>
          <w:rFonts w:ascii="GHEA Grapalat" w:eastAsia="GHEA Grapalat" w:hAnsi="GHEA Grapalat" w:cs="GHEA Grapalat"/>
          <w:sz w:val="24"/>
          <w:szCs w:val="24"/>
          <w:lang w:val="hy-AM"/>
        </w:rPr>
        <w:t>«</w:t>
      </w:r>
      <w:r w:rsidR="00067C5C">
        <w:rPr>
          <w:rFonts w:ascii="GHEA Grapalat" w:eastAsia="GHEA Grapalat" w:hAnsi="GHEA Grapalat" w:cs="GHEA Grapalat"/>
          <w:sz w:val="24"/>
          <w:szCs w:val="24"/>
          <w:lang w:val="hy-AM"/>
        </w:rPr>
        <w:t>Բնության հատուկ պահպանվող տարաքների մասին</w:t>
      </w:r>
      <w:r w:rsidR="00067C5C" w:rsidRPr="00BE69C1">
        <w:rPr>
          <w:rFonts w:ascii="GHEA Grapalat" w:eastAsia="GHEA Grapalat" w:hAnsi="GHEA Grapalat" w:cs="GHEA Grapalat"/>
          <w:sz w:val="24"/>
          <w:szCs w:val="24"/>
          <w:lang w:val="hy-AM"/>
        </w:rPr>
        <w:t>»</w:t>
      </w:r>
      <w:r w:rsidR="00067C5C">
        <w:rPr>
          <w:rFonts w:ascii="GHEA Grapalat" w:eastAsia="GHEA Grapalat" w:hAnsi="GHEA Grapalat" w:cs="GHEA Grapalat"/>
          <w:sz w:val="24"/>
          <w:szCs w:val="24"/>
          <w:lang w:val="hy-AM"/>
        </w:rPr>
        <w:t xml:space="preserve"> օրենքի 19-րդ հոդվածի 2-րդ և 3-րդ մասերին</w:t>
      </w:r>
      <w:r w:rsidR="00C466A4">
        <w:rPr>
          <w:rFonts w:ascii="GHEA Grapalat" w:eastAsia="GHEA Grapalat" w:hAnsi="GHEA Grapalat" w:cs="GHEA Grapalat"/>
          <w:sz w:val="24"/>
          <w:szCs w:val="24"/>
          <w:lang w:val="hy-AM"/>
        </w:rPr>
        <w:t>:</w:t>
      </w:r>
    </w:p>
    <w:p w14:paraId="1B36CC74" w14:textId="77777777" w:rsidR="00612BB4" w:rsidRDefault="00612BB4" w:rsidP="00D649C1">
      <w:pPr>
        <w:suppressAutoHyphens/>
        <w:spacing w:after="0"/>
        <w:ind w:firstLine="720"/>
        <w:jc w:val="both"/>
        <w:rPr>
          <w:rFonts w:ascii="GHEA Grapalat" w:hAnsi="GHEA Grapalat" w:cs="Calibri"/>
          <w:sz w:val="24"/>
          <w:szCs w:val="24"/>
          <w:lang w:val="hy-AM"/>
        </w:rPr>
      </w:pPr>
    </w:p>
    <w:p w14:paraId="11078FAC" w14:textId="77777777" w:rsidR="001A47F2" w:rsidRPr="001A47F2" w:rsidRDefault="001A47F2" w:rsidP="00D649C1">
      <w:pPr>
        <w:pStyle w:val="ListParagraph"/>
        <w:numPr>
          <w:ilvl w:val="0"/>
          <w:numId w:val="2"/>
        </w:numPr>
        <w:suppressAutoHyphens/>
        <w:spacing w:after="0"/>
        <w:ind w:left="360"/>
        <w:jc w:val="both"/>
        <w:rPr>
          <w:rFonts w:ascii="GHEA Grapalat" w:eastAsia="GHEA Grapalat" w:hAnsi="GHEA Grapalat" w:cs="GHEA Grapalat"/>
          <w:sz w:val="24"/>
          <w:szCs w:val="24"/>
          <w:lang w:val="hy-AM"/>
        </w:rPr>
      </w:pPr>
      <w:r w:rsidRPr="001A47F2">
        <w:rPr>
          <w:rFonts w:ascii="GHEA Grapalat" w:hAnsi="GHEA Grapalat"/>
          <w:b/>
          <w:sz w:val="24"/>
          <w:szCs w:val="24"/>
          <w:lang w:val="hy-AM"/>
        </w:rPr>
        <w:t>Նախագծի մշակման գործընթացում ներգրավված ինստիտուտները, անձինք և նրանց դիրքորոշումը</w:t>
      </w:r>
    </w:p>
    <w:p w14:paraId="430F6321" w14:textId="75B487E4" w:rsidR="00C466A4" w:rsidRPr="00C61F5A" w:rsidRDefault="001A47F2" w:rsidP="00D649C1">
      <w:pPr>
        <w:ind w:right="-29" w:firstLine="709"/>
        <w:jc w:val="both"/>
        <w:rPr>
          <w:rFonts w:ascii="GHEA Grapalat" w:hAnsi="GHEA Grapalat"/>
          <w:sz w:val="24"/>
          <w:szCs w:val="24"/>
          <w:lang w:val="af-ZA"/>
        </w:rPr>
      </w:pPr>
      <w:r>
        <w:rPr>
          <w:rFonts w:ascii="GHEA Grapalat" w:hAnsi="GHEA Grapalat" w:cs="Sylfaen"/>
          <w:sz w:val="24"/>
          <w:szCs w:val="24"/>
          <w:lang w:val="hy-AM"/>
        </w:rPr>
        <w:t>Նախագիծը</w:t>
      </w:r>
      <w:r w:rsidRPr="00C61F5A">
        <w:rPr>
          <w:rFonts w:ascii="GHEA Grapalat" w:hAnsi="GHEA Grapalat" w:cs="Sylfaen"/>
          <w:sz w:val="24"/>
          <w:szCs w:val="24"/>
          <w:lang w:val="hy-AM"/>
        </w:rPr>
        <w:t xml:space="preserve"> մշակվել է շրջակա միջավայրի նախարարության կողմից</w:t>
      </w:r>
      <w:r w:rsidRPr="00C61F5A">
        <w:rPr>
          <w:rFonts w:ascii="GHEA Grapalat" w:hAnsi="GHEA Grapalat"/>
          <w:sz w:val="24"/>
          <w:szCs w:val="24"/>
          <w:lang w:val="af-ZA"/>
        </w:rPr>
        <w:t>:</w:t>
      </w:r>
    </w:p>
    <w:p w14:paraId="54D751B1" w14:textId="77777777" w:rsidR="001A47F2" w:rsidRPr="00C17CB0" w:rsidRDefault="001A47F2" w:rsidP="00D649C1">
      <w:pPr>
        <w:pStyle w:val="ListParagraph"/>
        <w:numPr>
          <w:ilvl w:val="0"/>
          <w:numId w:val="2"/>
        </w:numPr>
        <w:tabs>
          <w:tab w:val="left" w:pos="1134"/>
        </w:tabs>
        <w:spacing w:after="0"/>
        <w:ind w:left="360"/>
        <w:jc w:val="both"/>
        <w:rPr>
          <w:rFonts w:ascii="GHEA Grapalat" w:hAnsi="GHEA Grapalat" w:cs="Sylfaen"/>
          <w:b/>
          <w:sz w:val="24"/>
          <w:szCs w:val="24"/>
          <w:lang w:val="hy-AM"/>
        </w:rPr>
      </w:pPr>
      <w:r w:rsidRPr="00C17CB0">
        <w:rPr>
          <w:rFonts w:ascii="GHEA Grapalat" w:hAnsi="GHEA Grapalat" w:cs="Sylfaen"/>
          <w:b/>
          <w:sz w:val="24"/>
          <w:szCs w:val="24"/>
          <w:lang w:val="hy-AM"/>
        </w:rPr>
        <w:lastRenderedPageBreak/>
        <w:t>Ակնկալվող արդյունքը</w:t>
      </w:r>
    </w:p>
    <w:p w14:paraId="56C2E5B7" w14:textId="46DE8772" w:rsidR="00C466A4" w:rsidRDefault="001A47F2" w:rsidP="00D649C1">
      <w:pPr>
        <w:tabs>
          <w:tab w:val="left" w:pos="2115"/>
        </w:tabs>
        <w:suppressAutoHyphens/>
        <w:spacing w:after="0"/>
        <w:ind w:firstLine="720"/>
        <w:jc w:val="both"/>
        <w:rPr>
          <w:rFonts w:ascii="GHEA Grapalat" w:eastAsia="GHEA Grapalat" w:hAnsi="GHEA Grapalat" w:cs="GHEA Grapalat"/>
          <w:sz w:val="24"/>
          <w:szCs w:val="24"/>
          <w:lang w:val="hy-AM"/>
        </w:rPr>
      </w:pPr>
      <w:r w:rsidRPr="001A47F2">
        <w:rPr>
          <w:rFonts w:ascii="GHEA Grapalat" w:hAnsi="GHEA Grapalat" w:cs="Calibri"/>
          <w:sz w:val="24"/>
          <w:szCs w:val="24"/>
          <w:lang w:val="hy-AM"/>
        </w:rPr>
        <w:t>Նախագծի</w:t>
      </w:r>
      <w:r w:rsidRPr="001A47F2">
        <w:rPr>
          <w:rFonts w:ascii="GHEA Grapalat" w:eastAsia="GHEA Grapalat" w:hAnsi="GHEA Grapalat" w:cs="GHEA Grapalat"/>
          <w:sz w:val="24"/>
          <w:szCs w:val="24"/>
          <w:lang w:val="hy-AM"/>
        </w:rPr>
        <w:t xml:space="preserve"> </w:t>
      </w:r>
      <w:r w:rsidRPr="001A47F2">
        <w:rPr>
          <w:rFonts w:ascii="GHEA Grapalat" w:hAnsi="GHEA Grapalat" w:cs="Calibri"/>
          <w:sz w:val="24"/>
          <w:szCs w:val="24"/>
          <w:lang w:val="hy-AM"/>
        </w:rPr>
        <w:t>ընդունմամբ</w:t>
      </w:r>
      <w:r w:rsidR="00C466A4" w:rsidRPr="00C466A4">
        <w:rPr>
          <w:rFonts w:ascii="GHEA Grapalat" w:hAnsi="GHEA Grapalat" w:cs="Calibri"/>
          <w:sz w:val="24"/>
          <w:szCs w:val="24"/>
          <w:lang w:val="hy-AM"/>
        </w:rPr>
        <w:t xml:space="preserve"> </w:t>
      </w:r>
      <w:r w:rsidR="00C466A4">
        <w:rPr>
          <w:rFonts w:ascii="GHEA Grapalat" w:hAnsi="GHEA Grapalat" w:cs="Calibri"/>
          <w:sz w:val="24"/>
          <w:szCs w:val="24"/>
          <w:lang w:val="hy-AM"/>
        </w:rPr>
        <w:t>կհաստատվի</w:t>
      </w:r>
      <w:r w:rsidR="00C466A4" w:rsidRPr="00C466A4">
        <w:rPr>
          <w:rFonts w:ascii="GHEA Grapalat" w:hAnsi="GHEA Grapalat" w:cs="Calibri"/>
          <w:sz w:val="24"/>
          <w:szCs w:val="24"/>
          <w:lang w:val="hy-AM"/>
        </w:rPr>
        <w:t xml:space="preserve"> </w:t>
      </w:r>
      <w:r w:rsidR="00C466A4" w:rsidRPr="00BE69C1">
        <w:rPr>
          <w:rFonts w:ascii="GHEA Grapalat" w:eastAsia="GHEA Grapalat" w:hAnsi="GHEA Grapalat" w:cs="GHEA Grapalat"/>
          <w:sz w:val="24"/>
          <w:szCs w:val="24"/>
          <w:lang w:val="hy-AM"/>
        </w:rPr>
        <w:t>«</w:t>
      </w:r>
      <w:r w:rsidR="00C466A4">
        <w:rPr>
          <w:rFonts w:ascii="GHEA Grapalat" w:eastAsia="GHEA Grapalat" w:hAnsi="GHEA Grapalat" w:cs="GHEA Grapalat"/>
          <w:sz w:val="24"/>
          <w:szCs w:val="24"/>
          <w:lang w:val="hy-AM"/>
        </w:rPr>
        <w:t>Հատիս</w:t>
      </w:r>
      <w:r w:rsidR="00C466A4" w:rsidRPr="00BE69C1">
        <w:rPr>
          <w:rFonts w:ascii="GHEA Grapalat" w:eastAsia="GHEA Grapalat" w:hAnsi="GHEA Grapalat" w:cs="GHEA Grapalat"/>
          <w:sz w:val="24"/>
          <w:szCs w:val="24"/>
          <w:lang w:val="hy-AM"/>
        </w:rPr>
        <w:t>»</w:t>
      </w:r>
      <w:r w:rsidR="00C466A4">
        <w:rPr>
          <w:rFonts w:ascii="GHEA Grapalat" w:eastAsia="GHEA Grapalat" w:hAnsi="GHEA Grapalat" w:cs="GHEA Grapalat"/>
          <w:sz w:val="24"/>
          <w:szCs w:val="24"/>
          <w:lang w:val="hy-AM"/>
        </w:rPr>
        <w:t xml:space="preserve"> հրաբուխ</w:t>
      </w:r>
      <w:r w:rsidR="00C466A4" w:rsidRPr="00BE69C1">
        <w:rPr>
          <w:rFonts w:ascii="GHEA Grapalat" w:eastAsia="GHEA Grapalat" w:hAnsi="GHEA Grapalat" w:cs="GHEA Grapalat"/>
          <w:sz w:val="24"/>
          <w:szCs w:val="24"/>
          <w:lang w:val="hy-AM"/>
        </w:rPr>
        <w:t xml:space="preserve">» </w:t>
      </w:r>
      <w:r w:rsidR="00C466A4">
        <w:rPr>
          <w:rFonts w:ascii="GHEA Grapalat" w:eastAsia="GHEA Grapalat" w:hAnsi="GHEA Grapalat" w:cs="GHEA Grapalat"/>
          <w:sz w:val="24"/>
          <w:szCs w:val="24"/>
          <w:lang w:val="hy-AM"/>
        </w:rPr>
        <w:t>բնության երկրաբանական հուշարձանի անձնագիրը, որի արդյունքում՝ կսահմանվի բնության հուշարձանի և երկրատեղանքների նկարագրությունը, սահմանների նկարագիրը, հատակագիծը, պահպանության և օգտագործման ռեժիմի առանձնահատկությունները, տեղեկատվություն հողօգտագործողի և սեփականատիրոջ, ինչպես նաև պահպանությունն իրականացնող սուբյեկտի վերաբերյալ: Արդյունքում՝ բնության հուշարձանի երկրատեղանքների շուրջ կստեղծվի նաև զբոսաշրջային ծառայությունների կազմակերպման հնարավորություն:</w:t>
      </w:r>
    </w:p>
    <w:p w14:paraId="156B6B71" w14:textId="51327399" w:rsidR="00A21C06" w:rsidRDefault="0010165A" w:rsidP="00D649C1">
      <w:pPr>
        <w:tabs>
          <w:tab w:val="left" w:pos="2115"/>
        </w:tabs>
        <w:suppressAutoHyphens/>
        <w:spacing w:after="0"/>
        <w:ind w:firstLine="720"/>
        <w:jc w:val="both"/>
        <w:rPr>
          <w:rFonts w:ascii="GHEA Grapalat" w:hAnsi="GHEA Grapalat" w:cs="Calibri"/>
          <w:sz w:val="24"/>
          <w:szCs w:val="24"/>
          <w:lang w:val="hy-AM"/>
        </w:rPr>
      </w:pPr>
      <w:r w:rsidRPr="0010165A">
        <w:rPr>
          <w:rFonts w:ascii="GHEA Grapalat" w:hAnsi="GHEA Grapalat" w:cs="Calibri"/>
          <w:sz w:val="24"/>
          <w:szCs w:val="24"/>
          <w:lang w:val="hy-AM"/>
        </w:rPr>
        <w:t xml:space="preserve">Հիմք ընդունելով «Բնության հատուկ պահպանվող տարածքների մասին» օրենքի 19-րդ հոդվածի 3-րդ մասը՝ բնության հուշարձանի անձնագրի հաստատմամբ կամրագրվի նաև վերջինիս պահպանությունն իրականացնող սուբյեկտի վերաբերյալ տեղեկատվությունը, տվյալ դեպքում՝ պահպանության սուբյեկտ է հանդիսանալու Ակունք համայնքը, որն իր միջոցների հաշվին </w:t>
      </w:r>
      <w:r w:rsidR="0071736D">
        <w:rPr>
          <w:rFonts w:ascii="GHEA Grapalat" w:hAnsi="GHEA Grapalat" w:cs="Calibri"/>
          <w:sz w:val="24"/>
          <w:szCs w:val="24"/>
          <w:lang w:val="hy-AM"/>
        </w:rPr>
        <w:t>իրականացնելու է</w:t>
      </w:r>
      <w:r w:rsidRPr="0010165A">
        <w:rPr>
          <w:rFonts w:ascii="GHEA Grapalat" w:hAnsi="GHEA Grapalat" w:cs="Calibri"/>
          <w:sz w:val="24"/>
          <w:szCs w:val="24"/>
          <w:lang w:val="hy-AM"/>
        </w:rPr>
        <w:t xml:space="preserve"> համայնքի վարչական սահմաններում գտնվող բնության հուշարձանի առանձնացված երկրատեղանքների պահպանությունը:</w:t>
      </w:r>
      <w:r w:rsidR="00A21C06">
        <w:rPr>
          <w:rFonts w:ascii="GHEA Grapalat" w:hAnsi="GHEA Grapalat" w:cs="Calibri"/>
          <w:sz w:val="24"/>
          <w:szCs w:val="24"/>
          <w:lang w:val="hy-AM"/>
        </w:rPr>
        <w:t xml:space="preserve"> </w:t>
      </w:r>
    </w:p>
    <w:p w14:paraId="1789A62D" w14:textId="77777777" w:rsidR="00A21C06" w:rsidRPr="001A47F2" w:rsidRDefault="00A21C06" w:rsidP="00D649C1">
      <w:pPr>
        <w:tabs>
          <w:tab w:val="left" w:pos="2115"/>
        </w:tabs>
        <w:suppressAutoHyphens/>
        <w:spacing w:after="0"/>
        <w:ind w:firstLine="720"/>
        <w:jc w:val="both"/>
        <w:rPr>
          <w:rFonts w:ascii="GHEA Grapalat" w:hAnsi="GHEA Grapalat" w:cs="Calibri"/>
          <w:sz w:val="24"/>
          <w:szCs w:val="24"/>
          <w:lang w:val="hy-AM"/>
        </w:rPr>
      </w:pPr>
    </w:p>
    <w:p w14:paraId="5319F425" w14:textId="77777777" w:rsidR="00C17CB0" w:rsidRPr="00C17CB0" w:rsidRDefault="00C17CB0" w:rsidP="00D649C1">
      <w:pPr>
        <w:pStyle w:val="ListParagraph"/>
        <w:numPr>
          <w:ilvl w:val="0"/>
          <w:numId w:val="2"/>
        </w:numPr>
        <w:suppressAutoHyphens/>
        <w:spacing w:after="0"/>
        <w:ind w:left="360"/>
        <w:jc w:val="both"/>
        <w:rPr>
          <w:sz w:val="24"/>
          <w:szCs w:val="24"/>
          <w:lang w:val="hy-AM"/>
        </w:rPr>
      </w:pPr>
      <w:r w:rsidRPr="00C17CB0">
        <w:rPr>
          <w:rFonts w:ascii="GHEA Grapalat" w:hAnsi="GHEA Grapalat" w:cs="Sylfaen"/>
          <w:b/>
          <w:bCs/>
          <w:sz w:val="24"/>
          <w:szCs w:val="24"/>
          <w:lang w:val="hy-AM"/>
        </w:rPr>
        <w:t>Տեղեկատվություն</w:t>
      </w:r>
      <w:r w:rsidR="00E36B5A">
        <w:rPr>
          <w:rFonts w:cs="Calibri"/>
          <w:b/>
          <w:bCs/>
          <w:sz w:val="24"/>
          <w:szCs w:val="24"/>
          <w:lang w:val="hy-AM"/>
        </w:rPr>
        <w:t xml:space="preserve"> </w:t>
      </w:r>
      <w:r w:rsidRPr="00C17CB0">
        <w:rPr>
          <w:rFonts w:ascii="GHEA Grapalat" w:hAnsi="GHEA Grapalat" w:cs="Sylfaen"/>
          <w:b/>
          <w:bCs/>
          <w:sz w:val="24"/>
          <w:szCs w:val="24"/>
          <w:lang w:val="hy-AM"/>
        </w:rPr>
        <w:t>լ</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ացուցիչ</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ֆինանսական</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միջոցնե</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ի</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անհ</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աժեշտության</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և</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պետական</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բյուջեի</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եկամուտնե</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ում</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և</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ծախսե</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ում</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սպասվելիք</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փոփոխություննե</w:t>
      </w:r>
      <w:r w:rsidRPr="00C17CB0">
        <w:rPr>
          <w:rFonts w:ascii="GHEA Grapalat" w:hAnsi="GHEA Grapalat" w:cs="Verdana"/>
          <w:b/>
          <w:bCs/>
          <w:sz w:val="24"/>
          <w:szCs w:val="24"/>
          <w:lang w:val="hy-AM"/>
        </w:rPr>
        <w:t>ր</w:t>
      </w:r>
      <w:r w:rsidRPr="00C17CB0">
        <w:rPr>
          <w:rFonts w:ascii="GHEA Grapalat" w:hAnsi="GHEA Grapalat" w:cs="Sylfaen"/>
          <w:b/>
          <w:bCs/>
          <w:sz w:val="24"/>
          <w:szCs w:val="24"/>
          <w:lang w:val="hy-AM"/>
        </w:rPr>
        <w:t>ի</w:t>
      </w:r>
      <w:r w:rsidRPr="00C17CB0">
        <w:rPr>
          <w:rFonts w:ascii="GHEA Grapalat" w:hAnsi="GHEA Grapalat" w:cs="Verdana"/>
          <w:b/>
          <w:bCs/>
          <w:sz w:val="24"/>
          <w:szCs w:val="24"/>
          <w:lang w:val="hy-AM"/>
        </w:rPr>
        <w:t xml:space="preserve"> </w:t>
      </w:r>
      <w:r w:rsidRPr="00C17CB0">
        <w:rPr>
          <w:rFonts w:ascii="GHEA Grapalat" w:hAnsi="GHEA Grapalat" w:cs="Sylfaen"/>
          <w:b/>
          <w:bCs/>
          <w:sz w:val="24"/>
          <w:szCs w:val="24"/>
          <w:lang w:val="hy-AM"/>
        </w:rPr>
        <w:t>մասին</w:t>
      </w:r>
    </w:p>
    <w:p w14:paraId="25B821DC" w14:textId="07A4D84F" w:rsidR="007D7840" w:rsidRDefault="007D7840" w:rsidP="00D649C1">
      <w:pPr>
        <w:pStyle w:val="NormalWeb"/>
        <w:spacing w:before="0" w:beforeAutospacing="0" w:after="0" w:afterAutospacing="0" w:line="276" w:lineRule="auto"/>
        <w:ind w:firstLine="720"/>
        <w:jc w:val="both"/>
        <w:rPr>
          <w:rFonts w:ascii="GHEA Grapalat" w:hAnsi="GHEA Grapalat"/>
          <w:lang w:val="hy-AM"/>
        </w:rPr>
      </w:pPr>
      <w:r>
        <w:rPr>
          <w:rFonts w:ascii="GHEA Grapalat" w:hAnsi="GHEA Grapalat" w:cs="Sylfaen"/>
          <w:lang w:val="hy-AM"/>
        </w:rPr>
        <w:t xml:space="preserve">Նախագծի </w:t>
      </w:r>
      <w:r w:rsidR="00D122B2">
        <w:rPr>
          <w:rFonts w:ascii="GHEA Grapalat" w:hAnsi="GHEA Grapalat"/>
          <w:lang w:val="hy-AM"/>
        </w:rPr>
        <w:t>ընդունմամբ</w:t>
      </w:r>
      <w:r>
        <w:rPr>
          <w:rFonts w:ascii="GHEA Grapalat" w:hAnsi="GHEA Grapalat"/>
          <w:lang w:val="hy-AM"/>
        </w:rPr>
        <w:t xml:space="preserve"> </w:t>
      </w:r>
      <w:r w:rsidR="00D122B2" w:rsidRPr="00D122B2">
        <w:rPr>
          <w:rFonts w:ascii="GHEA Grapalat" w:hAnsi="GHEA Grapalat"/>
          <w:lang w:val="hy-AM"/>
        </w:rPr>
        <w:t>պահպանության սուբյեկտ է հանդիսանալու Ակունք համայնքը, որն իր միջոցների հաշվին կիրականացնի համայնքի վարչական սահմաններում գնտվող բնության հուշարձանի առանձնացված երկրատեղանքների պահպանությունը</w:t>
      </w:r>
      <w:r>
        <w:rPr>
          <w:rFonts w:ascii="GHEA Grapalat" w:hAnsi="GHEA Grapalat"/>
          <w:lang w:val="hy-AM"/>
        </w:rPr>
        <w:t>:</w:t>
      </w:r>
    </w:p>
    <w:p w14:paraId="0E631AD2" w14:textId="77777777" w:rsidR="00C466A4" w:rsidRDefault="00C466A4" w:rsidP="00D649C1">
      <w:pPr>
        <w:pStyle w:val="NormalWeb"/>
        <w:spacing w:before="0" w:beforeAutospacing="0" w:after="0" w:afterAutospacing="0" w:line="276" w:lineRule="auto"/>
        <w:ind w:firstLine="720"/>
        <w:jc w:val="both"/>
        <w:rPr>
          <w:rFonts w:ascii="GHEA Grapalat" w:hAnsi="GHEA Grapalat"/>
          <w:lang w:val="hy-AM"/>
        </w:rPr>
      </w:pPr>
    </w:p>
    <w:p w14:paraId="23F7B669" w14:textId="77777777" w:rsidR="007D7840" w:rsidRPr="007D7840" w:rsidRDefault="007D7840" w:rsidP="00D649C1">
      <w:pPr>
        <w:pStyle w:val="NormalWeb"/>
        <w:numPr>
          <w:ilvl w:val="0"/>
          <w:numId w:val="2"/>
        </w:numPr>
        <w:spacing w:before="0" w:beforeAutospacing="0" w:after="0" w:afterAutospacing="0" w:line="276" w:lineRule="auto"/>
        <w:ind w:left="360"/>
        <w:jc w:val="both"/>
        <w:rPr>
          <w:rFonts w:ascii="GHEA Grapalat" w:hAnsi="GHEA Grapalat"/>
          <w:lang w:val="hy-AM"/>
        </w:rPr>
      </w:pPr>
      <w:r>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711DAA8A" w14:textId="77777777" w:rsidR="007D7840" w:rsidRDefault="007D7840" w:rsidP="00D649C1">
      <w:pPr>
        <w:pStyle w:val="BodyText"/>
        <w:spacing w:line="276" w:lineRule="auto"/>
        <w:ind w:firstLine="720"/>
        <w:jc w:val="both"/>
        <w:rPr>
          <w:rFonts w:ascii="GHEA Grapalat" w:hAnsi="GHEA Grapalat"/>
          <w:b/>
          <w:noProof/>
          <w:sz w:val="24"/>
          <w:szCs w:val="24"/>
          <w:lang w:val="hy-AM"/>
        </w:rPr>
      </w:pPr>
      <w:r>
        <w:rPr>
          <w:rFonts w:ascii="GHEA Grapalat" w:hAnsi="GHEA Grapalat"/>
          <w:sz w:val="24"/>
          <w:szCs w:val="24"/>
          <w:lang w:val="hy-AM"/>
        </w:rPr>
        <w:t>Ներկայացվող նախագիծը չի բխում ռազմավարական փաստաթղթերից։</w:t>
      </w:r>
    </w:p>
    <w:sectPr w:rsidR="007D7840" w:rsidSect="0067325D">
      <w:pgSz w:w="12240" w:h="15840"/>
      <w:pgMar w:top="990" w:right="1440" w:bottom="207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E521E"/>
    <w:multiLevelType w:val="hybridMultilevel"/>
    <w:tmpl w:val="FB78E310"/>
    <w:lvl w:ilvl="0" w:tplc="0409000F">
      <w:start w:val="1"/>
      <w:numFmt w:val="decimal"/>
      <w:lvlText w:val="%1."/>
      <w:lvlJc w:val="left"/>
      <w:pPr>
        <w:ind w:left="5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1C0018"/>
    <w:multiLevelType w:val="hybridMultilevel"/>
    <w:tmpl w:val="CCDA5372"/>
    <w:lvl w:ilvl="0" w:tplc="0409000F">
      <w:start w:val="1"/>
      <w:numFmt w:val="decimal"/>
      <w:lvlText w:val="%1."/>
      <w:lvlJc w:val="left"/>
      <w:pPr>
        <w:ind w:left="333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45E6E37"/>
    <w:multiLevelType w:val="hybridMultilevel"/>
    <w:tmpl w:val="E1643E20"/>
    <w:lvl w:ilvl="0" w:tplc="ACD88992">
      <w:start w:val="1"/>
      <w:numFmt w:val="decimal"/>
      <w:lvlText w:val="%1."/>
      <w:lvlJc w:val="left"/>
      <w:pPr>
        <w:ind w:left="1429" w:hanging="360"/>
      </w:pPr>
      <w:rPr>
        <w:rFonts w:ascii="GHEA Grapalat" w:hAnsi="GHEA Grapalat"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76EB61B5"/>
    <w:multiLevelType w:val="hybridMultilevel"/>
    <w:tmpl w:val="3C18D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74DF6"/>
    <w:rsid w:val="00067C5C"/>
    <w:rsid w:val="00082859"/>
    <w:rsid w:val="000936F8"/>
    <w:rsid w:val="000F39DF"/>
    <w:rsid w:val="0010165A"/>
    <w:rsid w:val="00195119"/>
    <w:rsid w:val="001A47F2"/>
    <w:rsid w:val="00213CC3"/>
    <w:rsid w:val="002A59EE"/>
    <w:rsid w:val="002D47D7"/>
    <w:rsid w:val="002F6154"/>
    <w:rsid w:val="00367057"/>
    <w:rsid w:val="00374DF6"/>
    <w:rsid w:val="00381358"/>
    <w:rsid w:val="003A4C1C"/>
    <w:rsid w:val="003F61A0"/>
    <w:rsid w:val="00471409"/>
    <w:rsid w:val="00483830"/>
    <w:rsid w:val="00496635"/>
    <w:rsid w:val="004A57AD"/>
    <w:rsid w:val="004D5038"/>
    <w:rsid w:val="00513449"/>
    <w:rsid w:val="005134D0"/>
    <w:rsid w:val="00527354"/>
    <w:rsid w:val="005C565C"/>
    <w:rsid w:val="005E00B7"/>
    <w:rsid w:val="005E1530"/>
    <w:rsid w:val="00612BB4"/>
    <w:rsid w:val="006230BB"/>
    <w:rsid w:val="00665605"/>
    <w:rsid w:val="0067325D"/>
    <w:rsid w:val="00707678"/>
    <w:rsid w:val="0071602F"/>
    <w:rsid w:val="0071736D"/>
    <w:rsid w:val="007566A5"/>
    <w:rsid w:val="007D084E"/>
    <w:rsid w:val="007D7840"/>
    <w:rsid w:val="007F51E6"/>
    <w:rsid w:val="008035C3"/>
    <w:rsid w:val="008E2285"/>
    <w:rsid w:val="008F1882"/>
    <w:rsid w:val="00945C89"/>
    <w:rsid w:val="00956178"/>
    <w:rsid w:val="00960EB3"/>
    <w:rsid w:val="009810A2"/>
    <w:rsid w:val="00994233"/>
    <w:rsid w:val="009D215F"/>
    <w:rsid w:val="00A15E50"/>
    <w:rsid w:val="00A21C06"/>
    <w:rsid w:val="00A80663"/>
    <w:rsid w:val="00AA24CE"/>
    <w:rsid w:val="00B215C5"/>
    <w:rsid w:val="00B318DD"/>
    <w:rsid w:val="00BB5C1C"/>
    <w:rsid w:val="00BE69C1"/>
    <w:rsid w:val="00C17CB0"/>
    <w:rsid w:val="00C2216B"/>
    <w:rsid w:val="00C466A4"/>
    <w:rsid w:val="00C807A0"/>
    <w:rsid w:val="00CC726D"/>
    <w:rsid w:val="00D122B2"/>
    <w:rsid w:val="00D13A6A"/>
    <w:rsid w:val="00D217A7"/>
    <w:rsid w:val="00D54C05"/>
    <w:rsid w:val="00D57C6D"/>
    <w:rsid w:val="00D649C1"/>
    <w:rsid w:val="00D77FDA"/>
    <w:rsid w:val="00D861F1"/>
    <w:rsid w:val="00DA6299"/>
    <w:rsid w:val="00DD20C6"/>
    <w:rsid w:val="00E3127A"/>
    <w:rsid w:val="00E36B5A"/>
    <w:rsid w:val="00E57A1B"/>
    <w:rsid w:val="00E76F47"/>
    <w:rsid w:val="00F40AC3"/>
    <w:rsid w:val="00F84BCE"/>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CB84"/>
  <w15:docId w15:val="{42E74C6B-7B33-44F0-957D-8193D41E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5F"/>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E5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1A47F2"/>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nhideWhenUsed/>
    <w:qFormat/>
    <w:rsid w:val="001A47F2"/>
    <w:pPr>
      <w:spacing w:before="100" w:beforeAutospacing="1" w:after="100" w:afterAutospacing="1" w:line="240" w:lineRule="auto"/>
    </w:pPr>
    <w:rPr>
      <w:rFonts w:ascii="Times New Roman" w:hAnsi="Times New Roman"/>
      <w:sz w:val="24"/>
      <w:szCs w:val="24"/>
      <w:lang w:eastAsia="x-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rsid w:val="001A47F2"/>
    <w:rPr>
      <w:rFonts w:ascii="Times New Roman" w:eastAsia="Times New Roman" w:hAnsi="Times New Roman" w:cs="Times New Roman"/>
      <w:sz w:val="24"/>
      <w:szCs w:val="24"/>
      <w:lang w:val="en-US" w:eastAsia="x-none"/>
    </w:rPr>
  </w:style>
  <w:style w:type="paragraph" w:styleId="BodyText">
    <w:name w:val="Body Text"/>
    <w:basedOn w:val="Normal"/>
    <w:link w:val="BodyTextChar"/>
    <w:rsid w:val="00C17CB0"/>
    <w:pPr>
      <w:spacing w:after="0" w:line="360" w:lineRule="auto"/>
    </w:pPr>
    <w:rPr>
      <w:rFonts w:ascii="Times Armenian" w:hAnsi="Times Armenian"/>
      <w:sz w:val="28"/>
      <w:szCs w:val="20"/>
      <w:lang w:val="en-GB" w:eastAsia="ru-RU"/>
    </w:rPr>
  </w:style>
  <w:style w:type="character" w:customStyle="1" w:styleId="BodyTextChar">
    <w:name w:val="Body Text Char"/>
    <w:basedOn w:val="DefaultParagraphFont"/>
    <w:link w:val="BodyText"/>
    <w:rsid w:val="00C17CB0"/>
    <w:rPr>
      <w:rFonts w:ascii="Times Armenian" w:eastAsia="Times New Roman" w:hAnsi="Times Armenian" w:cs="Times New Roman"/>
      <w:sz w:val="28"/>
      <w:szCs w:val="20"/>
      <w:lang w:val="en-GB" w:eastAsia="ru-RU"/>
    </w:rPr>
  </w:style>
  <w:style w:type="character" w:styleId="Strong">
    <w:name w:val="Strong"/>
    <w:uiPriority w:val="22"/>
    <w:qFormat/>
    <w:rsid w:val="00C17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052246">
      <w:bodyDiv w:val="1"/>
      <w:marLeft w:val="0"/>
      <w:marRight w:val="0"/>
      <w:marTop w:val="0"/>
      <w:marBottom w:val="0"/>
      <w:divBdr>
        <w:top w:val="none" w:sz="0" w:space="0" w:color="auto"/>
        <w:left w:val="none" w:sz="0" w:space="0" w:color="auto"/>
        <w:bottom w:val="none" w:sz="0" w:space="0" w:color="auto"/>
        <w:right w:val="none" w:sz="0" w:space="0" w:color="auto"/>
      </w:divBdr>
    </w:div>
    <w:div w:id="1366908411">
      <w:bodyDiv w:val="1"/>
      <w:marLeft w:val="0"/>
      <w:marRight w:val="0"/>
      <w:marTop w:val="0"/>
      <w:marBottom w:val="0"/>
      <w:divBdr>
        <w:top w:val="none" w:sz="0" w:space="0" w:color="auto"/>
        <w:left w:val="none" w:sz="0" w:space="0" w:color="auto"/>
        <w:bottom w:val="none" w:sz="0" w:space="0" w:color="auto"/>
        <w:right w:val="none" w:sz="0" w:space="0" w:color="auto"/>
      </w:divBdr>
    </w:div>
    <w:div w:id="1466660800">
      <w:bodyDiv w:val="1"/>
      <w:marLeft w:val="0"/>
      <w:marRight w:val="0"/>
      <w:marTop w:val="0"/>
      <w:marBottom w:val="0"/>
      <w:divBdr>
        <w:top w:val="none" w:sz="0" w:space="0" w:color="auto"/>
        <w:left w:val="none" w:sz="0" w:space="0" w:color="auto"/>
        <w:bottom w:val="none" w:sz="0" w:space="0" w:color="auto"/>
        <w:right w:val="none" w:sz="0" w:space="0" w:color="auto"/>
      </w:divBdr>
    </w:div>
    <w:div w:id="17135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806</Words>
  <Characters>4599</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Voskehat Griogoryan</dc:creator>
  <cp:keywords>https://mul2-mnp.gov.am/tasks/172223/oneclick/Himnavorum(2).docx?token=8ddb55efd215b9211c8fd85542914357</cp:keywords>
  <dc:description/>
  <cp:lastModifiedBy>Hakob Matevosyan</cp:lastModifiedBy>
  <cp:revision>56</cp:revision>
  <dcterms:created xsi:type="dcterms:W3CDTF">2020-08-25T06:33:00Z</dcterms:created>
  <dcterms:modified xsi:type="dcterms:W3CDTF">2024-06-20T11:33:00Z</dcterms:modified>
</cp:coreProperties>
</file>