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9E" w:rsidRPr="0097515C" w:rsidRDefault="00D3169E" w:rsidP="008B5E24">
      <w:pPr>
        <w:shd w:val="clear" w:color="auto" w:fill="FFFFFF"/>
        <w:spacing w:before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7515C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ՀԻՄՆԱՎՈՐՈՒՄ</w:t>
      </w:r>
    </w:p>
    <w:p w:rsidR="00D3169E" w:rsidRDefault="00421213" w:rsidP="00421213">
      <w:pPr>
        <w:shd w:val="clear" w:color="auto" w:fill="FFFFFF"/>
        <w:spacing w:before="0"/>
        <w:jc w:val="center"/>
        <w:textAlignment w:val="baseline"/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</w:pPr>
      <w:r w:rsidRPr="0097515C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 xml:space="preserve">«Հայաստանի Հանրապետության հանրային ծառայությունները կարգավորող հանձնաժողովի 2019 թվականի դեկտեմբերի 25-ի </w:t>
      </w:r>
      <w:r w:rsidRPr="00323A09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№</w:t>
      </w:r>
      <w:r w:rsidRPr="0097515C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516</w:t>
      </w:r>
      <w:r w:rsidRPr="00323A09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Ն</w:t>
      </w:r>
      <w:r w:rsidR="00AC02B8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 xml:space="preserve"> որոշման մեջ փոփոխություններ և լրացումներ կատարելու մասին», </w:t>
      </w:r>
      <w:r w:rsidR="00AC02B8" w:rsidRPr="0097515C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 xml:space="preserve">«Հայաստանի Հանրապետության հանրային ծառայությունները կարգավորող հանձնաժողովի 2019 թվականի դեկտեմբերի 25-ի </w:t>
      </w:r>
      <w:r w:rsidR="00AC02B8" w:rsidRPr="00323A09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№</w:t>
      </w:r>
      <w:r w:rsidR="00AC02B8" w:rsidRPr="0097515C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51</w:t>
      </w:r>
      <w:r w:rsidR="00AC02B8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8</w:t>
      </w:r>
      <w:r w:rsidR="00AC02B8" w:rsidRPr="00323A09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Ն</w:t>
      </w:r>
      <w:r w:rsidR="00AC02B8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 xml:space="preserve"> որոշման մեջ փոփոխություններ և լրացումներ կատարելու մասին»</w:t>
      </w:r>
      <w:r w:rsidR="00AC02B8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 xml:space="preserve"> և</w:t>
      </w:r>
      <w:bookmarkStart w:id="0" w:name="_GoBack"/>
      <w:bookmarkEnd w:id="0"/>
      <w:r w:rsidR="00AC02B8" w:rsidRPr="00323A09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 xml:space="preserve"> </w:t>
      </w:r>
      <w:r w:rsidRPr="00323A09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«Հայաստանի Հանրապետության հանրային ծառայությունները կարգավորող հանձնաժողովի 2013 թվականի հոկտեմբերի 23-ի N359Ն որոշման մեջ փոփոխություններ և լրացումներ կատարելու մասին»</w:t>
      </w:r>
      <w:r w:rsidR="00AC02B8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 xml:space="preserve"> ՀՀ հանրային ծառայությունները կարգավորող հանձնաժողովի որոշումների նախագծերի</w:t>
      </w:r>
    </w:p>
    <w:p w:rsidR="00421213" w:rsidRPr="0097515C" w:rsidRDefault="00421213" w:rsidP="00421213">
      <w:pPr>
        <w:shd w:val="clear" w:color="auto" w:fill="FFFFFF"/>
        <w:spacing w:before="0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D3169E" w:rsidRPr="00D3169E" w:rsidRDefault="00D3169E" w:rsidP="008B5E24">
      <w:pPr>
        <w:numPr>
          <w:ilvl w:val="0"/>
          <w:numId w:val="20"/>
        </w:num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7515C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/>
        </w:rPr>
        <w:t>Ընթացիկ իրավիճակը, խնդիրները և անհրաժեշտությունը</w:t>
      </w:r>
    </w:p>
    <w:p w:rsidR="00D3169E" w:rsidRPr="00D3169E" w:rsidRDefault="00D3169E" w:rsidP="008B5E24">
      <w:pPr>
        <w:shd w:val="clear" w:color="auto" w:fill="FFFFFF"/>
        <w:spacing w:before="0" w:line="360" w:lineRule="auto"/>
        <w:ind w:left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C0559" w:rsidRDefault="00D3169E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2018 թվականի հուլիսի 1-ից ուժի մեջ մտած «Էներգետիկայի մասին» ՀՀ օրենքում փոփոխություններ և լրացումներ կատարելու մասին» ՀՕ-100Ն օրենքի պահանջները` ՀՀ հանրային ծառայությունները կարգավորող հանձնաժոողովը 25.12.2019թ. </w:t>
      </w:r>
      <w:r w:rsidRPr="00D3169E">
        <w:rPr>
          <w:rFonts w:ascii="GHEA Grapalat" w:eastAsia="Times New Roman" w:hAnsi="GHEA Grapalat" w:cs="Arial"/>
          <w:sz w:val="24"/>
          <w:szCs w:val="24"/>
          <w:lang w:val="hy-AM"/>
        </w:rPr>
        <w:t>№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516Ն և </w:t>
      </w:r>
      <w:r w:rsidRPr="00D3169E">
        <w:rPr>
          <w:rFonts w:ascii="GHEA Grapalat" w:eastAsia="Times New Roman" w:hAnsi="GHEA Grapalat" w:cs="Arial"/>
          <w:sz w:val="24"/>
          <w:szCs w:val="24"/>
          <w:lang w:val="hy-AM"/>
        </w:rPr>
        <w:t>№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518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որոշումներով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հաստատել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է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ՀՀ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էլեկտրաէներգետիկական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մեծածախ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շուկայի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առևտրային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կանոնները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և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Հայաստանի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Հանրապետության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էլեկտրաէներգետիկական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մեծածախ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շուկայի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օֆերտա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օրինակելի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ձևը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263FAD" w:rsidRDefault="002836F6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Նշված իրավական ակտերով ենթաօրենսդրական մանրամասն կանոնակարգում 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ստացել 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էլեկտրաէներգետիկական շուկայի աստիճանական ազատականացման նոր մոդելի անցման օրենսդրական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կոնցեպտը՝ 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նախատեսելով շուկայի չկարգավորվող հատվածում մրցակցային մեխանիզմների ներդրում, շուկա նոր մասնակիցների անխոչընդոտ մուտքի ապահովում, տարածաշրջանային առևտրի խթանում, այդ թվում՝ լիցենզավորման ազատականացման արդյունքում առավել էժան էլեկտրական էներգիայի ներկրման հնարավորությունների ստեղծում: </w:t>
      </w:r>
      <w:r w:rsidR="00263FAD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էլեկտրաէներգետիկական շուկայի նոր մոդել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="005F1E7F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 կիրարկումն ապահովող </w:t>
      </w:r>
      <w:r w:rsidR="00263FAD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լեկտրաէներգետիկական շուկայի կարգավորման նոր գործիքներ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հենվում են</w:t>
      </w:r>
      <w:r w:rsidR="00263FAD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ինչպես միջազգային առաջավոր փորձի, այնպես էլ ներքին շուկայի սպառողների պաշտպանության, արտադրության և սպառման շուկաներում պատասխանատվության միջոցների ներդրման և այլ հիմնարար սկզբունքների վրա: 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Նշված փոփոխություններ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բնականաբար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>ենթադրում են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էլեկտրաէներգետիկական մեծածախ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շուկա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ի  կառուցվածքի փոփոխություն, այն է՝ շուկա նոր մասնակիցների մուտք, գործող մասնակիցների իրավունքների ու պարտականությունների ներդաշնակեցում ազատական շուկաների կարգավորումներին</w:t>
      </w:r>
      <w:r w:rsidR="00263FAD">
        <w:rPr>
          <w:rFonts w:ascii="GHEA Grapalat" w:eastAsia="Times New Roman" w:hAnsi="GHEA Grapalat" w:cs="Times New Roman"/>
          <w:sz w:val="24"/>
          <w:szCs w:val="24"/>
          <w:lang w:val="hy-AM"/>
        </w:rPr>
        <w:t>, նրանց պատասխանատվության հստակ մեխանիզմի ամրագրում և այլն</w:t>
      </w:r>
      <w:r w:rsidR="00BC0559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2C4070" w:rsidRDefault="00263FAD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Այնուհետև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2021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հունվարի 14-ի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48-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որոշման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հավելվածով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հավանության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արժանացել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էներգետիկայի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բնագավառի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զարգացման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ռազմավարական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ծրագրի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մինչև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2040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թվականը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իրագործումն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ապահովող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ծրագիր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ժամանակացույցը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որի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4.2-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րդ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կետով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էլեկտրաէներգետիկական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մեծածախ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շ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ուկայի նոր մոդելին ամբողջական անցումը նախատեսված է 2022 թվականի փետրվարի 1-ից:</w:t>
      </w:r>
      <w:r w:rsidR="00994B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C4070" w:rsidRPr="00FF72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Նշված ժամկետից </w:t>
      </w:r>
      <w:r w:rsidR="002C4070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էլեկտրաէներգետիկական շուկայի </w:t>
      </w:r>
      <w:r w:rsidR="002C40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 մոդելի </w:t>
      </w:r>
      <w:r w:rsidR="002C4070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աստիճանական </w:t>
      </w:r>
      <w:r w:rsidR="002C4070" w:rsidRPr="00FF7295">
        <w:rPr>
          <w:rFonts w:ascii="GHEA Grapalat" w:eastAsia="Times New Roman" w:hAnsi="GHEA Grapalat" w:cs="Times New Roman"/>
          <w:sz w:val="24"/>
          <w:szCs w:val="24"/>
          <w:lang w:val="hy-AM"/>
        </w:rPr>
        <w:t>գործարկման ապահովման</w:t>
      </w:r>
      <w:r w:rsidR="002C40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նպատակով՝</w:t>
      </w:r>
      <w:r w:rsidR="002C4070" w:rsidRPr="00C47F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Հանձնաժողովը նախաձեռնել է համապատասխան փոփոխություններ իր 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25.12.2019թ. </w:t>
      </w:r>
      <w:r w:rsidR="00014F8F" w:rsidRPr="00D3169E">
        <w:rPr>
          <w:rFonts w:ascii="GHEA Grapalat" w:eastAsia="Times New Roman" w:hAnsi="GHEA Grapalat" w:cs="Arial"/>
          <w:sz w:val="24"/>
          <w:szCs w:val="24"/>
          <w:lang w:val="hy-AM"/>
        </w:rPr>
        <w:t>№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516Ն և </w:t>
      </w:r>
      <w:r w:rsidR="00014F8F" w:rsidRPr="00D3169E">
        <w:rPr>
          <w:rFonts w:ascii="GHEA Grapalat" w:eastAsia="Times New Roman" w:hAnsi="GHEA Grapalat" w:cs="Arial"/>
          <w:sz w:val="24"/>
          <w:szCs w:val="24"/>
          <w:lang w:val="hy-AM"/>
        </w:rPr>
        <w:t>№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518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Ն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որոշումներով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հաստատված՝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ՀՀ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էլեկտրաէներգետիկական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մեծածախ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շուկայի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առևտրային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կանոններ</w:t>
      </w:r>
      <w:r w:rsidR="00014F8F">
        <w:rPr>
          <w:rFonts w:ascii="GHEA Grapalat" w:eastAsia="Times New Roman" w:hAnsi="GHEA Grapalat" w:cs="Arial AMU"/>
          <w:sz w:val="24"/>
          <w:szCs w:val="24"/>
          <w:lang w:val="hy-AM"/>
        </w:rPr>
        <w:t>ում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և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Հայաստանի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Հանրապետության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էլեկտրաէներգետիկական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մեծածախ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D3169E">
        <w:rPr>
          <w:rFonts w:ascii="GHEA Grapalat" w:eastAsia="Times New Roman" w:hAnsi="GHEA Grapalat" w:cs="Arial AMU"/>
          <w:sz w:val="24"/>
          <w:szCs w:val="24"/>
          <w:lang w:val="hy-AM"/>
        </w:rPr>
        <w:t>շուկայի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14F8F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օֆերտա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14F8F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օրինակելի</w:t>
      </w:r>
      <w:r w:rsidR="00014F8F"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4F8F" w:rsidRPr="00BC0559"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r w:rsidR="00014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ում։ Նշված փոփոխությունները նպատակ ունեն 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հարթ անցում շուկայի գործող կարգավորվող մոդելից՝ մրցակցայինի</w:t>
      </w:r>
      <w:r w:rsidR="0056074D">
        <w:rPr>
          <w:rFonts w:ascii="GHEA Grapalat" w:eastAsia="Times New Roman" w:hAnsi="GHEA Grapalat" w:cs="Times New Roman"/>
          <w:sz w:val="24"/>
          <w:szCs w:val="24"/>
          <w:lang w:val="hy-AM"/>
        </w:rPr>
        <w:t>,  միաժամանակ, հաշվի առնելով</w:t>
      </w:r>
      <w:r w:rsidR="002C40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07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նաև </w:t>
      </w:r>
      <w:r w:rsidR="002C4070" w:rsidRPr="00C47F8A">
        <w:rPr>
          <w:rFonts w:ascii="GHEA Grapalat" w:eastAsia="Times New Roman" w:hAnsi="GHEA Grapalat" w:cs="Times New Roman"/>
          <w:sz w:val="24"/>
          <w:szCs w:val="24"/>
          <w:lang w:val="hy-AM"/>
        </w:rPr>
        <w:t>2021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փետրվարի մեկից շուկայի կառավարման ծրագրի փորձ</w:t>
      </w:r>
      <w:r w:rsidR="005607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նական գործարկման արդյունքում արձանագրված խնդիրները և այդ համատեքստում 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շուկայի </w:t>
      </w:r>
      <w:r w:rsidR="005607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մեծածախ 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կանոնների </w:t>
      </w:r>
      <w:r w:rsidR="005607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 պայմանագրի օրինակելի ձևի 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>շուրջ տեղի ունեցած լրացուցիչ քննարկումները</w:t>
      </w:r>
      <w:r w:rsidR="005607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  <w:r w:rsidR="00A7315D">
        <w:rPr>
          <w:rFonts w:ascii="GHEA Grapalat" w:eastAsia="Times New Roman" w:hAnsi="GHEA Grapalat" w:cs="Times New Roman"/>
          <w:sz w:val="24"/>
          <w:szCs w:val="24"/>
          <w:lang w:val="hy-AM"/>
        </w:rPr>
        <w:t>Առաջարկվող լուծումներն ուղղված են նաև մրցակ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ցային 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շուկայում մասնակիցների գործունեության հետ կապված հնարավոր ռիսկերը առաջին տարվա ընթացքու</w:t>
      </w:r>
      <w:r w:rsidR="002C4070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A731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մեղմելուն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DF43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որի շրջանակում նախատեսվում են </w:t>
      </w:r>
      <w:r w:rsidR="002C4070"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էլեկտրաէներգետիկական մեծածախ շուկայի մասնակիցների հարաբերությունների լրացուցիչ </w:t>
      </w:r>
      <w:r w:rsidR="00D427E7">
        <w:rPr>
          <w:rFonts w:ascii="GHEA Grapalat" w:eastAsia="Times New Roman" w:hAnsi="GHEA Grapalat" w:cs="Times New Roman"/>
          <w:sz w:val="24"/>
          <w:szCs w:val="24"/>
          <w:lang w:val="hy-AM"/>
        </w:rPr>
        <w:t>անցումային կարգավորումներ</w:t>
      </w:r>
      <w:r w:rsidR="0056074D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8B5E24" w:rsidRDefault="008B5E24" w:rsidP="008B5E24">
      <w:pPr>
        <w:spacing w:before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Միաժամանակ,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Հ</w:t>
      </w:r>
      <w:r w:rsidRPr="003B3DC3">
        <w:rPr>
          <w:rFonts w:ascii="GHEA Grapalat" w:hAnsi="GHEA Grapalat" w:cs="Sylfaen"/>
          <w:spacing w:val="-2"/>
          <w:sz w:val="24"/>
          <w:szCs w:val="24"/>
          <w:lang w:val="hy-AM"/>
        </w:rPr>
        <w:t>անձնաժողով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ի</w:t>
      </w:r>
      <w:r w:rsidRPr="006131E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2013 </w:t>
      </w:r>
      <w:r w:rsidRPr="003B3DC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6131E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հոկտեմբերի 23-ի N359Ն </w:t>
      </w:r>
      <w:r w:rsidRPr="003B3DC3">
        <w:rPr>
          <w:rFonts w:ascii="GHEA Grapalat" w:hAnsi="GHEA Grapalat" w:cs="Sylfaen"/>
          <w:spacing w:val="-2"/>
          <w:sz w:val="24"/>
          <w:szCs w:val="24"/>
          <w:lang w:val="hy-AM"/>
        </w:rPr>
        <w:t>որ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ոշմամբ</w:t>
      </w:r>
      <w:r w:rsidRPr="003B3DC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հաստատված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՝ էներգետիկայի բնագավառում սակագների սահմանման և վերանայման կարգը սահմանում է </w:t>
      </w:r>
      <w:r w:rsidRPr="006131EF">
        <w:rPr>
          <w:rFonts w:ascii="GHEA Grapalat" w:hAnsi="GHEA Grapalat" w:cs="Sylfaen"/>
          <w:spacing w:val="-2"/>
          <w:sz w:val="24"/>
          <w:szCs w:val="24"/>
          <w:lang w:val="hy-AM"/>
        </w:rPr>
        <w:t>էլեկտրական էներգիայի (հզորության) և ջերմային էներգիայի արտադրության (ներառյալ համակցված), հաղորդման (փոխադրման), բաշխման, երաշխավորված մատակարարման, էլեկտրաէներգետիկական շուկային ծառայությունների մատուցման, էլեկտրաէներգետիկական համակարգերի օպերատորների լիցենզիա ստանալու հայտ ներկայացնող կամ լիցենզիա ունեցող անձանց սակագների սահմանման ու վերանայման գործընթացը։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Հաշվի առնելով այն հանգամանքը, որ էլեկտրաէներգետիկական շուկայի ազատականացման պայմաններում փոփոխվելու է սակագնային կարգավորման ենթակա գործունեությունների ցանկը և նպատակ ունենալով ապահովել սահուն անցում էլեկտրաէներգետիկական շուկայի ազատականացված մոդելին,  անհրաժեշտություն է առաջացել համապատասխան փոփոխություններ և լրացումներ կատարել սակագների սահմանման և վերանայման կարգում՝ հստակեցնելով էլեկտրաէներգետիկական, գազամատակարարման և ջերմամատակարարման համակարգերում սակագնային կարգավորման ենթակա գործունեության ոլորտները՝ էներգետիկայի մասին օրենքի, ՀՀ էլեկտրաէներգետիկական մեծածախ շուկայի առևտրային կանոնների և այլ իրավական ակտերի պահանջներին համահունչ, այն է՝ առաջարկվող կարգավորումների համաձայն էներգետիկայի բնագավառում սակագների սահմանման և վերանայման կարգը չի տարածվելու </w:t>
      </w:r>
      <w:r w:rsidRPr="00FE2C95">
        <w:rPr>
          <w:rFonts w:ascii="GHEA Grapalat" w:hAnsi="GHEA Grapalat" w:cs="Sylfaen"/>
          <w:spacing w:val="-2"/>
          <w:sz w:val="24"/>
          <w:szCs w:val="24"/>
          <w:lang w:val="hy-AM"/>
        </w:rPr>
        <w:t>էլեկտրաէներգետիկական շուկայի նոր կանոններով նախատեսված մրցակցային պայմաններով գործող արտադրողների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վրա, որ</w:t>
      </w:r>
      <w:r w:rsidR="00DA2E5B">
        <w:rPr>
          <w:rFonts w:ascii="GHEA Grapalat" w:hAnsi="GHEA Grapalat" w:cs="Sylfaen"/>
          <w:spacing w:val="-2"/>
          <w:sz w:val="24"/>
          <w:szCs w:val="24"/>
          <w:lang w:val="hy-AM"/>
        </w:rPr>
        <w:t>ո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նք գործելու են լիարժեք մրցակցության պայմաններում և որոնցից առաքվող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lastRenderedPageBreak/>
        <w:t>էլեկտրական էներգիայի համար հանձնաժողովը սակագներ չի սահմանելու, ինչպես նաև կարգում</w:t>
      </w:r>
      <w:r w:rsidRPr="0083063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նախատեսվել է նոր հաշվեկշռման ծառայության համար կարգավորումները։</w:t>
      </w:r>
    </w:p>
    <w:p w:rsidR="00DA2E5B" w:rsidRPr="003B3DC3" w:rsidRDefault="00DA2E5B" w:rsidP="00DA2E5B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Բացի այդ, անհրաժեշտություն է առաջացել իրականացնելու խմբագրական բնույթի փոփոխություններ։ </w:t>
      </w:r>
    </w:p>
    <w:p w:rsidR="008B5E24" w:rsidRDefault="008B5E24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3169E" w:rsidRPr="00D3169E" w:rsidRDefault="00D3169E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 w:rsidRPr="00D3169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3169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Կարգավորման նպատակը և բնույթը</w:t>
      </w:r>
    </w:p>
    <w:p w:rsidR="00D3169E" w:rsidRDefault="00D3169E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նախագծ</w:t>
      </w:r>
      <w:r w:rsidR="00DA2E5B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ի նպատակը ՀՀ էլեկտրաէներգետիկական մեծածախ շուկայի ազատականացման և մրցակցային բաղադրիչների ներդրման համար համապատասխան իրավական և տնտեսական նախադրյալների ստեղծումն է, և դրանք կանոնակարգող իրավական ակտերի հետևողական կատարելագործումը։ Այդ նպատակով որոշման նախագծ</w:t>
      </w:r>
      <w:r w:rsidR="00DA2E5B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ում հստակեցվել են էլեկտրաէներգետիկական մեծածախ շուկայի նոր մոդելի գործարկման գործընթացները և դրա իրականացման ժամկետները</w:t>
      </w:r>
      <w:r w:rsidR="00DA2E5B">
        <w:rPr>
          <w:rFonts w:ascii="GHEA Grapalat" w:eastAsia="Times New Roman" w:hAnsi="GHEA Grapalat" w:cs="Times New Roman"/>
          <w:sz w:val="24"/>
          <w:szCs w:val="24"/>
          <w:lang w:val="hy-AM"/>
        </w:rPr>
        <w:t>, ինչպես նաև սակագների սահմանման և վերանայման ընթացակարգային հարցեր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994BF7" w:rsidRPr="00994BF7" w:rsidRDefault="00994BF7" w:rsidP="00994BF7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4B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Որոշումների նախագծերով նախատեսվում </w:t>
      </w:r>
      <w:r w:rsidR="009E5D84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994BF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994BF7" w:rsidRDefault="00994BF7" w:rsidP="00994BF7">
      <w:pPr>
        <w:pStyle w:val="ListParagraph"/>
        <w:numPr>
          <w:ilvl w:val="0"/>
          <w:numId w:val="22"/>
        </w:num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սահման</w:t>
      </w:r>
      <w:r w:rsidRPr="00994B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մրցակ</w:t>
      </w:r>
      <w:r w:rsidRPr="00755F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ցային շուկայում մասնակիցների հարաբերությունների լրացուցիչ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անցումային կարգավորումներ,</w:t>
      </w:r>
    </w:p>
    <w:p w:rsidR="00994BF7" w:rsidRPr="00994BF7" w:rsidRDefault="00994BF7" w:rsidP="00994BF7">
      <w:pPr>
        <w:pStyle w:val="ListParagraph"/>
        <w:numPr>
          <w:ilvl w:val="0"/>
          <w:numId w:val="22"/>
        </w:num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հստակեցնել </w:t>
      </w:r>
      <w:r w:rsidRPr="00994BF7">
        <w:rPr>
          <w:rFonts w:ascii="GHEA Grapalat" w:eastAsia="Times New Roman" w:hAnsi="GHEA Grapalat" w:cs="Times New Roman"/>
          <w:sz w:val="24"/>
          <w:szCs w:val="24"/>
          <w:lang w:val="hy-AM"/>
        </w:rPr>
        <w:t>էներգետիկայի բնագավառում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94BF7">
        <w:rPr>
          <w:rFonts w:ascii="GHEA Grapalat" w:eastAsia="Times New Roman" w:hAnsi="GHEA Grapalat" w:cs="Times New Roman"/>
          <w:sz w:val="24"/>
          <w:szCs w:val="24"/>
          <w:lang w:val="hy-AM"/>
        </w:rPr>
        <w:t>սակագների սահմանման և վերանայման կարգ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 իմաստով կարգավորման ենթակա էներգետիկայի բնագավառում գործունեությունների ցանկը, ինչպես նաև նշված կարգ</w:t>
      </w:r>
      <w:r w:rsidRPr="00994BF7">
        <w:rPr>
          <w:rFonts w:ascii="GHEA Grapalat" w:eastAsia="Times New Roman" w:hAnsi="GHEA Grapalat" w:cs="Times New Roman"/>
          <w:sz w:val="24"/>
          <w:szCs w:val="24"/>
          <w:lang w:val="hy-AM"/>
        </w:rPr>
        <w:t>ում նախատեսել դրույթներ՝ էլեկտրաէներգետիկական շուկայի նոր կանոններով նախատեսված հաշվեկշռման ծառայություն մատուցող արտադրողի համար,</w:t>
      </w:r>
    </w:p>
    <w:p w:rsidR="00994BF7" w:rsidRPr="00994BF7" w:rsidRDefault="00994BF7" w:rsidP="00994BF7">
      <w:pPr>
        <w:pStyle w:val="ListParagraph"/>
        <w:numPr>
          <w:ilvl w:val="0"/>
          <w:numId w:val="22"/>
        </w:num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4B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կատարել խմբագրական բնույթի փոփոխություններ։  </w:t>
      </w:r>
    </w:p>
    <w:p w:rsidR="00DA2E5B" w:rsidRPr="00D3169E" w:rsidRDefault="00DA2E5B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3169E" w:rsidRPr="008B5E24" w:rsidRDefault="00D3169E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hy-AM"/>
        </w:rPr>
      </w:pPr>
      <w:r w:rsidRPr="008B5E24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8B5E2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3.</w:t>
      </w:r>
      <w:r w:rsidRPr="008B5E24">
        <w:rPr>
          <w:rFonts w:ascii="Calibri" w:eastAsia="Times New Roman" w:hAnsi="Calibri" w:cs="Calibri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 </w:t>
      </w:r>
      <w:r w:rsidRPr="008B5E2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Նախագծի մշակման գործընթացում ներգրավված ինստիտուտները և անձինք</w:t>
      </w:r>
    </w:p>
    <w:p w:rsidR="00D3169E" w:rsidRDefault="00D3169E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Որոշման նախագ</w:t>
      </w:r>
      <w:r w:rsidR="00DA2E5B">
        <w:rPr>
          <w:rFonts w:ascii="GHEA Grapalat" w:eastAsia="Times New Roman" w:hAnsi="GHEA Grapalat" w:cs="Times New Roman"/>
          <w:sz w:val="24"/>
          <w:szCs w:val="24"/>
          <w:lang w:val="hy-AM"/>
        </w:rPr>
        <w:t>ծեր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մշակվել </w:t>
      </w:r>
      <w:r w:rsidR="00DA2E5B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հանրային ծառայությունները կարգավորող հանձնաժողովի կողմից՝ ԱՄՆ ՄԶԳ աջակցությամբ։</w:t>
      </w:r>
    </w:p>
    <w:p w:rsidR="00DA2E5B" w:rsidRPr="00D3169E" w:rsidRDefault="00DA2E5B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3169E" w:rsidRPr="00D3169E" w:rsidRDefault="00D3169E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169E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Pr="00D3169E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3169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hy-AM"/>
        </w:rPr>
        <w:t>Ակնկալվող արդյունքը</w:t>
      </w:r>
    </w:p>
    <w:p w:rsidR="009E5D84" w:rsidRPr="00743B06" w:rsidRDefault="00D3169E" w:rsidP="009E5D84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169E">
        <w:rPr>
          <w:rFonts w:ascii="GHEA Grapalat" w:hAnsi="GHEA Grapalat"/>
          <w:sz w:val="24"/>
          <w:szCs w:val="24"/>
          <w:lang w:val="hy-AM"/>
        </w:rPr>
        <w:t>Որոշման նախագծ</w:t>
      </w:r>
      <w:r w:rsidR="00DA2E5B">
        <w:rPr>
          <w:rFonts w:ascii="GHEA Grapalat" w:hAnsi="GHEA Grapalat"/>
          <w:sz w:val="24"/>
          <w:szCs w:val="24"/>
          <w:lang w:val="hy-AM"/>
        </w:rPr>
        <w:t>եր</w:t>
      </w:r>
      <w:r w:rsidRPr="00D3169E">
        <w:rPr>
          <w:rFonts w:ascii="GHEA Grapalat" w:hAnsi="GHEA Grapalat"/>
          <w:sz w:val="24"/>
          <w:szCs w:val="24"/>
          <w:lang w:val="hy-AM"/>
        </w:rPr>
        <w:t>ի ընդունմամբ կապահովի 2022 թվականի փետրվարի 1-ից Էլեկտրաէներգետիկական մեծածախ շուկայի նոր մոդելին անցումը</w:t>
      </w:r>
      <w:r w:rsidR="009E5D84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9E5D84" w:rsidRPr="008B7849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D84" w:rsidRPr="00743B06">
        <w:rPr>
          <w:rFonts w:ascii="GHEA Grapalat" w:hAnsi="GHEA Grapalat" w:cs="Sylfaen"/>
          <w:sz w:val="24"/>
          <w:szCs w:val="24"/>
          <w:lang w:val="hy-AM"/>
        </w:rPr>
        <w:t xml:space="preserve">էլեկտրաէներգետիկական համակարգի ընկերությունների նկատմամբ </w:t>
      </w:r>
      <w:r w:rsidR="009E5D84">
        <w:rPr>
          <w:rFonts w:ascii="GHEA Grapalat" w:hAnsi="GHEA Grapalat"/>
          <w:sz w:val="24"/>
          <w:szCs w:val="24"/>
          <w:lang w:val="hy-AM"/>
        </w:rPr>
        <w:t xml:space="preserve">կկիրառվի շուկայի նոր կանոններին համահունչ </w:t>
      </w:r>
      <w:r w:rsidR="009E5D84" w:rsidRPr="00743B06">
        <w:rPr>
          <w:rFonts w:ascii="GHEA Grapalat" w:hAnsi="GHEA Grapalat" w:cs="Sylfaen"/>
          <w:sz w:val="24"/>
          <w:szCs w:val="24"/>
          <w:lang w:val="hy-AM"/>
        </w:rPr>
        <w:t>սակագնային քաղաքականությ</w:t>
      </w:r>
      <w:r w:rsidR="009E5D84">
        <w:rPr>
          <w:rFonts w:ascii="GHEA Grapalat" w:hAnsi="GHEA Grapalat" w:cs="Sylfaen"/>
          <w:sz w:val="24"/>
          <w:szCs w:val="24"/>
          <w:lang w:val="hy-AM"/>
        </w:rPr>
        <w:t>ուն և կհստակեցվի սակագների սահմանման և վերանայման ընթացակարգը։</w:t>
      </w:r>
    </w:p>
    <w:p w:rsidR="00D3169E" w:rsidRPr="00D3169E" w:rsidRDefault="00D3169E" w:rsidP="008B5E24">
      <w:pPr>
        <w:shd w:val="clear" w:color="auto" w:fill="FFFFFF"/>
        <w:spacing w:before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51FED" w:rsidRPr="00D3169E" w:rsidRDefault="00751FED" w:rsidP="008B5E24">
      <w:pPr>
        <w:spacing w:before="0" w:line="360" w:lineRule="auto"/>
        <w:jc w:val="both"/>
        <w:rPr>
          <w:rFonts w:ascii="GHEA Grapalat" w:hAnsi="GHEA Grapalat"/>
          <w:lang w:val="hy-AM"/>
        </w:rPr>
      </w:pPr>
    </w:p>
    <w:sectPr w:rsidR="00751FED" w:rsidRPr="00D3169E" w:rsidSect="00D90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Unicode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DF8"/>
    <w:multiLevelType w:val="multilevel"/>
    <w:tmpl w:val="3ECC8734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605B8F"/>
    <w:multiLevelType w:val="multilevel"/>
    <w:tmpl w:val="F79C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CF6724"/>
    <w:multiLevelType w:val="hybridMultilevel"/>
    <w:tmpl w:val="22DC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90DEA"/>
    <w:multiLevelType w:val="hybridMultilevel"/>
    <w:tmpl w:val="2CA662BA"/>
    <w:lvl w:ilvl="0" w:tplc="47FCEC1A">
      <w:start w:val="1"/>
      <w:numFmt w:val="decimal"/>
      <w:lvlText w:val="%1."/>
      <w:lvlJc w:val="left"/>
      <w:pPr>
        <w:ind w:left="786" w:hanging="360"/>
      </w:pPr>
      <w:rPr>
        <w:rFonts w:ascii="Cambria Math" w:hAnsi="Cambria Math" w:cs="ArTarumianTime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2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9E"/>
    <w:rsid w:val="00014F8F"/>
    <w:rsid w:val="000641B8"/>
    <w:rsid w:val="00085AA7"/>
    <w:rsid w:val="002332C9"/>
    <w:rsid w:val="00263FAD"/>
    <w:rsid w:val="002836F6"/>
    <w:rsid w:val="002C4070"/>
    <w:rsid w:val="00337655"/>
    <w:rsid w:val="0038541D"/>
    <w:rsid w:val="00421213"/>
    <w:rsid w:val="0047477A"/>
    <w:rsid w:val="004E455C"/>
    <w:rsid w:val="0054160D"/>
    <w:rsid w:val="0056074D"/>
    <w:rsid w:val="0056628A"/>
    <w:rsid w:val="005B49F0"/>
    <w:rsid w:val="005F1E7F"/>
    <w:rsid w:val="0062449E"/>
    <w:rsid w:val="00751FED"/>
    <w:rsid w:val="007530C3"/>
    <w:rsid w:val="00754F58"/>
    <w:rsid w:val="00755FA5"/>
    <w:rsid w:val="007606EF"/>
    <w:rsid w:val="007666F3"/>
    <w:rsid w:val="00784D11"/>
    <w:rsid w:val="007A405C"/>
    <w:rsid w:val="007B532D"/>
    <w:rsid w:val="007D3107"/>
    <w:rsid w:val="00890E8C"/>
    <w:rsid w:val="008A291A"/>
    <w:rsid w:val="008B5E24"/>
    <w:rsid w:val="008B7900"/>
    <w:rsid w:val="008F1CB4"/>
    <w:rsid w:val="008F7FA5"/>
    <w:rsid w:val="00913FBD"/>
    <w:rsid w:val="0097515C"/>
    <w:rsid w:val="00994BF7"/>
    <w:rsid w:val="009B34E8"/>
    <w:rsid w:val="009E5D84"/>
    <w:rsid w:val="00A07A9B"/>
    <w:rsid w:val="00A7315D"/>
    <w:rsid w:val="00AA1977"/>
    <w:rsid w:val="00AA52C6"/>
    <w:rsid w:val="00AC02B8"/>
    <w:rsid w:val="00AC559F"/>
    <w:rsid w:val="00AC6B70"/>
    <w:rsid w:val="00B70A15"/>
    <w:rsid w:val="00BA6885"/>
    <w:rsid w:val="00BC0559"/>
    <w:rsid w:val="00BD3A3A"/>
    <w:rsid w:val="00BF7C93"/>
    <w:rsid w:val="00C47F8A"/>
    <w:rsid w:val="00C60C71"/>
    <w:rsid w:val="00C7450F"/>
    <w:rsid w:val="00CA4D2F"/>
    <w:rsid w:val="00CB2CC9"/>
    <w:rsid w:val="00CB62C4"/>
    <w:rsid w:val="00CF2F8F"/>
    <w:rsid w:val="00D3169E"/>
    <w:rsid w:val="00D34F32"/>
    <w:rsid w:val="00D427E7"/>
    <w:rsid w:val="00D842E4"/>
    <w:rsid w:val="00D90DA9"/>
    <w:rsid w:val="00DA2E5B"/>
    <w:rsid w:val="00DD4A17"/>
    <w:rsid w:val="00DF43EF"/>
    <w:rsid w:val="00EF1DA7"/>
    <w:rsid w:val="00F05AA8"/>
    <w:rsid w:val="00F201C7"/>
    <w:rsid w:val="00FB749D"/>
    <w:rsid w:val="00FE08CE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F83D"/>
  <w15:docId w15:val="{7BF11AAA-9917-4AFD-BA11-274175FE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15"/>
  </w:style>
  <w:style w:type="paragraph" w:styleId="Heading1">
    <w:name w:val="heading 1"/>
    <w:basedOn w:val="Agr1"/>
    <w:next w:val="Normal"/>
    <w:link w:val="Heading1Char"/>
    <w:uiPriority w:val="9"/>
    <w:qFormat/>
    <w:rsid w:val="00B7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B70A15"/>
    <w:pPr>
      <w:spacing w:before="120"/>
    </w:pPr>
  </w:style>
  <w:style w:type="paragraph" w:customStyle="1" w:styleId="Rus2">
    <w:name w:val="Rus_2"/>
    <w:basedOn w:val="Normal"/>
    <w:qFormat/>
    <w:rsid w:val="00B70A15"/>
    <w:pPr>
      <w:keepLines/>
      <w:numPr>
        <w:ilvl w:val="1"/>
        <w:numId w:val="15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B70A15"/>
  </w:style>
  <w:style w:type="paragraph" w:customStyle="1" w:styleId="Rus3">
    <w:name w:val="Rus_3"/>
    <w:basedOn w:val="Normal"/>
    <w:qFormat/>
    <w:rsid w:val="00B70A15"/>
    <w:pPr>
      <w:keepLines/>
      <w:numPr>
        <w:ilvl w:val="2"/>
        <w:numId w:val="15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B70A15"/>
    <w:pPr>
      <w:keepNext/>
      <w:numPr>
        <w:numId w:val="15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B70A15"/>
    <w:pPr>
      <w:keepLines/>
      <w:numPr>
        <w:ilvl w:val="3"/>
        <w:numId w:val="16"/>
      </w:numPr>
      <w:tabs>
        <w:tab w:val="left" w:pos="1644"/>
      </w:tabs>
      <w:spacing w:before="60"/>
    </w:pPr>
    <w:rPr>
      <w:rFonts w:ascii="Times Unicode" w:eastAsia="Times New Roman" w:hAnsi="Times Unicode" w:cs="Times New Roman"/>
      <w:lang w:eastAsia="ru-RU"/>
    </w:rPr>
  </w:style>
  <w:style w:type="paragraph" w:customStyle="1" w:styleId="Agr2">
    <w:name w:val="Agr_2"/>
    <w:basedOn w:val="Agr1"/>
    <w:qFormat/>
    <w:rsid w:val="00B70A15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B70A15"/>
    <w:pPr>
      <w:keepNext/>
      <w:numPr>
        <w:numId w:val="19"/>
      </w:numPr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B70A15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table" w:customStyle="1" w:styleId="TableGrid1">
    <w:name w:val="Table Grid1"/>
    <w:basedOn w:val="TableNormal"/>
    <w:next w:val="TableGrid"/>
    <w:uiPriority w:val="39"/>
    <w:rsid w:val="00B70A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0A15"/>
    <w:rPr>
      <w:rFonts w:eastAsiaTheme="minorEastAsia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0A15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B70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15"/>
    <w:rPr>
      <w:rFonts w:ascii="Times New Roman" w:eastAsiaTheme="minorEastAsia" w:hAnsi="Times New Roman"/>
      <w:sz w:val="20"/>
      <w:szCs w:val="20"/>
      <w:lang w:val="ru-RU" w:eastAsia="zh-CN"/>
    </w:rPr>
  </w:style>
  <w:style w:type="paragraph" w:styleId="Header">
    <w:name w:val="header"/>
    <w:basedOn w:val="Normal"/>
    <w:link w:val="Head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70A15"/>
    <w:rPr>
      <w:rFonts w:ascii="Times New Roman" w:eastAsiaTheme="minorEastAsia" w:hAnsi="Times New Roman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70A15"/>
    <w:rPr>
      <w:rFonts w:ascii="Times New Roman" w:eastAsiaTheme="minorEastAsia" w:hAnsi="Times New Roman"/>
      <w:lang w:val="ru-R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70A1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0A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0A15"/>
    <w:rPr>
      <w:b/>
      <w:bCs/>
    </w:rPr>
  </w:style>
  <w:style w:type="character" w:styleId="Emphasis">
    <w:name w:val="Emphasis"/>
    <w:basedOn w:val="DefaultParagraphFont"/>
    <w:uiPriority w:val="20"/>
    <w:qFormat/>
    <w:rsid w:val="00B70A15"/>
    <w:rPr>
      <w:i/>
      <w:iCs/>
    </w:rPr>
  </w:style>
  <w:style w:type="paragraph" w:styleId="NormalWeb">
    <w:name w:val="Normal (Web)"/>
    <w:basedOn w:val="Normal"/>
    <w:uiPriority w:val="99"/>
    <w:unhideWhenUsed/>
    <w:rsid w:val="00B70A1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15"/>
    <w:rPr>
      <w:rFonts w:ascii="Times New Roman" w:eastAsiaTheme="minorEastAsia" w:hAnsi="Times New Roman"/>
      <w:b/>
      <w:bCs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15"/>
    <w:rPr>
      <w:rFonts w:ascii="Segoe UI" w:eastAsiaTheme="minorEastAsia" w:hAnsi="Segoe UI" w:cs="Segoe UI"/>
      <w:sz w:val="18"/>
      <w:szCs w:val="18"/>
      <w:lang w:val="ru-RU" w:eastAsia="zh-CN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B70A15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B70A15"/>
    <w:rPr>
      <w:rFonts w:ascii="Times New Roman" w:eastAsiaTheme="minorEastAsia" w:hAnsi="Times New Roman"/>
      <w:lang w:val="ru-RU" w:eastAsia="zh-CN"/>
    </w:rPr>
  </w:style>
  <w:style w:type="paragraph" w:styleId="BodyText3">
    <w:name w:val="Body Text 3"/>
    <w:basedOn w:val="Normal"/>
    <w:link w:val="BodyText3Char"/>
    <w:rsid w:val="009E5D84"/>
    <w:pPr>
      <w:spacing w:before="0" w:after="120"/>
    </w:pPr>
    <w:rPr>
      <w:rFonts w:eastAsia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9E5D84"/>
    <w:rPr>
      <w:rFonts w:eastAsia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5088-F2EB-4282-836D-D86F0D66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Mashinyan, Mane</dc:creator>
  <cp:lastModifiedBy>Mariam Momjyan</cp:lastModifiedBy>
  <cp:revision>11</cp:revision>
  <cp:lastPrinted>2021-11-22T11:26:00Z</cp:lastPrinted>
  <dcterms:created xsi:type="dcterms:W3CDTF">2021-11-22T11:06:00Z</dcterms:created>
  <dcterms:modified xsi:type="dcterms:W3CDTF">2021-11-22T14:20:00Z</dcterms:modified>
</cp:coreProperties>
</file>