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4E36" w14:textId="6CEACD2A" w:rsidR="00BF34E1" w:rsidRPr="00553E9D" w:rsidRDefault="00C4577B" w:rsidP="00C4577B">
      <w:pPr>
        <w:pStyle w:val="ListParagraph"/>
        <w:spacing w:line="240" w:lineRule="auto"/>
        <w:jc w:val="right"/>
        <w:rPr>
          <w:rFonts w:ascii="GHEA Grapalat" w:hAnsi="GHEA Grapalat"/>
          <w:lang w:val="hy-AM"/>
        </w:rPr>
      </w:pPr>
      <w:bookmarkStart w:id="0" w:name="_Hlk223690459"/>
      <w:r w:rsidRPr="00553E9D">
        <w:rPr>
          <w:rFonts w:ascii="GHEA Grapalat" w:hAnsi="GHEA Grapalat"/>
          <w:lang w:val="hy-AM"/>
        </w:rPr>
        <w:t>Հավելված</w:t>
      </w:r>
      <w:r w:rsidR="00FC3265" w:rsidRPr="00553E9D">
        <w:rPr>
          <w:rFonts w:ascii="GHEA Grapalat" w:hAnsi="GHEA Grapalat"/>
          <w:lang w:val="hy-AM"/>
        </w:rPr>
        <w:t xml:space="preserve"> </w:t>
      </w:r>
      <w:r w:rsidR="00897E6E" w:rsidRPr="00553E9D">
        <w:rPr>
          <w:rFonts w:ascii="GHEA Grapalat" w:hAnsi="GHEA Grapalat"/>
          <w:lang w:val="hy-AM"/>
        </w:rPr>
        <w:t xml:space="preserve">N </w:t>
      </w:r>
      <w:r w:rsidR="00FC3265" w:rsidRPr="00553E9D">
        <w:rPr>
          <w:rFonts w:ascii="GHEA Grapalat" w:hAnsi="GHEA Grapalat"/>
          <w:lang w:val="hy-AM"/>
        </w:rPr>
        <w:t>1</w:t>
      </w:r>
    </w:p>
    <w:p w14:paraId="3AD0DB30" w14:textId="45C23542" w:rsidR="00C4577B" w:rsidRPr="00553E9D" w:rsidRDefault="00C4577B" w:rsidP="00C4577B">
      <w:pPr>
        <w:pStyle w:val="ListParagraph"/>
        <w:spacing w:line="240" w:lineRule="auto"/>
        <w:jc w:val="right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ՀՀ կառավարության 202</w:t>
      </w:r>
      <w:r w:rsidR="009E2E48" w:rsidRPr="00553E9D">
        <w:rPr>
          <w:rFonts w:ascii="GHEA Grapalat" w:hAnsi="GHEA Grapalat"/>
          <w:lang w:val="hy-AM"/>
        </w:rPr>
        <w:t>6</w:t>
      </w:r>
      <w:r w:rsidRPr="00553E9D">
        <w:rPr>
          <w:rFonts w:ascii="GHEA Grapalat" w:hAnsi="GHEA Grapalat"/>
          <w:lang w:val="hy-AM"/>
        </w:rPr>
        <w:t xml:space="preserve"> թվականի</w:t>
      </w:r>
    </w:p>
    <w:p w14:paraId="74F8C8CC" w14:textId="46C3A0E5" w:rsidR="00F02ADF" w:rsidRPr="00553E9D" w:rsidRDefault="00C4577B" w:rsidP="00C4577B">
      <w:pPr>
        <w:pStyle w:val="ListParagraph"/>
        <w:spacing w:line="240" w:lineRule="auto"/>
        <w:ind w:left="0"/>
        <w:jc w:val="right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 xml:space="preserve">------ </w:t>
      </w:r>
      <w:r w:rsidR="000E2CCF" w:rsidRPr="00553E9D">
        <w:rPr>
          <w:rFonts w:ascii="GHEA Grapalat" w:hAnsi="GHEA Grapalat"/>
          <w:lang w:val="hy-AM"/>
        </w:rPr>
        <w:t xml:space="preserve"> </w:t>
      </w:r>
      <w:r w:rsidRPr="00553E9D">
        <w:rPr>
          <w:rFonts w:ascii="GHEA Grapalat" w:hAnsi="GHEA Grapalat"/>
          <w:lang w:val="hy-AM"/>
        </w:rPr>
        <w:t>-----  -Ն որոշման</w:t>
      </w:r>
    </w:p>
    <w:p w14:paraId="5A004A5B" w14:textId="77777777" w:rsidR="00897E6E" w:rsidRPr="00553E9D" w:rsidRDefault="00897E6E" w:rsidP="00C4577B">
      <w:pPr>
        <w:pStyle w:val="ListParagraph"/>
        <w:spacing w:line="240" w:lineRule="auto"/>
        <w:ind w:left="0"/>
        <w:jc w:val="right"/>
        <w:rPr>
          <w:rFonts w:ascii="GHEA Grapalat" w:hAnsi="GHEA Grapalat"/>
          <w:lang w:val="hy-AM"/>
        </w:rPr>
      </w:pPr>
    </w:p>
    <w:p w14:paraId="6394C4A3" w14:textId="77777777" w:rsidR="00C77E00" w:rsidRPr="00553E9D" w:rsidRDefault="00C77E00" w:rsidP="00C4577B">
      <w:pPr>
        <w:pStyle w:val="ListParagraph"/>
        <w:spacing w:line="240" w:lineRule="auto"/>
        <w:ind w:left="0"/>
        <w:jc w:val="right"/>
        <w:rPr>
          <w:rFonts w:ascii="GHEA Grapalat" w:hAnsi="GHEA Grapalat"/>
          <w:sz w:val="20"/>
          <w:szCs w:val="20"/>
          <w:lang w:val="hy-AM"/>
        </w:rPr>
      </w:pPr>
    </w:p>
    <w:bookmarkEnd w:id="0"/>
    <w:p w14:paraId="39FB7599" w14:textId="1F7A4C4C" w:rsidR="00897E6E" w:rsidRPr="00553E9D" w:rsidRDefault="00897E6E" w:rsidP="003948A6">
      <w:pPr>
        <w:pStyle w:val="ListParagraph"/>
        <w:spacing w:line="276" w:lineRule="auto"/>
        <w:jc w:val="right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«Հավելված N 1</w:t>
      </w:r>
    </w:p>
    <w:p w14:paraId="7EDB323D" w14:textId="4D5654D4" w:rsidR="00897E6E" w:rsidRPr="00553E9D" w:rsidRDefault="00897E6E" w:rsidP="003948A6">
      <w:pPr>
        <w:pStyle w:val="ListParagraph"/>
        <w:spacing w:line="276" w:lineRule="auto"/>
        <w:jc w:val="right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ՀՀ կառավարության 2003 թվականի</w:t>
      </w:r>
    </w:p>
    <w:p w14:paraId="3A234F30" w14:textId="493F6108" w:rsidR="00897E6E" w:rsidRPr="00553E9D" w:rsidRDefault="00897E6E" w:rsidP="003948A6">
      <w:pPr>
        <w:pStyle w:val="ListParagraph"/>
        <w:spacing w:line="276" w:lineRule="auto"/>
        <w:ind w:left="0"/>
        <w:jc w:val="right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մարտի 27-ի 347-Ն որոշման</w:t>
      </w:r>
    </w:p>
    <w:p w14:paraId="26A361DD" w14:textId="77777777" w:rsidR="00C77E00" w:rsidRPr="00553E9D" w:rsidRDefault="00C77E00" w:rsidP="00C77E00">
      <w:pPr>
        <w:pStyle w:val="ListParagraph"/>
        <w:spacing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3EEEA926" w14:textId="77777777" w:rsidR="00671ED6" w:rsidRPr="00553E9D" w:rsidRDefault="00671ED6" w:rsidP="00671ED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ru-RU"/>
          <w14:ligatures w14:val="none"/>
        </w:rPr>
        <w:t>Կ Ա Ր Գ</w:t>
      </w:r>
    </w:p>
    <w:p w14:paraId="64DBE328" w14:textId="77777777" w:rsidR="00671ED6" w:rsidRPr="00553E9D" w:rsidRDefault="00671ED6" w:rsidP="00671ED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Calibri" w:eastAsia="Times New Roman" w:hAnsi="Calibri" w:cs="Calibri"/>
          <w:color w:val="000000"/>
          <w:kern w:val="0"/>
          <w:lang w:val="hy-AM" w:eastAsia="ru-RU"/>
          <w14:ligatures w14:val="none"/>
        </w:rPr>
        <w:t> </w:t>
      </w:r>
    </w:p>
    <w:p w14:paraId="62A652E4" w14:textId="5252205E" w:rsidR="00671ED6" w:rsidRPr="00553E9D" w:rsidRDefault="00671ED6" w:rsidP="005F5F62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ru-RU"/>
          <w14:ligatures w14:val="none"/>
        </w:rPr>
        <w:t>ԱՌՈՂՋԱԿԱՆ ՎԻՃԱԿԻ ՊԱՐՏԱԴԻՐ ՆԱԽՆԱԿԱՆ (ԱՇԽԱՏԱՆՔԻ ԸՆԴՈՒՆՎԵԼԻՍ) ԵՎ ՊԱՐԲԵՐԱԿԱՆ ԲԺՇԿԱԿԱՆ ԶՆՆՈՒԹՅԱՆ</w:t>
      </w:r>
    </w:p>
    <w:p w14:paraId="21C6DB1B" w14:textId="77777777" w:rsidR="00671ED6" w:rsidRPr="00553E9D" w:rsidRDefault="00671ED6" w:rsidP="005F5F62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Arial" w:eastAsia="Times New Roman" w:hAnsi="Arial" w:cs="Arial"/>
          <w:color w:val="000000"/>
          <w:kern w:val="0"/>
          <w:lang w:val="hy-AM" w:eastAsia="ru-RU"/>
          <w14:ligatures w14:val="none"/>
        </w:rPr>
        <w:t> </w:t>
      </w:r>
    </w:p>
    <w:p w14:paraId="4EF1DE99" w14:textId="4D8395C8" w:rsidR="00671ED6" w:rsidRPr="00553E9D" w:rsidRDefault="00671ED6" w:rsidP="003948A6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Առողջական վիճակի պարտադիր նախնական (աշխատանքի ընդունվելիս) և պարբերական բժշկական զննության ենթակա են</w:t>
      </w:r>
      <w:r w:rsidR="00897E6E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՝</w:t>
      </w:r>
      <w:r w:rsidR="003948A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897E6E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սույն որոշման </w:t>
      </w:r>
      <w:r w:rsidR="00F16EB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N </w:t>
      </w:r>
      <w:r w:rsidR="00897E6E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2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հավելված</w:t>
      </w:r>
      <w:r w:rsidR="00897E6E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հաստատված</w:t>
      </w:r>
      <w:r w:rsidR="0076029D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«Գործունեության </w:t>
      </w:r>
      <w:r w:rsidR="00897E6E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ոլորտների </w:t>
      </w:r>
      <w:r w:rsidR="0076029D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և</w:t>
      </w:r>
      <w:r w:rsidR="003948A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76029D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բժշկական զննության ծավալի ու հաճախականության»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FC29E1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ցանկում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(այսուհետ՝ Ցանկ) նշված կազմակերպություններում</w:t>
      </w:r>
      <w:r w:rsidR="003F2FBD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և </w:t>
      </w:r>
      <w:r w:rsidR="003F2FBD" w:rsidRPr="00553E9D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մասնագիտություններով</w:t>
      </w:r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hy-AM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աշխատանքի ընդունվող և աշխատող անձինք, անհատ ձեռնարկատերերը, կամավոր աշխատանքի ներգրավվող կամ ներգրավված անձինք</w:t>
      </w:r>
      <w:r w:rsidR="003F2FBD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  <w:r w:rsidR="003948A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9E5F8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bookmarkStart w:id="1" w:name="_Hlk226453005"/>
      <w:r w:rsidR="009E5F8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մասնագիտական կրթության և ուսուցման ծրագրով աշխատանքի վրա հիմնված ուսումնառության շրջանակում սահմանված որոշակի աշխատանք կատարող սովորողները, </w:t>
      </w:r>
      <w:bookmarkEnd w:id="1"/>
      <w:r w:rsidR="009E5F8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աշխատանքային պրակտիկա անցնող անձինք`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F908A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Ցանկով սահմանված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բժշկական զննության ծավալով ու հաճախականությամբ:</w:t>
      </w:r>
    </w:p>
    <w:p w14:paraId="2FF57C8F" w14:textId="5871DB49" w:rsidR="00671ED6" w:rsidRPr="00553E9D" w:rsidRDefault="00671ED6" w:rsidP="005F5F62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Բժշկական զննության գործընթացն իրականացնում են բժիշկ-մասնագետները</w:t>
      </w:r>
      <w:r w:rsidR="00F908A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՝ համաձայն</w:t>
      </w:r>
      <w:r w:rsidR="00C77E0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սույն կարգի և</w:t>
      </w:r>
      <w:r w:rsidR="00F908A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Ցանկի:</w:t>
      </w:r>
    </w:p>
    <w:p w14:paraId="77B83FC8" w14:textId="2D0F8277" w:rsidR="00671ED6" w:rsidRPr="00553E9D" w:rsidRDefault="00671ED6" w:rsidP="005F5F62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Պարտադիր նախնական (աշխատանքի ընդունվելիս) և պարբերական բժշկական զննություն անցկացվում է օրենքով սահմանված կարգով տրված բժշկական օգնության և սպասարկման համապատասխան տեսակ իրականացնելու լիցենզիա ունեցող բժշկական օգնություն և սպասարկում իրականացնող կազմակերպությունում (այսուհետ՝ բժշկական կազմակերպություն): Բժշկական կազմակերպության Ցանկին համապատասխան բժշկական օգնության և սպասարկման որևէ տեսակի լիցենզիայի բացակայության դեպքում համապատասխան բժշկական օգնությունը և սպասարկումն (ներառյալ լաբորատոր</w:t>
      </w:r>
      <w:r w:rsidR="006177A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lastRenderedPageBreak/>
        <w:t>գործիքային հետազոտությունները) իրականացվում է օրենքով սահմանված կարգով տրված բժշկական օգնության և սպասարկման համապատասխան տեսակ իրականացնելու լիցենզիա ունեցող այլ բժշկական կազմակերպության կողմից` պայմանագրային հիմունքներով:</w:t>
      </w:r>
    </w:p>
    <w:p w14:paraId="7273C095" w14:textId="55F279E0" w:rsidR="00671ED6" w:rsidRPr="00553E9D" w:rsidRDefault="00671ED6" w:rsidP="005F5F6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Բժշկական </w:t>
      </w:r>
      <w:r w:rsidR="00B11651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զննության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ժամանակ բժիշկ-թերապևտը (ընտանեկան բժիշկը, մինչև 18 տարեկան անձանց համար՝ մանկաբույժը)</w:t>
      </w:r>
      <w:r w:rsidRPr="00553E9D">
        <w:rPr>
          <w:rFonts w:ascii="Arial" w:eastAsia="Times New Roman" w:hAnsi="Arial" w:cs="Arial"/>
          <w:color w:val="000000"/>
          <w:kern w:val="0"/>
          <w:lang w:val="hy-AM" w:eastAsia="ru-RU"/>
          <w14:ligatures w14:val="none"/>
        </w:rPr>
        <w:t> 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hy-AM" w:eastAsia="ru-RU"/>
          <w14:ligatures w14:val="none"/>
        </w:rPr>
        <w:t xml:space="preserve"> պարտավոր 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`</w:t>
      </w:r>
    </w:p>
    <w:p w14:paraId="5DB007BE" w14:textId="1C7DED95" w:rsidR="00671ED6" w:rsidRPr="00553E9D" w:rsidRDefault="00671ED6" w:rsidP="00F908A7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հավաքել մանրամասն տվյալներ դիմողի` նախկինում տարած վարակիչ հիվանդությունների մասին,</w:t>
      </w:r>
    </w:p>
    <w:p w14:paraId="5A33DC86" w14:textId="1A2B7448" w:rsidR="000E2CCF" w:rsidRPr="00553E9D" w:rsidRDefault="00671F29" w:rsidP="000E2CCF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Ցանկի 7-րդ կետում նշված կազմակերպություններում աշխատող անձանց դեպքում՝ </w:t>
      </w:r>
      <w:r w:rsidR="000E2CC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հարցման միջոցով պարզել</w:t>
      </w:r>
      <w:r w:rsidR="00546D0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`</w:t>
      </w:r>
      <w:r w:rsidR="000E2CC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տուբերկուլոզի հիմնական ախտանշանների առկայությունը</w:t>
      </w:r>
      <w:r w:rsidR="006177A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546D0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(</w:t>
      </w:r>
      <w:r w:rsidR="000E2CC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2 և ավելի շաբաթ տևողությամբ հազ, խորխարտադրություն, քաշի կորուստ, արյունախխում, ջերմություն, հոգնածության զգացում, գիշերային քրտնարտադրություն, կրծքավանդակի ցավ` հազալու կամ շնչելու ժամանակ, ախորժակի կորուստ</w:t>
      </w:r>
      <w:r w:rsidR="00546D0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) և</w:t>
      </w:r>
      <w:r w:rsidR="000E2CC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վերջին 3 ամսվա ընթացքում շփում</w:t>
      </w:r>
      <w:r w:rsidR="005F6B3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ը</w:t>
      </w:r>
      <w:r w:rsidR="000E2CC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տուբերկո</w:t>
      </w:r>
      <w:r w:rsidR="0051587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ւ</w:t>
      </w:r>
      <w:r w:rsidR="000E2CC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լոզ հիվանդության հաստատված դեպքի հետ</w:t>
      </w:r>
      <w:r w:rsidR="00E05A93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։ Հարցման արդյունքների հիման վրա բժիշկ-թերապևտի (ընտանեկան բժիշկը, մինչև 18 տարեկան անձանց համար՝ մանկաբույժը)</w:t>
      </w:r>
      <w:r w:rsidR="00611E5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կողմից</w:t>
      </w:r>
      <w:r w:rsidR="00E05A93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որոշում է կայացվում հետագա հետազոտութո</w:t>
      </w:r>
      <w:r w:rsidR="00D3554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ւ</w:t>
      </w:r>
      <w:r w:rsidR="00E05A93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յնների անհարաժեշտության վերաբերյալ՝ համաձայն սույն կարգի 6-րդ կետի 6-</w:t>
      </w:r>
      <w:r w:rsidR="00AF4F7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րդ ենթակետի,</w:t>
      </w:r>
    </w:p>
    <w:p w14:paraId="4525E85A" w14:textId="1A2D25A9" w:rsidR="00671ED6" w:rsidRPr="00553E9D" w:rsidRDefault="009E5F85" w:rsidP="005F5F62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իրականացնել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դիմողի ներքին օրգանների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վիճակի գնահատում՝ համապատասխան բժշկական զննության միջոցով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</w:p>
    <w:p w14:paraId="5B41280B" w14:textId="77777777" w:rsidR="008E1FE7" w:rsidRPr="00553E9D" w:rsidRDefault="00671ED6" w:rsidP="00F908A7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ուղեգրել դիմողին պահանջվող բժշկական և լաբորատոր-գործիքային հետազոտությունների,</w:t>
      </w:r>
    </w:p>
    <w:p w14:paraId="5A4FA6DA" w14:textId="0D352413" w:rsidR="00671ED6" w:rsidRPr="00553E9D" w:rsidRDefault="007F289D" w:rsidP="00992706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ուղեգրել</w:t>
      </w:r>
      <w:r w:rsidR="00E7499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տուբերկուլոզի նկատմամբ</w:t>
      </w:r>
      <w:r w:rsidR="00200CA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8E1FE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կրծքավանդակի գործիքային հետազոտություն միայն այն դեպքում, եթե</w:t>
      </w:r>
      <w:r w:rsidR="005B03A9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դիմողը</w:t>
      </w:r>
      <w:r w:rsidR="008E1FE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վերջին մեկ տարվա ընթացքում </w:t>
      </w:r>
      <w:r w:rsidR="00200CA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կրծքավանդակի գործիքային հետազոտությ</w:t>
      </w:r>
      <w:r w:rsidR="00D3302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</w:t>
      </w:r>
      <w:r w:rsidR="00200CA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ն </w:t>
      </w:r>
      <w:r w:rsidR="008E1FE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չի </w:t>
      </w:r>
      <w:r w:rsidR="00D3302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ենթարկվել</w:t>
      </w:r>
      <w:r w:rsidR="008E1FE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</w:p>
    <w:p w14:paraId="3C72EC53" w14:textId="77777777" w:rsidR="005E4E4F" w:rsidRPr="00553E9D" w:rsidRDefault="007F289D" w:rsidP="005E4E4F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ուղեգրել</w:t>
      </w:r>
      <w:r w:rsidR="00D069B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F31B7A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վիրուսային </w:t>
      </w:r>
      <w:r w:rsidR="00D069B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հեպատիտ Բ և </w:t>
      </w:r>
      <w:r w:rsidR="00F31B7A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վիրուսային </w:t>
      </w:r>
      <w:r w:rsidR="00D069B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հեպատիտ Ց նկատմամբ հետազոտություն միայն այն դեպքում, եթե</w:t>
      </w:r>
      <w:r w:rsidR="00D3302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դիմողը</w:t>
      </w:r>
      <w:r w:rsidR="00D069B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վերջին երեք ամսվա ընթացքում </w:t>
      </w:r>
      <w:r w:rsidR="00200CA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հեպատիտ Բ և հեպատիտ Ց նկատմամբ</w:t>
      </w:r>
      <w:r w:rsidR="00D069B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հետազոտությ</w:t>
      </w:r>
      <w:r w:rsidR="00D3302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</w:t>
      </w:r>
      <w:r w:rsidR="00D069B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ն չի </w:t>
      </w:r>
      <w:r w:rsidR="00D3302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ենթարկվել</w:t>
      </w:r>
      <w:r w:rsidR="00D069B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</w:p>
    <w:p w14:paraId="3CC0D116" w14:textId="0B018163" w:rsidR="00671ED6" w:rsidRPr="00553E9D" w:rsidRDefault="00671ED6" w:rsidP="005E4E4F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lastRenderedPageBreak/>
        <w:t xml:space="preserve">հիվանդության </w:t>
      </w:r>
      <w:r w:rsidR="007F289D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վերհուշի </w:t>
      </w:r>
      <w:r w:rsidR="00F908A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(անամնեզ)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մեջ դիմողի` նախկինում տարած աղիքային հիվանդությունների վերաբերյալ նշվելու դեպքում </w:t>
      </w:r>
      <w:r w:rsidR="009E2E48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այդ</w:t>
      </w:r>
      <w:r w:rsidR="00F908A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մասին </w:t>
      </w:r>
      <w:r w:rsidR="009E2E48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նշ</w:t>
      </w:r>
      <w:r w:rsidR="00D3554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ել</w:t>
      </w:r>
      <w:r w:rsidR="00D3302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լաբորատոր</w:t>
      </w:r>
      <w:r w:rsidR="009E5F8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հետազոտության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ուղեգրում:</w:t>
      </w:r>
      <w:r w:rsidR="00F908A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 </w:t>
      </w:r>
    </w:p>
    <w:p w14:paraId="4C22154E" w14:textId="77777777" w:rsidR="00671ED6" w:rsidRPr="00553E9D" w:rsidRDefault="00671ED6" w:rsidP="005F5F6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Բժիշկ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մաշկավեներաբ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պարտավոր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`</w:t>
      </w:r>
    </w:p>
    <w:p w14:paraId="529822C8" w14:textId="03FEAD27" w:rsidR="00671ED6" w:rsidRPr="00553E9D" w:rsidRDefault="00671ED6" w:rsidP="005F5F62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0" w:firstLine="0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մանրամասնորեն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զննել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մաշկը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դրա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մազածածկ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մակերեսը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ծալքերը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եղունգները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տեսանելի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լորձաթաղանթները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,</w:t>
      </w:r>
    </w:p>
    <w:p w14:paraId="317B3D81" w14:textId="6B731150" w:rsidR="00671ED6" w:rsidRPr="00553E9D" w:rsidRDefault="00671ED6" w:rsidP="009E2E48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շոշափել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ավշային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հանգույցները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:</w:t>
      </w:r>
    </w:p>
    <w:p w14:paraId="5FF35873" w14:textId="77777777" w:rsidR="00671ED6" w:rsidRPr="00553E9D" w:rsidRDefault="00671ED6" w:rsidP="005F5F6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Լաբորատոր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գործիքային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հետազոտություններ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իրականացվում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հետևյալ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մեթոդներով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`</w:t>
      </w:r>
    </w:p>
    <w:p w14:paraId="159524C6" w14:textId="25611C2C" w:rsidR="00671ED6" w:rsidRPr="00553E9D" w:rsidRDefault="00671ED6" w:rsidP="009E2E48">
      <w:pPr>
        <w:pStyle w:val="ListParagraph"/>
        <w:numPr>
          <w:ilvl w:val="1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սիֆիլիսի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նկատմամբ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`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միայն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էքսպրես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եղանակով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միկրոպրեցիպիտացիայի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ռեակցիայով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արյունը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վերցվում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միայն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ձեռքի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մատից</w:t>
      </w:r>
      <w:r w:rsidR="00A44128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</w:p>
    <w:p w14:paraId="15B0701D" w14:textId="7C0D0209" w:rsidR="00671ED6" w:rsidRPr="00553E9D" w:rsidRDefault="00671ED6" w:rsidP="009E2E48">
      <w:pPr>
        <w:pStyle w:val="ListParagraph"/>
        <w:numPr>
          <w:ilvl w:val="1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կոնտակտային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հելմինթոզների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նկատմամբ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`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կղանքի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շուրջհետանցքային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քերուկի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միջոցով</w:t>
      </w:r>
      <w:r w:rsidR="00A44128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</w:p>
    <w:p w14:paraId="2CC9B425" w14:textId="404437FA" w:rsidR="00671ED6" w:rsidRPr="00553E9D" w:rsidRDefault="00671ED6" w:rsidP="009E2E48">
      <w:pPr>
        <w:pStyle w:val="ListParagraph"/>
        <w:numPr>
          <w:ilvl w:val="1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աղիքային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վարակիչ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հիվանդությունների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ախտածին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հարուցիչների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ախտածին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ստաֆիլակոկի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նկատմամբ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`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մանրէաբանական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միջոցով</w:t>
      </w:r>
      <w:r w:rsidR="00A44128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</w:p>
    <w:p w14:paraId="5110BE57" w14:textId="46EBA494" w:rsidR="00671ED6" w:rsidRPr="00553E9D" w:rsidRDefault="00671ED6" w:rsidP="005F5F62">
      <w:pPr>
        <w:pStyle w:val="ListParagraph"/>
        <w:numPr>
          <w:ilvl w:val="1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վիրուսային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="00F31B7A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F31B7A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վիրուսային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0A52B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հեպատի</w:t>
      </w:r>
      <w:r w:rsidR="00CF102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տ</w:t>
      </w:r>
      <w:r w:rsidR="000A52B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նկատմամբ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`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շճաբանական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արագ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թեսթ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համակարգերով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կամ</w:t>
      </w:r>
      <w:r w:rsidRPr="00553E9D">
        <w:rPr>
          <w:rFonts w:ascii="Calibri" w:eastAsia="Calibri" w:hAnsi="Calibri" w:cs="Times New Roman"/>
          <w:kern w:val="0"/>
          <w:sz w:val="22"/>
          <w:szCs w:val="22"/>
          <w:lang w:val="pt-BR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իմունաֆերմենտային </w:t>
      </w:r>
      <w:r w:rsidR="000A52B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հետազոտության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մեթոդով</w:t>
      </w:r>
      <w:r w:rsidR="00D3302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</w:p>
    <w:p w14:paraId="0A62F3B7" w14:textId="7A38FD3E" w:rsidR="00671ED6" w:rsidRPr="00553E9D" w:rsidRDefault="00671ED6" w:rsidP="005F5F62">
      <w:pPr>
        <w:pStyle w:val="ListParagraph"/>
        <w:numPr>
          <w:ilvl w:val="1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ցուցման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դեպքում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`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քոսի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սնկային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հիվանդությունների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նկատմամբ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`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նատիվ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քերուկների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մանր</w:t>
      </w:r>
      <w:r w:rsidR="00F908A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ադիտմամբ</w:t>
      </w:r>
      <w:r w:rsidR="00D3302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</w:p>
    <w:p w14:paraId="6D93AC66" w14:textId="07063C6F" w:rsidR="00671ED6" w:rsidRPr="00553E9D" w:rsidRDefault="00671ED6" w:rsidP="005F5F62">
      <w:pPr>
        <w:pStyle w:val="ListParagraph"/>
        <w:numPr>
          <w:ilvl w:val="1"/>
          <w:numId w:val="2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տուբերկուլոզի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նկատմամբ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`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թոքերի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գործիքային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հետազոտությամբ</w:t>
      </w:r>
      <w:r w:rsidR="00F908A7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, ինչ</w:t>
      </w:r>
      <w:r w:rsidR="00003F41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ի</w:t>
      </w:r>
      <w:r w:rsidR="00F908A7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արդյունքում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տուբերկուլոզ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հիվանդության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ախտորոշման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դրա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կասկածի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դեպքում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տվյալ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հետազոտվում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վերջնական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ախտորոշումը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կատարվում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="00003F41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՝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համաձայն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0A52B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Հայաստանի Հանրապետության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առողջապահության</w:t>
      </w:r>
      <w:r w:rsidR="00F0736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նախարարի 2025 թվականի մարտի 20-ի N 34-Ն հրամանի։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</w:p>
    <w:p w14:paraId="5549C69B" w14:textId="49D1B4DE" w:rsidR="00671ED6" w:rsidRPr="00553E9D" w:rsidRDefault="00671ED6" w:rsidP="005F5F6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Բժիշկ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մասնագետ</w:t>
      </w:r>
      <w:r w:rsidR="008C5BD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զննություն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հետազոտություններ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)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կատարելուց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հետո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հակացուցումների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բացակայության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դեպքում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հետազոտվողի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սանիտարական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)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գրքույկում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003F41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գրանցում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մասնագիտական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եզրակացությունը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`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այն հաստատելով 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ստորագրությամբ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նշում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է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անունը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ազգանունը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։</w:t>
      </w:r>
    </w:p>
    <w:p w14:paraId="6F1BEFB9" w14:textId="0DEC3E24" w:rsidR="003779A3" w:rsidRPr="00553E9D" w:rsidRDefault="005C03EF" w:rsidP="005F5F6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Բ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ժշկական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զննություն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="00F31B7A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լաբորատոր-գործիքային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հետազոտությունը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այլ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bookmarkStart w:id="2" w:name="_Hlk223528371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կազմակերպություն</w:t>
      </w:r>
      <w:bookmarkEnd w:id="2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իրականացնելու դեպքում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վերջինիս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արդյունքները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lastRenderedPageBreak/>
        <w:t>հաստատվում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բժշկական զննությունը</w:t>
      </w:r>
      <w:r w:rsidR="00BF34E1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և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հետազոտություն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իրականացնող</w:t>
      </w:r>
      <w:r w:rsidR="00003F41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բժշկական կազմակերպության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կնիքով</w:t>
      </w:r>
      <w:r w:rsidR="003779A3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։</w:t>
      </w:r>
    </w:p>
    <w:p w14:paraId="58BD4C14" w14:textId="0465C451" w:rsidR="009F3CDB" w:rsidRPr="00553E9D" w:rsidRDefault="003779A3" w:rsidP="005F5F6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Աշխատողի</w:t>
      </w:r>
      <w:r w:rsidR="00F0736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  <w:r w:rsidR="00AB4CD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այդ թվում կամավոր աշխատանքի ներգրավվող կամ ներգրավված անձի, ինչպես նաև</w:t>
      </w:r>
      <w:r w:rsidR="00F869BE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մասնագիտական կրթության և ուսուցման ծրագրով աշխատանքի վրա հիմնված ուսումնառության շրջանակում սահմանված որոշակի աշխատանք կատարող սովորողի, </w:t>
      </w:r>
      <w:r w:rsidR="00AB4CD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աշխատանքային պրակտիկա անցնող անձի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ս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անիտարական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)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գրքույկը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43340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սույն ո</w:t>
      </w:r>
      <w:r w:rsidR="009F3CD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րոշման </w:t>
      </w:r>
      <w:r w:rsidR="0043340F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N 3</w:t>
      </w:r>
      <w:r w:rsidR="00F16EB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հավելված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ձևին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չհամապատասխան</w:t>
      </w:r>
      <w:r w:rsidR="009F3CD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ելու դեպքում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այն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համարվում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անվավեր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: </w:t>
      </w:r>
    </w:p>
    <w:p w14:paraId="7A967998" w14:textId="6AB85D13" w:rsidR="00671ED6" w:rsidRPr="00553E9D" w:rsidRDefault="00671ED6" w:rsidP="005F5F6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կազմակերպության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7741E9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ղեկավարը</w:t>
      </w:r>
      <w:r w:rsidRPr="00553E9D">
        <w:rPr>
          <w:rFonts w:ascii="Calibri" w:eastAsia="Calibri" w:hAnsi="Calibri" w:cs="Times New Roman"/>
          <w:kern w:val="0"/>
          <w:sz w:val="22"/>
          <w:szCs w:val="22"/>
          <w:lang w:val="pt-BR"/>
          <w14:ligatures w14:val="none"/>
        </w:rPr>
        <w:t xml:space="preserve"> </w:t>
      </w:r>
      <w:r w:rsidR="009F3CDB" w:rsidRPr="00553E9D">
        <w:rPr>
          <w:rFonts w:ascii="GHEA Grapalat" w:eastAsia="Calibri" w:hAnsi="GHEA Grapalat" w:cs="Times New Roman"/>
          <w:kern w:val="0"/>
          <w:lang w:val="pt-BR"/>
          <w14:ligatures w14:val="none"/>
        </w:rPr>
        <w:t>բ</w:t>
      </w:r>
      <w:r w:rsidR="009F3CD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ժշկական</w:t>
      </w:r>
      <w:r w:rsidR="009F3CD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9F3CD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</w:t>
      </w:r>
      <w:r w:rsidR="009F3CD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ան արդյունքում</w:t>
      </w:r>
      <w:r w:rsidR="009F3CD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հայտնաբերված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դրական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արդյունքների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վերաբերյալ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անմիջապես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էլեկտրոնային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ձևաչափով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հեռախոսով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հաղորդում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այնուհետև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24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ժամվա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ընթացքում՝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գրավոր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տեղեկատվություն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ներկայացնում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3302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դիմողի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բնակության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վայրի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Հայաստանի</w:t>
      </w:r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Հանրապետության</w:t>
      </w:r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</w:t>
      </w:r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ռողջապահական</w:t>
      </w:r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աշխատանքի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տեսչական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մարմնի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տարածքային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ստորաբաժանում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:</w:t>
      </w:r>
    </w:p>
    <w:p w14:paraId="79C3B36D" w14:textId="05A25175" w:rsidR="00671ED6" w:rsidRPr="00553E9D" w:rsidRDefault="00671ED6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Ցանկում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ներառված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կազմակերպություններում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ու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համապատասխան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մասնագիտություններով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աշխատող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անձանց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մինչև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համապատասխան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բուժման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ավարտը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լաբորատոր</w:t>
      </w:r>
      <w:r w:rsidR="0020211D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-գործիքային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հետազոտությունների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բացասական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արդյունքը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չի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թույլատրվում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աշխատել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մանրէակրության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մակաբուծակրության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հայտնաբերման</w:t>
      </w:r>
      <w:r w:rsidR="00CA199F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 ինչպես նաև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հետևյալ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հիվանդությունների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ախտորոշման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դեպքում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`</w:t>
      </w:r>
    </w:p>
    <w:p w14:paraId="63C75C80" w14:textId="5E28565C" w:rsidR="00671ED6" w:rsidRPr="00553E9D" w:rsidRDefault="00671ED6" w:rsidP="00DA4CE7">
      <w:pPr>
        <w:pStyle w:val="ListParagraph"/>
        <w:numPr>
          <w:ilvl w:val="1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որովայնային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տիֆ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պարատիֆեր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սալմոնելոզ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  <w:t>շիգելոզ</w:t>
      </w:r>
      <w:proofErr w:type="spellEnd"/>
      <w:r w:rsidR="005F5F62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,</w:t>
      </w:r>
    </w:p>
    <w:p w14:paraId="723476BC" w14:textId="18E48B41" w:rsidR="00671ED6" w:rsidRPr="00553E9D" w:rsidRDefault="00671ED6" w:rsidP="00DA4CE7">
      <w:pPr>
        <w:pStyle w:val="ListParagraph"/>
        <w:numPr>
          <w:ilvl w:val="1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հիմենոլեպիդոզ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էնտերոբիոզ</w:t>
      </w:r>
      <w:r w:rsidR="005F5F62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,</w:t>
      </w:r>
    </w:p>
    <w:p w14:paraId="61BBFB23" w14:textId="5D8B2136" w:rsidR="00671ED6" w:rsidRPr="00553E9D" w:rsidRDefault="00671ED6" w:rsidP="00DA4CE7">
      <w:pPr>
        <w:pStyle w:val="ListParagraph"/>
        <w:numPr>
          <w:ilvl w:val="1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սիֆիլիս</w:t>
      </w:r>
      <w:r w:rsidR="005F5F62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,</w:t>
      </w:r>
    </w:p>
    <w:p w14:paraId="039E5CD6" w14:textId="39BF4C03" w:rsidR="00671ED6" w:rsidRPr="00553E9D" w:rsidRDefault="00671ED6" w:rsidP="00DA4CE7">
      <w:pPr>
        <w:pStyle w:val="ListParagraph"/>
        <w:numPr>
          <w:ilvl w:val="1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վարակիչ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մաշկային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հիվանդություններ</w:t>
      </w:r>
      <w:r w:rsidR="00003F41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՝ քոս և սնկային հիվանդություններ</w:t>
      </w:r>
      <w:r w:rsidR="005F5F62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,</w:t>
      </w:r>
    </w:p>
    <w:p w14:paraId="6D5C3F87" w14:textId="21A85948" w:rsidR="00671ED6" w:rsidRPr="00553E9D" w:rsidRDefault="00671ED6" w:rsidP="00DA4CE7">
      <w:pPr>
        <w:pStyle w:val="ListParagraph"/>
        <w:numPr>
          <w:ilvl w:val="1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շնչառական օրգանների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մանրէազատ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տուբերկուլոզ</w:t>
      </w:r>
      <w:r w:rsidR="005F5F62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,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</w:p>
    <w:p w14:paraId="06FE0A51" w14:textId="0A151EE5" w:rsidR="00671ED6" w:rsidRPr="00553E9D" w:rsidRDefault="00671ED6" w:rsidP="00DA4CE7">
      <w:pPr>
        <w:pStyle w:val="ListParagraph"/>
        <w:numPr>
          <w:ilvl w:val="1"/>
          <w:numId w:val="2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ախտածին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ստաֆիլակոկակրություն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մաշկի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քիթ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ըմպանի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աչքի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լորձաթաղանթի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թարախային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հիվանդություններ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այն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ոլորտներում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որոնց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աշխատակիցները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հետազոտվում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նշված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հիվանդությունների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մանրէակրության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վերաբերյալ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):</w:t>
      </w:r>
    </w:p>
    <w:p w14:paraId="5ADE8B08" w14:textId="45112C28" w:rsidR="00671ED6" w:rsidRPr="00553E9D" w:rsidRDefault="00671ED6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3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Քրոնիկ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վիրուսային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պոլիմերազային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շղթայական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ռեակցիայի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մեթոդով</w:t>
      </w:r>
      <w:r w:rsidR="00F24AF8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F24AF8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(այսուհետ՝ ՊՇՌ մեթոդ)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լաբորատոր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արդյունքում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վիրուսի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բեռնվածությունը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&gt;2000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/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դեպքում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),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քրոնիկ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վիրուսային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F24AF8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lastRenderedPageBreak/>
        <w:t>ՊՇՌ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մեթոդով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լաբորատոր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դրական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արդյունքի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դեպքում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չի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թույլատրվում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իրականացնել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ինվազիվ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միջամտություններ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="00276E4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կազմակերպությունում՝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մինչ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քրոնիկ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F31B7A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վիրուսային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դեպքում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վիրուսի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բեռնվածությունը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&lt; 2000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/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իսկ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F31B7A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քրոնիկ</w:t>
      </w:r>
      <w:r w:rsidR="00F31B7A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F31B7A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վիրուսային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հեպատիտ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դեպքում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՝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կայուն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վիրուսաբանական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պատասխանի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արդյունքները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բուժման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ավարտից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24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շաբաթ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հետո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ՊՇՌ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մեթոդով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բացասական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արդյունք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):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Ս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ուր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վիրուսային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ով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և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Ց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ով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նվազիվ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37038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բժշկական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միջամտություն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իրականացնող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դրան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փոխարինող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այլ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կենսաբանական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հեղուկների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աշխատող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բուժաշխատողների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ինչպես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նաև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գեղեցկության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սրահներում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մաշկի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ամբողջականության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խախտմամբ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դրա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խորանիստ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շերտերի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ներգրավմամբ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միջամտություններ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իրականացնող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ներին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կոսմետիկ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միջամտություններ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իրականացնող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դաջվածքի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մասնագետ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մատնահարդար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ոտնահարդար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)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աշխատելու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թույլտվություն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տրվում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միայն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առողջանալուց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հետո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յուրաքանչյուր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առանձին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հիվանդության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դեպքում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`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այդ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հիվանդության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բուժումից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հետո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սահմանված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կարգով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իրականացվող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հետազոտությունների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բացասական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արդյունքների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հիման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վրա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:</w:t>
      </w:r>
    </w:p>
    <w:p w14:paraId="2688A84B" w14:textId="4D89A24D" w:rsidR="00671ED6" w:rsidRPr="00553E9D" w:rsidRDefault="00F31B7A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3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sz w:val="22"/>
          <w:szCs w:val="22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Վիրուսային հ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եպատիտ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վերաբերյալ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հետազոտվող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այն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քանակակազմը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անձնակազմը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),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ովքեր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ունեն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փաստագրված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վիրուսային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դեմ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առնվազն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3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դեղաչափ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պատվաստում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կամ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արյան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մեջ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վիրուսային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մակերեսային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հակածնի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հակամարմինների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10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բարձր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մակարդակի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առկայություն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մակերեսային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հակածնի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(HBsAg)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նկատմամբ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իրականացման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պահանջ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չի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սահմանվում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: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Պատվաստված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գործատուին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ներկայացնում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պատվաստումը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հավաստող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կազմակերպություններում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իմունականխարգելման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գործընթացի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կազմակերպման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իրականացման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պահանջներ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սահմանող՝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F908A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Լ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իազոր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մարմնի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ղեկավարի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ընդունած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նորմատիվ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իրավական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ակտով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սահմանված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Կանխարգելիչ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պատվաստումների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քարտ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»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կամ</w:t>
      </w:r>
      <w:r w:rsidR="00150E71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վիրուսային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մակերեսային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հակածնի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հակամարմինների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10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բարձր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մակարդակի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առկայությունը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հավաստող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տեղեկանք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: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Մնացած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դեպքերում</w:t>
      </w:r>
      <w:r w:rsidR="00150E71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վիրուսային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վերաբերյալ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հետազոտվող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քանակակազմը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անձնակազմը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)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ենթակա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="00150E71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վիրուսային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հեպատիտ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մակերեսային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հակածնի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(HBsAg)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նկատմամբ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հետազոտության՝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համաձայն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Ցանկի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:</w:t>
      </w:r>
      <w:r w:rsidR="00671ED6" w:rsidRPr="00553E9D" w:rsidDel="0012167E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</w:p>
    <w:p w14:paraId="63AD1EC9" w14:textId="192CAC69" w:rsidR="00671ED6" w:rsidRPr="00553E9D" w:rsidRDefault="00671ED6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lastRenderedPageBreak/>
        <w:t xml:space="preserve">Ցանկի </w:t>
      </w:r>
      <w:r w:rsidR="00D54BAB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Կազմակերպություններ և մասնագիտություններ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սյունակում ընգրկված  աշխատող անձինք, ովքեր աշխատանքի ու բնակության վայրում շփվել են </w:t>
      </w:r>
      <w:r w:rsidR="00DA4CE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անկի </w:t>
      </w:r>
      <w:r w:rsidR="00DB2BA8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4-րդ և 6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-11-րդ </w:t>
      </w:r>
      <w:r w:rsidR="00DB2BA8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սյունակներում</w:t>
      </w:r>
      <w:r w:rsidR="0098190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ընդգրկված վարակիչ հիվանդություններ ունեցող անձանց հետ, ենթարկվում են բժշկական հետազոտությունների, և նրանց նկատմամբ իրականացվում է բժշկական հսկողություն:</w:t>
      </w:r>
    </w:p>
    <w:p w14:paraId="0382E12F" w14:textId="2E7ADF66" w:rsidR="00671ED6" w:rsidRPr="00553E9D" w:rsidRDefault="00671ED6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զննության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որակի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ծավալի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համար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պատասխանատու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այն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իրականացնող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  <w:t>կազմ</w:t>
      </w:r>
      <w:r w:rsidR="005F5F62" w:rsidRPr="00553E9D"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  <w:t>ա</w:t>
      </w:r>
      <w:r w:rsidRPr="00553E9D"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  <w:t>կերպության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ղեկավարը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կամ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կազմակերպության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ղեկավարի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հրամանով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նշանակվ</w:t>
      </w:r>
      <w:proofErr w:type="spellEnd"/>
      <w:r w:rsidR="00DA4CE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զննության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իրականացման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համար</w:t>
      </w:r>
      <w:proofErr w:type="spellEnd"/>
      <w:r w:rsidRPr="00553E9D">
        <w:rPr>
          <w:rFonts w:ascii="Arial" w:eastAsia="Times New Roman" w:hAnsi="Arial" w:cs="Arial"/>
          <w:color w:val="000000"/>
          <w:kern w:val="0"/>
          <w:lang w:val="pt-BR" w:eastAsia="ru-RU"/>
          <w14:ligatures w14:val="none"/>
        </w:rPr>
        <w:t> </w:t>
      </w:r>
      <w:proofErr w:type="spellStart"/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պատասխանատու</w:t>
      </w:r>
      <w:proofErr w:type="spellEnd"/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այլ</w:t>
      </w:r>
      <w:proofErr w:type="spellEnd"/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անձ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:</w:t>
      </w:r>
    </w:p>
    <w:p w14:paraId="37B91A9B" w14:textId="5B9DDDA1" w:rsidR="00DA4CE7" w:rsidRPr="00553E9D" w:rsidRDefault="00671ED6" w:rsidP="00DA4CE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Գործատուն</w:t>
      </w:r>
      <w:r w:rsidR="0040462C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պատասխանատու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կազմակերպության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աշխատողների՝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սույն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որոշմամբ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սահմանված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կարգով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ժամանակին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զննությունների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չենթարկել</w:t>
      </w:r>
      <w:r w:rsidR="00DA4CE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ու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նախնական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զննություն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չանցած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հակացուցումներ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ունեցող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անձանց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աշխատանքի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ընդունելու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ինչպես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նաև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աշխատանքի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թույլատրելու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: </w:t>
      </w:r>
      <w:r w:rsidR="0040462C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Գործատու</w:t>
      </w:r>
      <w:r w:rsidR="0040462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ի</w:t>
      </w:r>
      <w:r w:rsidR="0040462C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կողմից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նշանակված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պատասխանատու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A4CE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կազմում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ենթակա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անձանց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անվանացանկը</w:t>
      </w:r>
      <w:r w:rsidR="00AC09B3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՝ համաձայն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սույն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որոշման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40462C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N 4</w:t>
      </w:r>
      <w:r w:rsidR="0040462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հավելված</w:t>
      </w:r>
      <w:r w:rsidR="00DA4CE7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: </w:t>
      </w:r>
    </w:p>
    <w:p w14:paraId="22C8C639" w14:textId="4D91FC25" w:rsidR="00671ED6" w:rsidRPr="00553E9D" w:rsidRDefault="00E51837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Պարբերական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զննության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ծախսերը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իրականացվում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են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գործատուի</w:t>
      </w:r>
      <w:proofErr w:type="spellEnd"/>
      <w:r w:rsidR="0040462C" w:rsidRPr="00553E9D">
        <w:rPr>
          <w:rFonts w:ascii="Arial" w:hAnsi="Arial" w:cs="Arial"/>
          <w:color w:val="333333"/>
          <w:shd w:val="clear" w:color="auto" w:fill="FFFFFF"/>
          <w:lang w:val="pt-BR"/>
        </w:rPr>
        <w:t xml:space="preserve"> </w:t>
      </w:r>
      <w:proofErr w:type="spellStart"/>
      <w:r w:rsidR="0040462C" w:rsidRPr="00553E9D">
        <w:rPr>
          <w:rFonts w:ascii="GHEA Grapalat" w:hAnsi="GHEA Grapalat" w:cs="Arial"/>
          <w:color w:val="333333"/>
          <w:shd w:val="clear" w:color="auto" w:fill="FFFFFF"/>
        </w:rPr>
        <w:t>միջոցների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հաշվին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՝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համաձայն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Հայաստանի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Հանրապետության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աշխատանքային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օրենսգրքի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249-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րդ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հոդվածի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6-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րդ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մաս</w:t>
      </w:r>
      <w:proofErr w:type="spellEnd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:</w:t>
      </w:r>
    </w:p>
    <w:p w14:paraId="0B692C30" w14:textId="73273544" w:rsidR="00671ED6" w:rsidRPr="00553E9D" w:rsidRDefault="00671ED6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զննությունն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ավարտվելուց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հետո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ոչ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ուշ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եռօրյա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ժամկետում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DA4CE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կազմակերպության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ղեկավարը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նրա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հրամանով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նշանակված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զննությունների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համար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պատասխանատու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անձը</w:t>
      </w:r>
      <w:r w:rsidRPr="00553E9D">
        <w:rPr>
          <w:rFonts w:ascii="Arial" w:eastAsia="Times New Roman" w:hAnsi="Arial" w:cs="Arial"/>
          <w:color w:val="000000"/>
          <w:kern w:val="0"/>
          <w:lang w:val="pt-BR" w:eastAsia="ru-RU"/>
          <w14:ligatures w14:val="none"/>
        </w:rPr>
        <w:t> 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աշխատանքի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ընդունվողի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կամ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աշխատողի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անձնական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գրքույկում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կատարում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նրան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աշխատելու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թույլտվություն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տալու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մասին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նշում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: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Նշումն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ամրագրվում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կազմակերպության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կլոր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կնիքով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:</w:t>
      </w:r>
    </w:p>
    <w:p w14:paraId="5CD0D8BF" w14:textId="297EF930" w:rsidR="00671ED6" w:rsidRPr="00553E9D" w:rsidRDefault="00671ED6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կազմակերպությունում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պարբերական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զննությունների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ենթարկված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անձանց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արդյունքները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լրացվում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դիմած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ամբուլատոր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քարտում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:</w:t>
      </w:r>
    </w:p>
    <w:p w14:paraId="5317F0C6" w14:textId="1EC99751" w:rsidR="00671ED6" w:rsidRPr="00553E9D" w:rsidRDefault="00881315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Հայաստանի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Հանրապետության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ռողջապահական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աշխատանքի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տեսչական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մարմինը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օրենքով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սահմանված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կարգով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վերահսկողություն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է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lastRenderedPageBreak/>
        <w:t>իրականացնում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bookmarkStart w:id="3" w:name="_Hlk223701416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սույն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կարգի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պահանջների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կատարման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նկատմամբ</w:t>
      </w:r>
      <w:bookmarkEnd w:id="3"/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բացառությամբ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սույն </w:t>
      </w:r>
      <w:r w:rsidR="0098190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կարգի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2</w:t>
      </w:r>
      <w:r w:rsidR="00363EC1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2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րդ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կետով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նախատեսված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դեպքերի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:</w:t>
      </w:r>
    </w:p>
    <w:p w14:paraId="587CD084" w14:textId="304BA33E" w:rsidR="00671ED6" w:rsidRPr="00553E9D" w:rsidRDefault="00671ED6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Այն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անձինք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ովքեր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չեն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ենթարկվել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նախնական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պարբերական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ինչպես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նաև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զննության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արդյունքում</w:t>
      </w:r>
      <w:r w:rsidR="0081371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նրանց մոտ ախտորոշվել 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սույն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կարգի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1</w:t>
      </w:r>
      <w:r w:rsidR="004A54DA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1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-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րդ</w:t>
      </w:r>
      <w:r w:rsidR="004A54DA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, 12-րդ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կետերում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նշված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հիվանդություններից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որևէ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մեկ</w:t>
      </w:r>
      <w:r w:rsidR="0081371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ը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,</w:t>
      </w:r>
      <w:r w:rsidRPr="00553E9D">
        <w:fldChar w:fldCharType="begin"/>
      </w:r>
      <w:r w:rsidRPr="00553E9D">
        <w:rPr>
          <w:lang w:val="pt-BR"/>
        </w:rPr>
        <w:instrText>HYPERLINK "https://old.arlis.am/DocumentView.aspx?docid=124384"</w:instrText>
      </w:r>
      <w:r w:rsidRPr="00553E9D">
        <w:fldChar w:fldCharType="separate"/>
      </w:r>
      <w:r w:rsidRPr="00553E9D">
        <w:rPr>
          <w:rFonts w:ascii="Calibri" w:eastAsia="Times New Roman" w:hAnsi="Calibri" w:cs="Calibri"/>
          <w:color w:val="000000"/>
          <w:kern w:val="0"/>
          <w:lang w:val="pt-BR" w:eastAsia="ru-RU"/>
          <w14:ligatures w14:val="none"/>
        </w:rPr>
        <w:t> </w:t>
      </w:r>
      <w:proofErr w:type="spellStart"/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Հայաստանի</w:t>
      </w:r>
      <w:proofErr w:type="spellEnd"/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Հանրապետության</w:t>
      </w:r>
      <w:proofErr w:type="spellEnd"/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ա</w:t>
      </w:r>
      <w:proofErr w:type="spellStart"/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ռողջապահական</w:t>
      </w:r>
      <w:proofErr w:type="spellEnd"/>
      <w:r w:rsidR="00881315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աշխատանքի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տեսչական</w:t>
      </w:r>
      <w:proofErr w:type="spellEnd"/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մարմնի</w:t>
      </w:r>
      <w:proofErr w:type="spellEnd"/>
      <w:r w:rsidRPr="00553E9D">
        <w:fldChar w:fldCharType="end"/>
      </w:r>
      <w:r w:rsidRPr="00553E9D">
        <w:rPr>
          <w:rFonts w:ascii="Calibri" w:eastAsia="Times New Roman" w:hAnsi="Calibri" w:cs="Calibri"/>
          <w:color w:val="000000"/>
          <w:kern w:val="0"/>
          <w:lang w:val="pt-BR" w:eastAsia="ru-RU"/>
          <w14:ligatures w14:val="none"/>
        </w:rPr>
        <w:t> 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տարածքային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կենտրոնի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ղեկավարի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որոշմամբ</w:t>
      </w:r>
      <w:r w:rsidR="0081371C" w:rsidRPr="00553E9D">
        <w:rPr>
          <w:rFonts w:ascii="GHEA Grapalat" w:eastAsia="Times New Roman" w:hAnsi="GHEA Grapalat" w:cs="Arial Unicode"/>
          <w:color w:val="000000"/>
          <w:kern w:val="0"/>
          <w:lang w:val="hy-AM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չեն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թույլատրվում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աշխատանքի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`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մինչև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սահմանված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կարգով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բժշկական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զննության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ենթարկվելը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,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իսկ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հիվանդության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դեպքում՝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մինչև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առողջացումը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` 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ru-RU" w:eastAsia="ru-RU"/>
          <w14:ligatures w14:val="none"/>
        </w:rPr>
        <w:t>համաձայն</w:t>
      </w:r>
      <w:r w:rsidR="0098190C" w:rsidRPr="00553E9D">
        <w:rPr>
          <w:rFonts w:ascii="GHEA Grapalat" w:eastAsia="Times New Roman" w:hAnsi="GHEA Grapalat" w:cs="Arial Unicode"/>
          <w:color w:val="000000"/>
          <w:kern w:val="0"/>
          <w:lang w:val="hy-AM" w:eastAsia="ru-RU"/>
          <w14:ligatures w14:val="none"/>
        </w:rPr>
        <w:t xml:space="preserve"> սույն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 xml:space="preserve"> </w:t>
      </w:r>
      <w:r w:rsidR="0098190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ո</w:t>
      </w:r>
      <w:r w:rsidR="0081371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րոշման </w:t>
      </w:r>
      <w:r w:rsidR="0098190C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N 5</w:t>
      </w:r>
      <w:r w:rsidR="0098190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հավելված</w:t>
      </w:r>
      <w:r w:rsidRPr="00553E9D"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  <w:t>ի</w:t>
      </w:r>
      <w:r w:rsidRPr="00553E9D">
        <w:rPr>
          <w:rFonts w:ascii="GHEA Grapalat" w:eastAsia="Times New Roman" w:hAnsi="GHEA Grapalat" w:cs="Arial Unicode"/>
          <w:color w:val="000000"/>
          <w:kern w:val="0"/>
          <w:lang w:val="pt-BR" w:eastAsia="ru-RU"/>
          <w14:ligatures w14:val="none"/>
        </w:rPr>
        <w:t>:</w:t>
      </w:r>
    </w:p>
    <w:p w14:paraId="47584A12" w14:textId="59D05CAE" w:rsidR="00671ED6" w:rsidRPr="00553E9D" w:rsidRDefault="00881315" w:rsidP="00671ED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Հայաստանի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Հանրապետության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սննդամթերքի </w:t>
      </w:r>
      <w:r w:rsidR="00363EC1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անվտանգության տեսչական մարմինը օրենքով սահմանված կարգով վերահսկողությունն է իրականացնում </w:t>
      </w:r>
      <w:r w:rsidR="004A54DA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Ցանկի</w:t>
      </w:r>
      <w:r w:rsidR="001535F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</w:t>
      </w:r>
      <w:bookmarkStart w:id="4" w:name="_Hlk223525591"/>
      <w:r w:rsidR="001535F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Կազմակերպություններ և մասնագիտություններ</w:t>
      </w:r>
      <w:bookmarkEnd w:id="4"/>
      <w:r w:rsidR="001535F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 սյունակի</w:t>
      </w:r>
      <w:r w:rsidR="001535F7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1-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կետում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նշված</w:t>
      </w:r>
      <w:r w:rsidR="001535F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կազմակերպությունների </w:t>
      </w:r>
      <w:r w:rsidR="003A6EF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կամ</w:t>
      </w:r>
      <w:r w:rsidR="001535F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մասնագիտություններով աշխատող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անձանց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, </w:t>
      </w:r>
      <w:r w:rsidR="003A6EF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այդ կազմակերպություններում կամ </w:t>
      </w:r>
      <w:r w:rsidR="000A3B1E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մասնագիտություններով մասնագիտական կրթության և ուսուցման ծրագրով աշխատանքի վրա հիմնված ուսումնառության շրջանակում սահմանված որոշակի աշխատանք կատարող սովորողներիի,  աշխատանքային 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պրակտիկա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անցն</w:t>
      </w:r>
      <w:r w:rsidR="001535F7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ողների</w:t>
      </w:r>
      <w:r w:rsidR="003A6EF0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,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8-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րդ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և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10-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րդ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կետերում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նշված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 կազմակերպությունների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164980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>ս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ննդային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արտադրանքի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(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սննդամթերքի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)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արտադրության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շրջանառության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փուլերում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սննդամթերքի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հետ</w:t>
      </w:r>
      <w:r w:rsidR="008E088C" w:rsidRPr="00553E9D">
        <w:rPr>
          <w:rFonts w:ascii="GHEA Grapalat" w:eastAsia="Times New Roman" w:hAnsi="GHEA Grapalat" w:cs="Times New Roman"/>
          <w:b/>
          <w:bCs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անմիջական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շփում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ուն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 xml:space="preserve">եցողների կողմից 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սույն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կարգի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պահանջների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կատարման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 </w:t>
      </w:r>
      <w:r w:rsidR="008E088C" w:rsidRPr="00553E9D">
        <w:rPr>
          <w:rFonts w:ascii="GHEA Grapalat" w:eastAsia="Times New Roman" w:hAnsi="GHEA Grapalat" w:cs="Times New Roman"/>
          <w:color w:val="000000"/>
          <w:kern w:val="0"/>
          <w:lang w:val="ru-RU" w:eastAsia="ru-RU"/>
          <w14:ligatures w14:val="none"/>
        </w:rPr>
        <w:t>նկատմամբ</w:t>
      </w:r>
      <w:r w:rsidR="00671ED6" w:rsidRPr="00553E9D"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  <w:t xml:space="preserve">: </w:t>
      </w:r>
    </w:p>
    <w:p w14:paraId="3C2FEF9E" w14:textId="21DB59E4" w:rsidR="002B194D" w:rsidRPr="00553E9D" w:rsidRDefault="00671ED6" w:rsidP="002D613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kern w:val="0"/>
          <w:lang w:val="pt-BR" w:eastAsia="ru-RU"/>
          <w14:ligatures w14:val="none"/>
        </w:rPr>
      </w:pPr>
      <w:bookmarkStart w:id="5" w:name="_Hlk224046291"/>
      <w:proofErr w:type="spellStart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ru-RU" w:eastAsia="ru-RU"/>
          <w14:ligatures w14:val="none"/>
        </w:rPr>
        <w:t>Սույն</w:t>
      </w:r>
      <w:proofErr w:type="spellEnd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ru-RU" w:eastAsia="ru-RU"/>
          <w14:ligatures w14:val="none"/>
        </w:rPr>
        <w:t>կարգի</w:t>
      </w:r>
      <w:proofErr w:type="spellEnd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pt-BR" w:eastAsia="ru-RU"/>
          <w14:ligatures w14:val="none"/>
        </w:rPr>
        <w:t xml:space="preserve"> 2</w:t>
      </w:r>
      <w:r w:rsidR="00EF6F76" w:rsidRPr="00553E9D">
        <w:rPr>
          <w:rFonts w:ascii="GHEA Grapalat" w:eastAsia="Times New Roman" w:hAnsi="GHEA Grapalat" w:cs="Times New Roman"/>
          <w:color w:val="000000" w:themeColor="text1"/>
          <w:kern w:val="0"/>
          <w:lang w:val="pt-BR" w:eastAsia="ru-RU"/>
          <w14:ligatures w14:val="none"/>
        </w:rPr>
        <w:t>2</w:t>
      </w:r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pt-BR" w:eastAsia="ru-RU"/>
          <w14:ligatures w14:val="none"/>
        </w:rPr>
        <w:t>-</w:t>
      </w:r>
      <w:proofErr w:type="spellStart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ru-RU" w:eastAsia="ru-RU"/>
          <w14:ligatures w14:val="none"/>
        </w:rPr>
        <w:t>րդ</w:t>
      </w:r>
      <w:proofErr w:type="spellEnd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ru-RU" w:eastAsia="ru-RU"/>
          <w14:ligatures w14:val="none"/>
        </w:rPr>
        <w:t>կետում</w:t>
      </w:r>
      <w:proofErr w:type="spellEnd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ru-RU" w:eastAsia="ru-RU"/>
          <w14:ligatures w14:val="none"/>
        </w:rPr>
        <w:t>նշված</w:t>
      </w:r>
      <w:proofErr w:type="spellEnd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pt-BR" w:eastAsia="ru-RU"/>
          <w14:ligatures w14:val="none"/>
        </w:rPr>
        <w:t xml:space="preserve"> </w:t>
      </w:r>
      <w:proofErr w:type="spellStart"/>
      <w:r w:rsidRPr="00553E9D">
        <w:rPr>
          <w:rFonts w:ascii="GHEA Grapalat" w:eastAsia="Times New Roman" w:hAnsi="GHEA Grapalat" w:cs="Times New Roman"/>
          <w:color w:val="000000" w:themeColor="text1"/>
          <w:kern w:val="0"/>
          <w:lang w:val="ru-RU" w:eastAsia="ru-RU"/>
          <w14:ligatures w14:val="none"/>
        </w:rPr>
        <w:t>անձ</w:t>
      </w:r>
      <w:proofErr w:type="spellEnd"/>
      <w:r w:rsidR="00006CD3" w:rsidRPr="00553E9D">
        <w:rPr>
          <w:rFonts w:ascii="GHEA Grapalat" w:eastAsia="Times New Roman" w:hAnsi="GHEA Grapalat" w:cs="Times New Roman"/>
          <w:color w:val="000000" w:themeColor="text1"/>
          <w:kern w:val="0"/>
          <w:lang w:val="hy-AM" w:eastAsia="ru-RU"/>
          <w14:ligatures w14:val="none"/>
        </w:rPr>
        <w:t xml:space="preserve">ինք,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սանիտարական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(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բժշկական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)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գրքույկի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բացակայության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կամ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դրանում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նախնական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ու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պարբերական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բժշկական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զննության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վերաբերյալ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՝</w:t>
      </w:r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Հայաստանի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Հանրապետության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օրենսդրությամբ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սահմանված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կարգով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լրացված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չլինելու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դեպքում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,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Հայաստանի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Հանրապետության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սննդամթերքի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անվտանգության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տեսչական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մարմնի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ղեկավարի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որոշմամբ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՝</w:t>
      </w:r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չեն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թույլատրվում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աշխատանքի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`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մինչև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խախտումը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սահմանված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կարգով</w:t>
      </w:r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</w:rPr>
        <w:t>վերացնելը</w:t>
      </w:r>
      <w:bookmarkEnd w:id="5"/>
      <w:proofErr w:type="spellEnd"/>
      <w:r w:rsidR="00006CD3" w:rsidRPr="00553E9D">
        <w:rPr>
          <w:rFonts w:ascii="GHEA Grapalat" w:hAnsi="GHEA Grapalat" w:cs="Arial"/>
          <w:color w:val="000000" w:themeColor="text1"/>
          <w:shd w:val="clear" w:color="auto" w:fill="FFFFFF"/>
          <w:lang w:val="pt-BR"/>
        </w:rPr>
        <w:t>:</w:t>
      </w:r>
      <w:r w:rsidR="00966D70" w:rsidRPr="00553E9D">
        <w:rPr>
          <w:rFonts w:ascii="GHEA Grapalat" w:eastAsia="Times New Roman" w:hAnsi="GHEA Grapalat" w:cs="Times New Roman"/>
          <w:color w:val="000000" w:themeColor="text1"/>
          <w:kern w:val="0"/>
          <w:lang w:val="hy-AM" w:eastAsia="ru-RU"/>
          <w14:ligatures w14:val="none"/>
        </w:rPr>
        <w:t>»։</w:t>
      </w:r>
    </w:p>
    <w:p w14:paraId="56796FA9" w14:textId="77777777" w:rsidR="00FC3265" w:rsidRPr="00553E9D" w:rsidRDefault="00FC3265" w:rsidP="00FC3265">
      <w:pPr>
        <w:pStyle w:val="ListParagraph"/>
        <w:spacing w:line="240" w:lineRule="auto"/>
        <w:jc w:val="right"/>
        <w:rPr>
          <w:rFonts w:ascii="GHEA Grapalat" w:hAnsi="GHEA Grapalat"/>
          <w:i/>
          <w:iCs/>
          <w:sz w:val="20"/>
          <w:szCs w:val="20"/>
          <w:lang w:val="pt-BR"/>
        </w:rPr>
        <w:sectPr w:rsidR="00FC3265" w:rsidRPr="00553E9D" w:rsidSect="00820A9F">
          <w:pgSz w:w="11907" w:h="16840" w:code="9"/>
          <w:pgMar w:top="851" w:right="1134" w:bottom="851" w:left="1418" w:header="720" w:footer="720" w:gutter="0"/>
          <w:cols w:space="720"/>
          <w:docGrid w:linePitch="360"/>
        </w:sectPr>
      </w:pPr>
    </w:p>
    <w:p w14:paraId="5CDA3278" w14:textId="4C98FC11" w:rsidR="00FC3265" w:rsidRPr="00553E9D" w:rsidRDefault="00FC3265" w:rsidP="00D324B2">
      <w:pPr>
        <w:pStyle w:val="ListParagraph"/>
        <w:spacing w:line="360" w:lineRule="auto"/>
        <w:jc w:val="right"/>
        <w:rPr>
          <w:rFonts w:ascii="GHEA Grapalat" w:hAnsi="GHEA Grapalat"/>
          <w:sz w:val="22"/>
          <w:szCs w:val="22"/>
          <w:lang w:val="pt-BR"/>
        </w:rPr>
      </w:pPr>
      <w:proofErr w:type="spellStart"/>
      <w:r w:rsidRPr="00553E9D">
        <w:rPr>
          <w:rFonts w:ascii="GHEA Grapalat" w:hAnsi="GHEA Grapalat"/>
          <w:sz w:val="22"/>
          <w:szCs w:val="22"/>
        </w:rPr>
        <w:lastRenderedPageBreak/>
        <w:t>Հավելված</w:t>
      </w:r>
      <w:proofErr w:type="spellEnd"/>
      <w:r w:rsidRPr="00553E9D">
        <w:rPr>
          <w:rFonts w:ascii="GHEA Grapalat" w:hAnsi="GHEA Grapalat"/>
          <w:sz w:val="22"/>
          <w:szCs w:val="22"/>
          <w:lang w:val="pt-BR"/>
        </w:rPr>
        <w:t xml:space="preserve"> </w:t>
      </w:r>
      <w:r w:rsidR="00B25543" w:rsidRPr="00553E9D">
        <w:rPr>
          <w:rFonts w:ascii="GHEA Grapalat" w:hAnsi="GHEA Grapalat"/>
          <w:sz w:val="22"/>
          <w:szCs w:val="22"/>
          <w:lang w:val="pt-BR"/>
        </w:rPr>
        <w:t>2</w:t>
      </w:r>
    </w:p>
    <w:p w14:paraId="39CF1F5A" w14:textId="77777777" w:rsidR="00FC3265" w:rsidRPr="00553E9D" w:rsidRDefault="00FC3265" w:rsidP="00D324B2">
      <w:pPr>
        <w:pStyle w:val="ListParagraph"/>
        <w:spacing w:line="360" w:lineRule="auto"/>
        <w:jc w:val="right"/>
        <w:rPr>
          <w:rFonts w:ascii="GHEA Grapalat" w:hAnsi="GHEA Grapalat"/>
          <w:sz w:val="22"/>
          <w:szCs w:val="22"/>
          <w:lang w:val="pt-BR"/>
        </w:rPr>
      </w:pPr>
      <w:r w:rsidRPr="00553E9D">
        <w:rPr>
          <w:rFonts w:ascii="GHEA Grapalat" w:hAnsi="GHEA Grapalat"/>
          <w:sz w:val="22"/>
          <w:szCs w:val="22"/>
        </w:rPr>
        <w:t>ՀՀ</w:t>
      </w:r>
      <w:r w:rsidRPr="00553E9D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553E9D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553E9D">
        <w:rPr>
          <w:rFonts w:ascii="GHEA Grapalat" w:hAnsi="GHEA Grapalat"/>
          <w:sz w:val="22"/>
          <w:szCs w:val="22"/>
          <w:lang w:val="pt-BR"/>
        </w:rPr>
        <w:t xml:space="preserve"> 2026 </w:t>
      </w:r>
      <w:proofErr w:type="spellStart"/>
      <w:r w:rsidRPr="00553E9D">
        <w:rPr>
          <w:rFonts w:ascii="GHEA Grapalat" w:hAnsi="GHEA Grapalat"/>
          <w:sz w:val="22"/>
          <w:szCs w:val="22"/>
        </w:rPr>
        <w:t>թվականի</w:t>
      </w:r>
      <w:proofErr w:type="spellEnd"/>
    </w:p>
    <w:p w14:paraId="59F29FE7" w14:textId="601BF27B" w:rsidR="00FC3265" w:rsidRPr="00553E9D" w:rsidRDefault="00FC3265" w:rsidP="00966D70">
      <w:pPr>
        <w:pStyle w:val="ListParagraph"/>
        <w:spacing w:line="360" w:lineRule="auto"/>
        <w:ind w:left="0"/>
        <w:jc w:val="right"/>
        <w:rPr>
          <w:rFonts w:ascii="GHEA Grapalat" w:hAnsi="GHEA Grapalat"/>
          <w:sz w:val="22"/>
          <w:szCs w:val="22"/>
          <w:lang w:val="pt-BR"/>
        </w:rPr>
      </w:pPr>
      <w:r w:rsidRPr="00553E9D">
        <w:rPr>
          <w:rFonts w:ascii="GHEA Grapalat" w:hAnsi="GHEA Grapalat"/>
          <w:sz w:val="22"/>
          <w:szCs w:val="22"/>
          <w:lang w:val="pt-BR"/>
        </w:rPr>
        <w:t>------  -----  -</w:t>
      </w:r>
      <w:r w:rsidRPr="00553E9D">
        <w:rPr>
          <w:rFonts w:ascii="GHEA Grapalat" w:hAnsi="GHEA Grapalat"/>
          <w:sz w:val="22"/>
          <w:szCs w:val="22"/>
        </w:rPr>
        <w:t>Ն</w:t>
      </w:r>
      <w:r w:rsidRPr="00553E9D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553E9D">
        <w:rPr>
          <w:rFonts w:ascii="GHEA Grapalat" w:hAnsi="GHEA Grapalat"/>
          <w:sz w:val="22"/>
          <w:szCs w:val="22"/>
        </w:rPr>
        <w:t>որոշման</w:t>
      </w:r>
      <w:proofErr w:type="spellEnd"/>
    </w:p>
    <w:p w14:paraId="4113A17B" w14:textId="1AF3314D" w:rsidR="00966D70" w:rsidRPr="00553E9D" w:rsidRDefault="00966D70" w:rsidP="00966D70">
      <w:pPr>
        <w:pStyle w:val="ListParagraph"/>
        <w:spacing w:line="276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553E9D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553E9D">
        <w:rPr>
          <w:rFonts w:ascii="GHEA Grapalat" w:hAnsi="GHEA Grapalat"/>
          <w:sz w:val="22"/>
          <w:szCs w:val="22"/>
        </w:rPr>
        <w:t>Հավելված</w:t>
      </w:r>
      <w:proofErr w:type="spellEnd"/>
      <w:r w:rsidRPr="00553E9D">
        <w:rPr>
          <w:rFonts w:ascii="GHEA Grapalat" w:hAnsi="GHEA Grapalat"/>
          <w:sz w:val="22"/>
          <w:szCs w:val="22"/>
          <w:lang w:val="pt-BR"/>
        </w:rPr>
        <w:t xml:space="preserve"> N </w:t>
      </w:r>
      <w:r w:rsidRPr="00553E9D">
        <w:rPr>
          <w:rFonts w:ascii="GHEA Grapalat" w:hAnsi="GHEA Grapalat"/>
          <w:sz w:val="22"/>
          <w:szCs w:val="22"/>
          <w:lang w:val="hy-AM"/>
        </w:rPr>
        <w:t>2</w:t>
      </w:r>
    </w:p>
    <w:p w14:paraId="2926B783" w14:textId="77777777" w:rsidR="00966D70" w:rsidRPr="00553E9D" w:rsidRDefault="00966D70" w:rsidP="00966D70">
      <w:pPr>
        <w:pStyle w:val="ListParagraph"/>
        <w:spacing w:line="276" w:lineRule="auto"/>
        <w:jc w:val="right"/>
        <w:rPr>
          <w:rFonts w:ascii="GHEA Grapalat" w:hAnsi="GHEA Grapalat"/>
          <w:sz w:val="22"/>
          <w:szCs w:val="22"/>
          <w:lang w:val="pt-BR"/>
        </w:rPr>
      </w:pPr>
      <w:r w:rsidRPr="00553E9D">
        <w:rPr>
          <w:rFonts w:ascii="GHEA Grapalat" w:hAnsi="GHEA Grapalat"/>
          <w:sz w:val="22"/>
          <w:szCs w:val="22"/>
        </w:rPr>
        <w:t>ՀՀ</w:t>
      </w:r>
      <w:r w:rsidRPr="00553E9D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553E9D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553E9D">
        <w:rPr>
          <w:rFonts w:ascii="GHEA Grapalat" w:hAnsi="GHEA Grapalat"/>
          <w:sz w:val="22"/>
          <w:szCs w:val="22"/>
          <w:lang w:val="pt-BR"/>
        </w:rPr>
        <w:t xml:space="preserve"> 2003 </w:t>
      </w:r>
      <w:proofErr w:type="spellStart"/>
      <w:r w:rsidRPr="00553E9D">
        <w:rPr>
          <w:rFonts w:ascii="GHEA Grapalat" w:hAnsi="GHEA Grapalat"/>
          <w:sz w:val="22"/>
          <w:szCs w:val="22"/>
        </w:rPr>
        <w:t>թվականի</w:t>
      </w:r>
      <w:proofErr w:type="spellEnd"/>
    </w:p>
    <w:p w14:paraId="4D5AEF89" w14:textId="77777777" w:rsidR="00966D70" w:rsidRPr="00553E9D" w:rsidRDefault="00966D70" w:rsidP="00966D70">
      <w:pPr>
        <w:pStyle w:val="ListParagraph"/>
        <w:spacing w:line="276" w:lineRule="auto"/>
        <w:ind w:left="0"/>
        <w:jc w:val="right"/>
        <w:rPr>
          <w:rFonts w:ascii="GHEA Grapalat" w:hAnsi="GHEA Grapalat"/>
          <w:sz w:val="22"/>
          <w:szCs w:val="22"/>
          <w:lang w:val="pt-BR"/>
        </w:rPr>
      </w:pPr>
      <w:r w:rsidRPr="00553E9D">
        <w:rPr>
          <w:rFonts w:ascii="GHEA Grapalat" w:hAnsi="GHEA Grapalat"/>
          <w:sz w:val="22"/>
          <w:szCs w:val="22"/>
          <w:lang w:val="hy-AM"/>
        </w:rPr>
        <w:t>մարտի 27-ի 347-</w:t>
      </w:r>
      <w:r w:rsidRPr="00553E9D">
        <w:rPr>
          <w:rFonts w:ascii="GHEA Grapalat" w:hAnsi="GHEA Grapalat"/>
          <w:sz w:val="22"/>
          <w:szCs w:val="22"/>
        </w:rPr>
        <w:t>Ն</w:t>
      </w:r>
      <w:r w:rsidRPr="00553E9D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553E9D">
        <w:rPr>
          <w:rFonts w:ascii="GHEA Grapalat" w:hAnsi="GHEA Grapalat"/>
          <w:sz w:val="22"/>
          <w:szCs w:val="22"/>
        </w:rPr>
        <w:t>որոշման</w:t>
      </w:r>
      <w:proofErr w:type="spellEnd"/>
    </w:p>
    <w:p w14:paraId="2B323B24" w14:textId="77777777" w:rsidR="00966D70" w:rsidRPr="00553E9D" w:rsidRDefault="00966D70" w:rsidP="00D324B2">
      <w:pPr>
        <w:pStyle w:val="ListParagraph"/>
        <w:spacing w:line="360" w:lineRule="auto"/>
        <w:ind w:left="0"/>
        <w:jc w:val="right"/>
        <w:rPr>
          <w:rFonts w:ascii="GHEA Grapalat" w:hAnsi="GHEA Grapalat"/>
          <w:lang w:val="pt-BR"/>
        </w:rPr>
      </w:pPr>
    </w:p>
    <w:p w14:paraId="55A28718" w14:textId="77777777" w:rsidR="00FC3265" w:rsidRPr="00553E9D" w:rsidRDefault="00FC3265" w:rsidP="00FC3265">
      <w:pPr>
        <w:pStyle w:val="ListParagraph"/>
        <w:spacing w:line="360" w:lineRule="auto"/>
        <w:jc w:val="center"/>
        <w:rPr>
          <w:rFonts w:ascii="GHEA Grapalat" w:hAnsi="GHEA Grapalat"/>
          <w:lang w:val="pt-BR"/>
        </w:rPr>
      </w:pPr>
      <w:r w:rsidRPr="00553E9D">
        <w:rPr>
          <w:rFonts w:ascii="GHEA Grapalat" w:hAnsi="GHEA Grapalat"/>
        </w:rPr>
        <w:t>ՑԱՆԿ</w:t>
      </w:r>
    </w:p>
    <w:p w14:paraId="44AFF90A" w14:textId="57258C05" w:rsidR="00FC3265" w:rsidRPr="00553E9D" w:rsidRDefault="00FC3265" w:rsidP="00FC3265">
      <w:pPr>
        <w:pStyle w:val="ListParagraph"/>
        <w:spacing w:line="360" w:lineRule="auto"/>
        <w:ind w:left="0"/>
        <w:jc w:val="center"/>
        <w:rPr>
          <w:rFonts w:ascii="GHEA Grapalat" w:hAnsi="GHEA Grapalat"/>
          <w:lang w:val="pt-BR"/>
        </w:rPr>
      </w:pPr>
      <w:r w:rsidRPr="00553E9D">
        <w:rPr>
          <w:rFonts w:ascii="GHEA Grapalat" w:hAnsi="GHEA Grapalat"/>
        </w:rPr>
        <w:t>ԳՈՐԾՈՒՆԵՈՒԹՅԱՆ</w:t>
      </w:r>
      <w:r w:rsidRPr="00553E9D">
        <w:rPr>
          <w:rFonts w:ascii="GHEA Grapalat" w:hAnsi="GHEA Grapalat"/>
          <w:lang w:val="pt-BR"/>
        </w:rPr>
        <w:t xml:space="preserve"> </w:t>
      </w:r>
      <w:r w:rsidRPr="00553E9D">
        <w:rPr>
          <w:rFonts w:ascii="GHEA Grapalat" w:hAnsi="GHEA Grapalat"/>
        </w:rPr>
        <w:t>ՈԼՈՐՏՆԵՐԻ</w:t>
      </w:r>
      <w:r w:rsidRPr="00553E9D">
        <w:rPr>
          <w:rFonts w:ascii="GHEA Grapalat" w:hAnsi="GHEA Grapalat"/>
          <w:lang w:val="pt-BR"/>
        </w:rPr>
        <w:t xml:space="preserve"> </w:t>
      </w:r>
      <w:r w:rsidRPr="00553E9D">
        <w:rPr>
          <w:rFonts w:ascii="GHEA Grapalat" w:hAnsi="GHEA Grapalat"/>
        </w:rPr>
        <w:t>ԵՎ</w:t>
      </w:r>
      <w:r w:rsidRPr="00553E9D">
        <w:rPr>
          <w:rFonts w:ascii="GHEA Grapalat" w:hAnsi="GHEA Grapalat"/>
          <w:lang w:val="pt-BR"/>
        </w:rPr>
        <w:t xml:space="preserve"> </w:t>
      </w:r>
      <w:r w:rsidRPr="00553E9D">
        <w:rPr>
          <w:rFonts w:ascii="GHEA Grapalat" w:hAnsi="GHEA Grapalat"/>
        </w:rPr>
        <w:t>ԲԺՇԿԱԿԱՆ</w:t>
      </w:r>
      <w:r w:rsidRPr="00553E9D">
        <w:rPr>
          <w:rFonts w:ascii="GHEA Grapalat" w:hAnsi="GHEA Grapalat"/>
          <w:lang w:val="pt-BR"/>
        </w:rPr>
        <w:t xml:space="preserve"> </w:t>
      </w:r>
      <w:r w:rsidRPr="00553E9D">
        <w:rPr>
          <w:rFonts w:ascii="GHEA Grapalat" w:hAnsi="GHEA Grapalat"/>
        </w:rPr>
        <w:t>ԶՆՆՈՒԹՅԱՆ</w:t>
      </w:r>
      <w:r w:rsidRPr="00553E9D">
        <w:rPr>
          <w:rFonts w:ascii="GHEA Grapalat" w:hAnsi="GHEA Grapalat"/>
          <w:lang w:val="pt-BR"/>
        </w:rPr>
        <w:t xml:space="preserve"> </w:t>
      </w:r>
      <w:r w:rsidRPr="00553E9D">
        <w:rPr>
          <w:rFonts w:ascii="GHEA Grapalat" w:hAnsi="GHEA Grapalat"/>
        </w:rPr>
        <w:t>ԾԱՎԱԼԻ</w:t>
      </w:r>
      <w:r w:rsidRPr="00553E9D">
        <w:rPr>
          <w:rFonts w:ascii="GHEA Grapalat" w:hAnsi="GHEA Grapalat"/>
          <w:lang w:val="pt-BR"/>
        </w:rPr>
        <w:t xml:space="preserve"> </w:t>
      </w:r>
      <w:r w:rsidRPr="00553E9D">
        <w:rPr>
          <w:rFonts w:ascii="GHEA Grapalat" w:hAnsi="GHEA Grapalat"/>
        </w:rPr>
        <w:t>ՈՒ</w:t>
      </w:r>
      <w:r w:rsidRPr="00553E9D">
        <w:rPr>
          <w:rFonts w:ascii="GHEA Grapalat" w:hAnsi="GHEA Grapalat"/>
          <w:lang w:val="pt-BR"/>
        </w:rPr>
        <w:t xml:space="preserve"> </w:t>
      </w:r>
      <w:r w:rsidRPr="00553E9D">
        <w:rPr>
          <w:rFonts w:ascii="GHEA Grapalat" w:hAnsi="GHEA Grapalat"/>
        </w:rPr>
        <w:t>ՀԱՃԱԽԱԿԱՆՈՒԹՅԱՆ</w:t>
      </w:r>
    </w:p>
    <w:tbl>
      <w:tblPr>
        <w:tblStyle w:val="TableGrid"/>
        <w:tblW w:w="1494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01"/>
        <w:gridCol w:w="2199"/>
        <w:gridCol w:w="1320"/>
        <w:gridCol w:w="1417"/>
        <w:gridCol w:w="1320"/>
        <w:gridCol w:w="1394"/>
        <w:gridCol w:w="1483"/>
        <w:gridCol w:w="1256"/>
        <w:gridCol w:w="1530"/>
        <w:gridCol w:w="1260"/>
        <w:gridCol w:w="1265"/>
      </w:tblGrid>
      <w:tr w:rsidR="007524CD" w:rsidRPr="00820A9F" w14:paraId="4FF652B8" w14:textId="77777777" w:rsidTr="007524CD">
        <w:tc>
          <w:tcPr>
            <w:tcW w:w="501" w:type="dxa"/>
          </w:tcPr>
          <w:p w14:paraId="7F9C303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NN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br/>
              <w:t>ը/կ</w:t>
            </w:r>
          </w:p>
        </w:tc>
        <w:tc>
          <w:tcPr>
            <w:tcW w:w="2199" w:type="dxa"/>
          </w:tcPr>
          <w:p w14:paraId="25F3625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Կազմակերպու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թյուններ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մասնագիտություններ</w:t>
            </w:r>
            <w:proofErr w:type="spellEnd"/>
          </w:p>
        </w:tc>
        <w:tc>
          <w:tcPr>
            <w:tcW w:w="1320" w:type="dxa"/>
          </w:tcPr>
          <w:p w14:paraId="05109DD1" w14:textId="52AB40A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Թերապևտի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ընտանեկան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բժշկի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զննու</w:t>
            </w:r>
            <w:proofErr w:type="spellEnd"/>
            <w:r w:rsidR="00237F67"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թյուն</w:t>
            </w:r>
          </w:p>
        </w:tc>
        <w:tc>
          <w:tcPr>
            <w:tcW w:w="1417" w:type="dxa"/>
          </w:tcPr>
          <w:p w14:paraId="69831837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Հետազոտու-թյուններ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տուբերկուլոզի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նկատմամբ</w:t>
            </w:r>
            <w:proofErr w:type="spellEnd"/>
          </w:p>
        </w:tc>
        <w:tc>
          <w:tcPr>
            <w:tcW w:w="1320" w:type="dxa"/>
          </w:tcPr>
          <w:p w14:paraId="6544E62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Մաշկավենե-րաբանի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զննում</w:t>
            </w:r>
            <w:proofErr w:type="spellEnd"/>
          </w:p>
        </w:tc>
        <w:tc>
          <w:tcPr>
            <w:tcW w:w="1394" w:type="dxa"/>
          </w:tcPr>
          <w:p w14:paraId="1F3E166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Հետազոտու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թյուն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սիֆիլիսի</w:t>
            </w:r>
            <w:proofErr w:type="spellEnd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նկատմամբ</w:t>
            </w:r>
            <w:proofErr w:type="spellEnd"/>
          </w:p>
        </w:tc>
        <w:tc>
          <w:tcPr>
            <w:tcW w:w="1483" w:type="dxa"/>
          </w:tcPr>
          <w:p w14:paraId="2BEF062D" w14:textId="16F286C0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Հետազոտու-թյուն աղիքային վարակիչ հիվանդու-թյունների նկատմամբ (մանրէակրու-թյուն)</w:t>
            </w:r>
          </w:p>
        </w:tc>
        <w:tc>
          <w:tcPr>
            <w:tcW w:w="1256" w:type="dxa"/>
          </w:tcPr>
          <w:p w14:paraId="0BCCB721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Հետազոտություններ հելմինթա-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br/>
              <w:t>կրության նկատմամբ</w:t>
            </w:r>
          </w:p>
        </w:tc>
        <w:tc>
          <w:tcPr>
            <w:tcW w:w="1530" w:type="dxa"/>
          </w:tcPr>
          <w:p w14:paraId="479A2B1B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Հետազոտու-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br/>
              <w:t>թյուն վիրուսային հեպատիտ Բ-ի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br/>
              <w:t>նկատմամբ</w:t>
            </w:r>
          </w:p>
        </w:tc>
        <w:tc>
          <w:tcPr>
            <w:tcW w:w="1260" w:type="dxa"/>
          </w:tcPr>
          <w:p w14:paraId="0074748B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Հետա-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br/>
              <w:t>զոտություն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br/>
              <w:t>վիրուսային հեպատիտ Ց-ի նկատմամբ</w:t>
            </w:r>
          </w:p>
        </w:tc>
        <w:tc>
          <w:tcPr>
            <w:tcW w:w="1265" w:type="dxa"/>
          </w:tcPr>
          <w:p w14:paraId="0EA7A1C9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Հետազո-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br/>
              <w:t>տություն քիթ-ըմպանի ախտածին ստա-ֆիլակոկի նկատմամբ</w:t>
            </w:r>
          </w:p>
        </w:tc>
      </w:tr>
      <w:tr w:rsidR="007524CD" w:rsidRPr="00820A9F" w14:paraId="3692A721" w14:textId="77777777" w:rsidTr="007524CD">
        <w:tc>
          <w:tcPr>
            <w:tcW w:w="501" w:type="dxa"/>
          </w:tcPr>
          <w:p w14:paraId="37D032C0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199" w:type="dxa"/>
          </w:tcPr>
          <w:p w14:paraId="4937C013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20" w:type="dxa"/>
          </w:tcPr>
          <w:p w14:paraId="7AD067F3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</w:tcPr>
          <w:p w14:paraId="2830C752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320" w:type="dxa"/>
          </w:tcPr>
          <w:p w14:paraId="725B59F2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394" w:type="dxa"/>
          </w:tcPr>
          <w:p w14:paraId="35968BDB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6B801C9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56" w:type="dxa"/>
          </w:tcPr>
          <w:p w14:paraId="2CD67486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3A41093A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6C0BDA06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1DB7FDD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</w:tr>
      <w:tr w:rsidR="007524CD" w:rsidRPr="00820A9F" w14:paraId="4E1313F1" w14:textId="77777777" w:rsidTr="007524CD">
        <w:tc>
          <w:tcPr>
            <w:tcW w:w="501" w:type="dxa"/>
          </w:tcPr>
          <w:p w14:paraId="33227E65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99" w:type="dxa"/>
          </w:tcPr>
          <w:p w14:paraId="4D57C7A0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Սննդի արտադրության ոլորտի, գյուղացիական, անասնապահական տնտեսությունների, (բացառությամբ` ֆիզիկական անձանց), թռչնաբուծարանների, սպանդանոցների, թարմ մսի կտրատման բաժինների, էկզոտիկ կենդանիներ պահող (իրացնող) կազմակեր-պությունների, սննդամթերքի պահեստների և բազաների աշխատողներ, որոնք շփում ունեն սննդամթերքի հետ դրա արտադրման, փաթեթավորման, պահպանման և իրացման ընթացքում, ինչպես նաև բոլոր տեսակի փոխադրա-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միջոցներով փոխադրման ընթացքում սննդամթերքի հետ շփվող անձինք, այդ թվում՝ առաքիչներ, հանրային սննդի կազմակերպությունների, սննդի առևտրի օբյեկտների աշխատակիցներ: Սույն ցանկի 7-րդ, 8-րդ և 9-րդ կետերում նշված կազմակերպությունների արտադրական շենքերում, պահեստներում և սննդի ընդունման կետերում աշխատողներ:</w:t>
            </w:r>
          </w:p>
        </w:tc>
        <w:tc>
          <w:tcPr>
            <w:tcW w:w="1320" w:type="dxa"/>
          </w:tcPr>
          <w:p w14:paraId="3B922449" w14:textId="75F8A0EF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Աշխատանքի ընդունվելիս և հետագայում` կիսամյակը 1 անգամ</w:t>
            </w:r>
          </w:p>
        </w:tc>
        <w:tc>
          <w:tcPr>
            <w:tcW w:w="1417" w:type="dxa"/>
          </w:tcPr>
          <w:p w14:paraId="7086D238" w14:textId="69FD069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կիսամյակը 1 անգամ</w:t>
            </w:r>
          </w:p>
        </w:tc>
        <w:tc>
          <w:tcPr>
            <w:tcW w:w="1320" w:type="dxa"/>
          </w:tcPr>
          <w:p w14:paraId="7F3B960A" w14:textId="55836589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Աշխատան-քի ընդունվելիս և հետագա-յում` կիսամյակը 1 անգամ</w:t>
            </w:r>
          </w:p>
        </w:tc>
        <w:tc>
          <w:tcPr>
            <w:tcW w:w="1394" w:type="dxa"/>
          </w:tcPr>
          <w:p w14:paraId="2BF80CD3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6610B29F" w14:textId="2CDB2378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Աշխատան-քի ընդունվելիս և հետագայում` կիսամյակը 1 անգամ</w:t>
            </w:r>
          </w:p>
        </w:tc>
        <w:tc>
          <w:tcPr>
            <w:tcW w:w="1256" w:type="dxa"/>
          </w:tcPr>
          <w:p w14:paraId="29A171E7" w14:textId="6DEC7F3E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Աշխատան-քի ընդունվելիս և հետագայում` կիսամյակը 1 անգամ</w:t>
            </w:r>
          </w:p>
        </w:tc>
        <w:tc>
          <w:tcPr>
            <w:tcW w:w="1530" w:type="dxa"/>
          </w:tcPr>
          <w:p w14:paraId="319B733A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33A03669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245438C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Միայն կրեմային հրուշա-կեղենի, կաթի մշակման, կաթնա-մթերքի և մանկական սննդի արտադրու-թյամբ կամ վաճառքով զբաղվող անձանց համար` աշխատան-քի ընդուն-վելիս և հետագայում տարին 1 անգամ</w:t>
            </w:r>
          </w:p>
        </w:tc>
      </w:tr>
      <w:tr w:rsidR="007524CD" w:rsidRPr="00820A9F" w14:paraId="11614193" w14:textId="77777777" w:rsidTr="007524CD">
        <w:tc>
          <w:tcPr>
            <w:tcW w:w="501" w:type="dxa"/>
          </w:tcPr>
          <w:p w14:paraId="4CF0E2BC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99" w:type="dxa"/>
          </w:tcPr>
          <w:p w14:paraId="50372C80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Մանկաբարձա-գինեկոլոգիական, 18 տարեկանից ցածր անձանց բժշկական օգնություն և սպասարկում, ստոմատոլոգիական, վիրաբուժական, </w:t>
            </w:r>
            <w:bookmarkStart w:id="6" w:name="_Hlk223513796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բժշկական կոսմետոլոգիական</w:t>
            </w:r>
            <w:bookmarkEnd w:id="6"/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, մաշկավեներաբանական, բժշկական օգնություն և սպասարկում (արտահի-վանդանոցային և հիվանդանոցային) իրականացնող, հոգեբուժական կազմակերպություններ, 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վերակենդանացման, հեմոդիալիզի բաժանմունքների, ախտորոշիչ լաբորատորիաների, մանրէազերծման բաժանմունքների, արյան 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հավաքագրման և փոխներարկման կետերի կամ բաժանմունքների, միջամտություններ իրականացնող կաբինետների ավագ, միջին և կրտսեր բուժաշխատողներ</w:t>
            </w:r>
          </w:p>
        </w:tc>
        <w:tc>
          <w:tcPr>
            <w:tcW w:w="1320" w:type="dxa"/>
          </w:tcPr>
          <w:p w14:paraId="6FB2FB0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4055DF50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3964E5E4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94" w:type="dxa"/>
          </w:tcPr>
          <w:p w14:paraId="6ED42FE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հետագայում՝ տարին 1 անգամ` միջամտութ-յուններ իրականացնող կամ արյան և դրա բաղադրիչների հետ առնչվող բուժաշխա-տողները միայն</w:t>
            </w:r>
          </w:p>
        </w:tc>
        <w:tc>
          <w:tcPr>
            <w:tcW w:w="1483" w:type="dxa"/>
          </w:tcPr>
          <w:p w14:paraId="5D3E5CC0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256" w:type="dxa"/>
          </w:tcPr>
          <w:p w14:paraId="3C7915A1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530" w:type="dxa"/>
          </w:tcPr>
          <w:p w14:paraId="0C3FA033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 տարին 1 անգամ` միայն միջամտութ-յուններ իրակա-նացնող կամ արյան և դրա բաղադրիչների հետ առնչվող բուժաշխա-տողները</w:t>
            </w:r>
          </w:p>
        </w:tc>
        <w:tc>
          <w:tcPr>
            <w:tcW w:w="1260" w:type="dxa"/>
          </w:tcPr>
          <w:p w14:paraId="7FF18EC7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 տարին 1 անգամ` միայն միջամտու-թյուններ իրականացնող կամ արյան և դրա բաղադրիչ-ների հետ առնչվող բուժաշխա-տողները</w:t>
            </w:r>
          </w:p>
        </w:tc>
        <w:tc>
          <w:tcPr>
            <w:tcW w:w="1265" w:type="dxa"/>
          </w:tcPr>
          <w:p w14:paraId="70FF68B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</w:tr>
      <w:tr w:rsidR="007524CD" w:rsidRPr="00820A9F" w14:paraId="110B3EF3" w14:textId="77777777" w:rsidTr="007524CD">
        <w:tc>
          <w:tcPr>
            <w:tcW w:w="501" w:type="dxa"/>
          </w:tcPr>
          <w:p w14:paraId="5B1D5913" w14:textId="572D147F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3</w:t>
            </w:r>
            <w:r w:rsidRPr="00553E9D">
              <w:rPr>
                <w:rFonts w:ascii="MS Mincho" w:eastAsia="MS Mincho" w:hAnsi="MS Mincho" w:cs="MS Mincho"/>
                <w:color w:val="000000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2199" w:type="dxa"/>
          </w:tcPr>
          <w:p w14:paraId="0FEF2258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Սույն ցանկի</w:t>
            </w:r>
            <w:r w:rsidRPr="00553E9D" w:rsidDel="0088131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53E9D">
              <w:rPr>
                <w:rFonts w:ascii="GHEA Grapalat" w:hAnsi="GHEA Grapalat"/>
                <w:sz w:val="16"/>
                <w:szCs w:val="16"/>
                <w:lang w:val="hy-AM"/>
              </w:rPr>
              <w:t xml:space="preserve">2-րդ կետում չներառված </w:t>
            </w:r>
            <w:r w:rsidRPr="00553E9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ավագ, միջին և կրտսեր բուժաշխատողներ </w:t>
            </w:r>
            <w:r w:rsidRPr="00553E9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20" w:type="dxa"/>
          </w:tcPr>
          <w:p w14:paraId="640547C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399FBE3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40520A4B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1394" w:type="dxa"/>
          </w:tcPr>
          <w:p w14:paraId="2661BAC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0E486FB1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1256" w:type="dxa"/>
          </w:tcPr>
          <w:p w14:paraId="0BF1A0A3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1530" w:type="dxa"/>
          </w:tcPr>
          <w:p w14:paraId="4FAC3DB1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1DC79D26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0DE47939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Աշխատանքի ընդունվելիս և հետագայում` տարին 1 անգամ</w:t>
            </w:r>
          </w:p>
        </w:tc>
      </w:tr>
      <w:tr w:rsidR="007524CD" w:rsidRPr="00820A9F" w14:paraId="34F1D2B5" w14:textId="77777777" w:rsidTr="007524CD">
        <w:tc>
          <w:tcPr>
            <w:tcW w:w="501" w:type="dxa"/>
          </w:tcPr>
          <w:p w14:paraId="777AAF70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99" w:type="dxa"/>
          </w:tcPr>
          <w:p w14:paraId="38A9609C" w14:textId="07B0883E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Դեղագործական կազմակերպությունների և դեղատների աշխատողներ, որոնք զբաղված են </w:t>
            </w:r>
            <w:r w:rsidR="00B35156"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դեղերի 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պատրաստմամբ և փաթեթավորմամբ</w:t>
            </w:r>
          </w:p>
        </w:tc>
        <w:tc>
          <w:tcPr>
            <w:tcW w:w="1320" w:type="dxa"/>
          </w:tcPr>
          <w:p w14:paraId="54EC2380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021AD5B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5A86B79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94" w:type="dxa"/>
          </w:tcPr>
          <w:p w14:paraId="7D3EB07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6905B3E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256" w:type="dxa"/>
          </w:tcPr>
          <w:p w14:paraId="1AD48981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530" w:type="dxa"/>
          </w:tcPr>
          <w:p w14:paraId="66ABDDB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6A66D7F4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0677973E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</w:tr>
      <w:tr w:rsidR="007524CD" w:rsidRPr="00820A9F" w14:paraId="5CED72BA" w14:textId="77777777" w:rsidTr="007524CD">
        <w:tc>
          <w:tcPr>
            <w:tcW w:w="501" w:type="dxa"/>
          </w:tcPr>
          <w:p w14:paraId="3C2D3189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2199" w:type="dxa"/>
          </w:tcPr>
          <w:p w14:paraId="2CD22F0F" w14:textId="5F0BAA39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Դեղատների, աշխատողներ, որոնք զբաղված են </w:t>
            </w:r>
            <w:r w:rsidR="000D0294"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դեղերի 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իրացմամբ</w:t>
            </w:r>
          </w:p>
        </w:tc>
        <w:tc>
          <w:tcPr>
            <w:tcW w:w="1320" w:type="dxa"/>
          </w:tcPr>
          <w:p w14:paraId="16642792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1B4ECCB4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390FE5D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394" w:type="dxa"/>
          </w:tcPr>
          <w:p w14:paraId="31F22C46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32993CDE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56" w:type="dxa"/>
          </w:tcPr>
          <w:p w14:paraId="3BC0D66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6FEE31B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1FF71753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654681C6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</w:tr>
      <w:tr w:rsidR="007524CD" w:rsidRPr="00820A9F" w14:paraId="15ADADF1" w14:textId="77777777" w:rsidTr="007524CD">
        <w:tc>
          <w:tcPr>
            <w:tcW w:w="501" w:type="dxa"/>
          </w:tcPr>
          <w:p w14:paraId="1C5735B2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2199" w:type="dxa"/>
          </w:tcPr>
          <w:p w14:paraId="58B3A542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Կոսմետիկ միջոցներ, անձնական հիգիենայի և նորածնային խնամքի պարագաներ արտադրող կազմակերպությունների աշխատողներ</w:t>
            </w:r>
          </w:p>
        </w:tc>
        <w:tc>
          <w:tcPr>
            <w:tcW w:w="1320" w:type="dxa"/>
          </w:tcPr>
          <w:p w14:paraId="7ED7CCA2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37D26620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320" w:type="dxa"/>
          </w:tcPr>
          <w:p w14:paraId="1DA4BC7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94" w:type="dxa"/>
          </w:tcPr>
          <w:p w14:paraId="53DE9E62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1E6EF330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256" w:type="dxa"/>
          </w:tcPr>
          <w:p w14:paraId="21744D42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530" w:type="dxa"/>
          </w:tcPr>
          <w:p w14:paraId="05C4A822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6472DAF2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25465167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</w:tr>
      <w:tr w:rsidR="007524CD" w:rsidRPr="00820A9F" w14:paraId="2407E10B" w14:textId="77777777" w:rsidTr="007524CD">
        <w:tc>
          <w:tcPr>
            <w:tcW w:w="501" w:type="dxa"/>
          </w:tcPr>
          <w:p w14:paraId="42F6C201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2199" w:type="dxa"/>
          </w:tcPr>
          <w:p w14:paraId="0F7D76D5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Հանրակրթական ուսումնական հաստա-տությունների, նախնական (արհեստագործական), միջին մասնագիտական և բարձրագույն ուսումնական հաստատությունների, ինչպես նաև արտադպրոցական կրթության հաստատութ-յունների (բուհեր, հանրակրթական դպրոցների, քոլեջների, վարժարանների, մարզադպրոցների, ուսումնարանների, արվեստի դպրոցների, այդ 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թվում՝ երաժշտական դպրոցների և համապատասխան խմբակների, համակարգչային և լեզվի ուսուցման դասընթացների), հիմնադրամի և կրթահամալիրի աշխատողներ, որոնք անմիջականորեն մասնակցում են ուսումնադաս-տիարակչական աշխատանքներին</w:t>
            </w:r>
          </w:p>
        </w:tc>
        <w:tc>
          <w:tcPr>
            <w:tcW w:w="1320" w:type="dxa"/>
          </w:tcPr>
          <w:p w14:paraId="5B449461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70FD469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հետագայում՝ սույն որոշման հավելված 1-ի 4-րդ կետի 2-րդ ենթակետով սահմանված կարգով</w:t>
            </w:r>
          </w:p>
        </w:tc>
        <w:tc>
          <w:tcPr>
            <w:tcW w:w="1320" w:type="dxa"/>
          </w:tcPr>
          <w:p w14:paraId="3F8B257E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394" w:type="dxa"/>
          </w:tcPr>
          <w:p w14:paraId="582A239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63A56439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56" w:type="dxa"/>
          </w:tcPr>
          <w:p w14:paraId="5B02DA43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177C2A56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1170F199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34F1319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</w:tr>
      <w:tr w:rsidR="007524CD" w:rsidRPr="00820A9F" w14:paraId="41E68772" w14:textId="77777777" w:rsidTr="007524CD">
        <w:tc>
          <w:tcPr>
            <w:tcW w:w="501" w:type="dxa"/>
          </w:tcPr>
          <w:p w14:paraId="5D513A83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2199" w:type="dxa"/>
          </w:tcPr>
          <w:p w14:paraId="103E936D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Երեխաներին խնամք տրամադրող` բնակչության սոցիալական պաշտպանության ընդհանուր տիպի և հատուկ (մասնագիտացված) հաստատությունների (մանկատների), ընտանեկան միջավայրին մոտ խնամք տրամադրող կազմակերպությունների, երեխաների բժշկասոցիալական վերականգնողական հաստատությունների, երեխաների ժամանակավոր տեղավորման շուրջօրյա հաստատությունների, երեխաների խնամքի և պաշտպանության գիշերօթիկ հաստատութ-յունների, երեխաների սոցիալական հոգածության ցերեկային կենտրոնների, երեխաների աջակցության կենտրոնների, երեխայի և ընտանիքի աջակցության կենտրոնների, նախադպրոցական հաստատությունների, հատուկ հանրակրթական ուսումնական 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հաստատությունների, այլ առողջարանային, մանկական զվարճանքի կազմակերպությունների աշխատողներ, որոնք անմիջապես իրականացնում են երեխաների սպասարկումը</w:t>
            </w:r>
          </w:p>
        </w:tc>
        <w:tc>
          <w:tcPr>
            <w:tcW w:w="1320" w:type="dxa"/>
          </w:tcPr>
          <w:p w14:paraId="4BAA7C49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666EE57E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4766FEF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94" w:type="dxa"/>
          </w:tcPr>
          <w:p w14:paraId="5550550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05DA945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256" w:type="dxa"/>
          </w:tcPr>
          <w:p w14:paraId="2D7A4459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530" w:type="dxa"/>
          </w:tcPr>
          <w:p w14:paraId="469CC347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06FC566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198C996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</w:tr>
      <w:tr w:rsidR="007524CD" w:rsidRPr="00820A9F" w14:paraId="2B459DBC" w14:textId="77777777" w:rsidTr="007524CD">
        <w:tc>
          <w:tcPr>
            <w:tcW w:w="501" w:type="dxa"/>
          </w:tcPr>
          <w:p w14:paraId="43E6F7A1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2199" w:type="dxa"/>
          </w:tcPr>
          <w:p w14:paraId="0EB6C5D1" w14:textId="27C7D94E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Առողջարանների, հանգստյան տների, դպրոցական, ուսանողական ճամբարների, վերականգնողական կենտրոնների, տարեցների, հաշմանդամություն ունեցող անձանց, հոգեկան (այդ թվում՝ մտավոր) խնդիրներ ունեցող անձանց շուրջօրյա և (կամ) ցերեկային խնամք և սպասարկում իրականացնող կազմակերպությունների աշխատողներ, որոնք անմիջականորեն իրականացնում են հանգստացողների, շահառուների, </w:t>
            </w:r>
            <w:r w:rsidR="000D0294"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պացիենտների 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սպասարկումը</w:t>
            </w:r>
          </w:p>
        </w:tc>
        <w:tc>
          <w:tcPr>
            <w:tcW w:w="1320" w:type="dxa"/>
          </w:tcPr>
          <w:p w14:paraId="14CF8CB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7956EFC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173952DA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94" w:type="dxa"/>
          </w:tcPr>
          <w:p w14:paraId="0D2C397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74A5032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256" w:type="dxa"/>
          </w:tcPr>
          <w:p w14:paraId="79781F6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530" w:type="dxa"/>
          </w:tcPr>
          <w:p w14:paraId="105A947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7DFE09B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15C7C10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</w:tr>
      <w:tr w:rsidR="007524CD" w:rsidRPr="00820A9F" w14:paraId="50BB99CC" w14:textId="77777777" w:rsidTr="007524CD">
        <w:tc>
          <w:tcPr>
            <w:tcW w:w="501" w:type="dxa"/>
          </w:tcPr>
          <w:p w14:paraId="28C10DDD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2199" w:type="dxa"/>
          </w:tcPr>
          <w:p w14:paraId="113DA597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Բնակչության կոմունալ կենցաղային սպասարկման կազմակեր-պությունների` հյուրանոցների, հանրակացարանների, լվացքատների աշխատողներ, որոնք ընդգրկված են տեխնոլոգիական գործընթացներում կամ սպասարկման ոլորտում</w:t>
            </w:r>
          </w:p>
        </w:tc>
        <w:tc>
          <w:tcPr>
            <w:tcW w:w="1320" w:type="dxa"/>
          </w:tcPr>
          <w:p w14:paraId="05063E3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5B8D8BD6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603A71F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94" w:type="dxa"/>
          </w:tcPr>
          <w:p w14:paraId="3D343AF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17C8300A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Հյուրանոցների աշխատողներ , որոնք ընդգրկված են հյուրերի կամ բնակիչների անմիջական սպասարկման ոլորտում աշխատանքի ընդունվելիս և հետագայում` տարին 1 անգամ</w:t>
            </w:r>
          </w:p>
        </w:tc>
        <w:tc>
          <w:tcPr>
            <w:tcW w:w="1256" w:type="dxa"/>
          </w:tcPr>
          <w:p w14:paraId="75E7BC9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Հյուրանոցների աշխատողներ , որոնք ընդգրկված են հյուրերի կամ բնակիչների անմիջական սպասարկման ոլորտում աշխատանքի ընդունվելիս և հետագայում` 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տարին 1 անգամ</w:t>
            </w:r>
          </w:p>
        </w:tc>
        <w:tc>
          <w:tcPr>
            <w:tcW w:w="1530" w:type="dxa"/>
          </w:tcPr>
          <w:p w14:paraId="563A8ED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1F87ECD6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3C958FD4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</w:tr>
      <w:tr w:rsidR="007524CD" w:rsidRPr="00820A9F" w14:paraId="43F8573E" w14:textId="77777777" w:rsidTr="007524CD">
        <w:tc>
          <w:tcPr>
            <w:tcW w:w="501" w:type="dxa"/>
          </w:tcPr>
          <w:p w14:paraId="48080286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2199" w:type="dxa"/>
          </w:tcPr>
          <w:p w14:paraId="7655993B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Բնակչության կոմունալ կենցաղային սպասարկման կազմակեր-պությունների` բաղնիքների, շոգեբաղնիքների,</w:t>
            </w:r>
            <w:r w:rsidRPr="00553E9D">
              <w:rPr>
                <w:rFonts w:ascii="Arial" w:eastAsia="Times New Roman" w:hAnsi="Arial" w:cs="Arial"/>
                <w:color w:val="000000"/>
                <w:sz w:val="16"/>
                <w:szCs w:val="16"/>
                <w:lang w:val="hy-AM" w:eastAsia="ru-RU"/>
              </w:rPr>
              <w:t> </w:t>
            </w:r>
            <w:r w:rsidRPr="00553E9D">
              <w:rPr>
                <w:rFonts w:ascii="GHEA Grapalat" w:eastAsia="Times New Roman" w:hAnsi="GHEA Grapalat" w:cs="Arial Unicode"/>
                <w:color w:val="000000"/>
                <w:sz w:val="16"/>
                <w:szCs w:val="16"/>
                <w:lang w:val="hy-AM" w:eastAsia="ru-RU"/>
              </w:rPr>
              <w:t>մերսման սրահների, վարսավիրանոցների և գեղեցկության սրահների աշխատողներ, որոնք ընդգրկված են տեխնոլոգիական գործընթացներում կամ սպասարկման ոլորտում, այդ թվում՝ մերսող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ներ, դաջվածքի և կոսմետիկ միջամտություններ մատուցողներ</w:t>
            </w:r>
          </w:p>
        </w:tc>
        <w:tc>
          <w:tcPr>
            <w:tcW w:w="1320" w:type="dxa"/>
          </w:tcPr>
          <w:p w14:paraId="4CE4625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709EACC0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12564494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94" w:type="dxa"/>
          </w:tcPr>
          <w:p w14:paraId="12919AF0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Մատնա-հարդարները, ոտնահար-դարները, դիմահար-դարները և դաջվածքի</w:t>
            </w:r>
            <w:r w:rsidRPr="00553E9D">
              <w:rPr>
                <w:sz w:val="16"/>
                <w:szCs w:val="16"/>
                <w:lang w:val="hy-AM"/>
              </w:rPr>
              <w:t xml:space="preserve"> 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և կոսմետիկ  միջամտություններ մատուցող    մասնագետ-ները`</w:t>
            </w:r>
            <w:r w:rsidRPr="00553E9D">
              <w:rPr>
                <w:rFonts w:ascii="Arial" w:eastAsia="Times New Roman" w:hAnsi="Arial" w:cs="Arial"/>
                <w:color w:val="000000"/>
                <w:sz w:val="16"/>
                <w:szCs w:val="16"/>
                <w:lang w:val="hy-AM" w:eastAsia="ru-RU"/>
              </w:rPr>
              <w:t> </w:t>
            </w:r>
            <w:r w:rsidRPr="00553E9D">
              <w:rPr>
                <w:rFonts w:ascii="GHEA Grapalat" w:eastAsia="Times New Roman" w:hAnsi="GHEA Grapalat" w:cs="Arial Unicode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հետագայում՝ տարին 1 անգամ</w:t>
            </w:r>
          </w:p>
        </w:tc>
        <w:tc>
          <w:tcPr>
            <w:tcW w:w="1483" w:type="dxa"/>
          </w:tcPr>
          <w:p w14:paraId="76F1B35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256" w:type="dxa"/>
          </w:tcPr>
          <w:p w14:paraId="317AF03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530" w:type="dxa"/>
          </w:tcPr>
          <w:p w14:paraId="545F654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Մատնա-հարդարները, ոտնահար-դարները, դիմահար-դարները և դաջվածքի և կոսմետիկ  միջամտություններ մատուցող  մասնագետ-ները</w:t>
            </w:r>
            <w:r w:rsidRPr="00553E9D">
              <w:rPr>
                <w:rFonts w:ascii="Arial" w:eastAsia="Times New Roman" w:hAnsi="Arial" w:cs="Arial"/>
                <w:color w:val="000000"/>
                <w:sz w:val="16"/>
                <w:szCs w:val="16"/>
                <w:lang w:val="hy-AM" w:eastAsia="ru-RU"/>
              </w:rPr>
              <w:t> </w:t>
            </w:r>
            <w:r w:rsidRPr="00553E9D">
              <w:rPr>
                <w:rFonts w:ascii="GHEA Grapalat" w:eastAsia="Times New Roman" w:hAnsi="GHEA Grapalat" w:cs="Arial Unicode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 տարին 1 անգամ</w:t>
            </w:r>
          </w:p>
        </w:tc>
        <w:tc>
          <w:tcPr>
            <w:tcW w:w="1260" w:type="dxa"/>
          </w:tcPr>
          <w:p w14:paraId="6ABDE83A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Մատնահար-դարները, ոտնահար-դարներ, դիմահար-դարները և դաջվածքի և կոսմետիկ  միջամտություններ մատուցող  մասնագետ-ները`</w:t>
            </w:r>
            <w:r w:rsidRPr="00553E9D">
              <w:rPr>
                <w:rFonts w:ascii="Arial" w:eastAsia="Times New Roman" w:hAnsi="Arial" w:cs="Arial"/>
                <w:color w:val="000000"/>
                <w:sz w:val="16"/>
                <w:szCs w:val="16"/>
                <w:lang w:val="hy-AM" w:eastAsia="ru-RU"/>
              </w:rPr>
              <w:t> </w:t>
            </w:r>
            <w:r w:rsidRPr="00553E9D">
              <w:rPr>
                <w:rFonts w:ascii="GHEA Grapalat" w:eastAsia="Times New Roman" w:hAnsi="GHEA Grapalat" w:cs="Arial Unicode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 տարին 1 անգամ</w:t>
            </w:r>
          </w:p>
        </w:tc>
        <w:tc>
          <w:tcPr>
            <w:tcW w:w="1265" w:type="dxa"/>
          </w:tcPr>
          <w:p w14:paraId="1282EE30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Arial" w:eastAsia="Times New Roman" w:hAnsi="Arial" w:cs="Arial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</w:tr>
      <w:tr w:rsidR="007524CD" w:rsidRPr="00820A9F" w14:paraId="445E003D" w14:textId="77777777" w:rsidTr="007524CD">
        <w:tc>
          <w:tcPr>
            <w:tcW w:w="501" w:type="dxa"/>
          </w:tcPr>
          <w:p w14:paraId="2937BB05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2199" w:type="dxa"/>
          </w:tcPr>
          <w:p w14:paraId="5A0E6BF5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Մարզիչներ, հրահանգիչներ, լողավազանների, մարզաառողջարանային կենտրոնների աշխատողներ</w:t>
            </w:r>
          </w:p>
        </w:tc>
        <w:tc>
          <w:tcPr>
            <w:tcW w:w="1320" w:type="dxa"/>
          </w:tcPr>
          <w:p w14:paraId="7650783B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082174A9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06852960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94" w:type="dxa"/>
          </w:tcPr>
          <w:p w14:paraId="3D91014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7EEA9326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56" w:type="dxa"/>
          </w:tcPr>
          <w:p w14:paraId="081C05E7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530" w:type="dxa"/>
          </w:tcPr>
          <w:p w14:paraId="361B3461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4CB52F53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5DE564E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</w:tr>
      <w:tr w:rsidR="007524CD" w:rsidRPr="00820A9F" w14:paraId="7090BCA0" w14:textId="77777777" w:rsidTr="007524CD">
        <w:tc>
          <w:tcPr>
            <w:tcW w:w="501" w:type="dxa"/>
          </w:tcPr>
          <w:p w14:paraId="653BEEB6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2199" w:type="dxa"/>
          </w:tcPr>
          <w:p w14:paraId="4741B20E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Մարդատար գնացքների, օդանավերի ուղեկցողներ և մաքրող անձնակազմ</w:t>
            </w:r>
          </w:p>
        </w:tc>
        <w:tc>
          <w:tcPr>
            <w:tcW w:w="1320" w:type="dxa"/>
          </w:tcPr>
          <w:p w14:paraId="3E58992E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կիսամյակը 1 անգամ</w:t>
            </w:r>
          </w:p>
        </w:tc>
        <w:tc>
          <w:tcPr>
            <w:tcW w:w="1417" w:type="dxa"/>
          </w:tcPr>
          <w:p w14:paraId="67F9483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61550D6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կիսամյակը 1 անգամ</w:t>
            </w:r>
          </w:p>
        </w:tc>
        <w:tc>
          <w:tcPr>
            <w:tcW w:w="1394" w:type="dxa"/>
          </w:tcPr>
          <w:p w14:paraId="16F0CA1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2E85B6B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կիսամյակը 1 անգամ</w:t>
            </w:r>
          </w:p>
        </w:tc>
        <w:tc>
          <w:tcPr>
            <w:tcW w:w="1256" w:type="dxa"/>
          </w:tcPr>
          <w:p w14:paraId="5AC03717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կիսամյակը 1 անգամ</w:t>
            </w:r>
          </w:p>
        </w:tc>
        <w:tc>
          <w:tcPr>
            <w:tcW w:w="1530" w:type="dxa"/>
          </w:tcPr>
          <w:p w14:paraId="1B0E63AB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121269B2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676D8B9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</w:tr>
      <w:tr w:rsidR="007524CD" w:rsidRPr="00820A9F" w14:paraId="5E191970" w14:textId="77777777" w:rsidTr="007524CD">
        <w:tc>
          <w:tcPr>
            <w:tcW w:w="501" w:type="dxa"/>
          </w:tcPr>
          <w:p w14:paraId="7BA13CBC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2199" w:type="dxa"/>
          </w:tcPr>
          <w:p w14:paraId="73A3E6D0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Ընդհանուր օգտագործման ավտոմոբիլային տրանսպորտով միջպետական, միջմարզային, ներմարզային, միջքաղաքային, մերձքաղաքային և ներքաղաքային կանոնավոր ուղևորափո-խադրումների և ոչ կանոնավոր ուղևորափո-խադրումների, դպրոցական և այլ ուսումնական հաստատությունների, </w:t>
            </w: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բնակչության սոցիալական պաշտպանության կազմակերպությունների ավտոբուսների, միկրոավտոբուսների ինչպես նաև մարդատար տաքսի ավտոմոբիլների վարորդներ</w:t>
            </w:r>
          </w:p>
        </w:tc>
        <w:tc>
          <w:tcPr>
            <w:tcW w:w="1320" w:type="dxa"/>
          </w:tcPr>
          <w:p w14:paraId="71DAB6C4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6EA26B1F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320" w:type="dxa"/>
          </w:tcPr>
          <w:p w14:paraId="67F4701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394" w:type="dxa"/>
          </w:tcPr>
          <w:p w14:paraId="277CBE2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7797C6EA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56" w:type="dxa"/>
          </w:tcPr>
          <w:p w14:paraId="14B6FCAA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4B07D0C3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05E09BD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14C82AA8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</w:tr>
      <w:tr w:rsidR="007524CD" w:rsidRPr="00820A9F" w14:paraId="16692637" w14:textId="77777777" w:rsidTr="007524CD">
        <w:tc>
          <w:tcPr>
            <w:tcW w:w="501" w:type="dxa"/>
          </w:tcPr>
          <w:p w14:paraId="03F1D68D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2199" w:type="dxa"/>
          </w:tcPr>
          <w:p w14:paraId="6FC0922C" w14:textId="77777777" w:rsidR="007524CD" w:rsidRPr="00553E9D" w:rsidRDefault="007524CD" w:rsidP="00253AF6">
            <w:pPr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Ջրմուղների կառույցների աշխատողներ, որոնք անմիջականորեն առնչվում են խմելու ջրի մաքրմանը, վարակազերծմանը և ջրամատակարարման ցանցի սպասարկմանը</w:t>
            </w:r>
          </w:p>
        </w:tc>
        <w:tc>
          <w:tcPr>
            <w:tcW w:w="1320" w:type="dxa"/>
          </w:tcPr>
          <w:p w14:paraId="49B48F9B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</w:tcPr>
          <w:p w14:paraId="2EF5FD42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320" w:type="dxa"/>
          </w:tcPr>
          <w:p w14:paraId="2E019F8D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394" w:type="dxa"/>
          </w:tcPr>
          <w:p w14:paraId="0F529E25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483" w:type="dxa"/>
          </w:tcPr>
          <w:p w14:paraId="6F89B493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256" w:type="dxa"/>
          </w:tcPr>
          <w:p w14:paraId="10E16204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  <w:r w:rsidRPr="00553E9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Աշխատանքի ընդունվելիս և հետագայում` տարին 1 անգամ</w:t>
            </w:r>
          </w:p>
        </w:tc>
        <w:tc>
          <w:tcPr>
            <w:tcW w:w="1530" w:type="dxa"/>
          </w:tcPr>
          <w:p w14:paraId="3179FB9C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2FB66671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</w:tcPr>
          <w:p w14:paraId="0384BD91" w14:textId="77777777" w:rsidR="007524CD" w:rsidRPr="00553E9D" w:rsidRDefault="007524CD" w:rsidP="00253AF6">
            <w:pPr>
              <w:jc w:val="center"/>
              <w:rPr>
                <w:sz w:val="16"/>
                <w:szCs w:val="16"/>
                <w:lang w:val="hy-AM"/>
              </w:rPr>
            </w:pPr>
          </w:p>
        </w:tc>
      </w:tr>
    </w:tbl>
    <w:p w14:paraId="6D9D8307" w14:textId="35EC7D00" w:rsidR="00530274" w:rsidRPr="00553E9D" w:rsidRDefault="00530274" w:rsidP="00FC3265">
      <w:pPr>
        <w:pStyle w:val="ListParagraph"/>
        <w:spacing w:line="360" w:lineRule="auto"/>
        <w:ind w:left="0"/>
        <w:jc w:val="center"/>
        <w:rPr>
          <w:rFonts w:ascii="GHEA Grapalat" w:hAnsi="GHEA Grapalat"/>
          <w:lang w:val="hy-AM"/>
        </w:rPr>
      </w:pPr>
    </w:p>
    <w:p w14:paraId="4C842C5C" w14:textId="65EAAB7B" w:rsidR="00A47CE2" w:rsidRPr="007524CD" w:rsidRDefault="00A47CE2" w:rsidP="00FC3265">
      <w:pPr>
        <w:pStyle w:val="ListParagraph"/>
        <w:spacing w:line="360" w:lineRule="auto"/>
        <w:ind w:left="0"/>
        <w:jc w:val="center"/>
        <w:rPr>
          <w:rFonts w:ascii="GHEA Grapalat" w:hAnsi="GHEA Grapalat"/>
          <w:lang w:val="hy-AM"/>
        </w:rPr>
      </w:pPr>
      <w:r w:rsidRPr="00553E9D">
        <w:rPr>
          <w:rFonts w:ascii="GHEA Grapalat" w:hAnsi="GHEA Grapalat"/>
          <w:lang w:val="hy-AM"/>
        </w:rPr>
        <w:t>»:</w:t>
      </w:r>
    </w:p>
    <w:sectPr w:rsidR="00A47CE2" w:rsidRPr="007524CD" w:rsidSect="00530274">
      <w:pgSz w:w="15840" w:h="12240" w:orient="landscape"/>
      <w:pgMar w:top="630" w:right="851" w:bottom="63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1C4"/>
    <w:multiLevelType w:val="hybridMultilevel"/>
    <w:tmpl w:val="8370BF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2C7"/>
    <w:multiLevelType w:val="hybridMultilevel"/>
    <w:tmpl w:val="6870F9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162E"/>
    <w:multiLevelType w:val="hybridMultilevel"/>
    <w:tmpl w:val="F59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873"/>
    <w:multiLevelType w:val="hybridMultilevel"/>
    <w:tmpl w:val="65107EA2"/>
    <w:lvl w:ilvl="0" w:tplc="04090011">
      <w:start w:val="1"/>
      <w:numFmt w:val="decimal"/>
      <w:lvlText w:val="%1)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6916595"/>
    <w:multiLevelType w:val="hybridMultilevel"/>
    <w:tmpl w:val="88686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0DC6"/>
    <w:multiLevelType w:val="hybridMultilevel"/>
    <w:tmpl w:val="F3B2A8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5410C"/>
    <w:multiLevelType w:val="hybridMultilevel"/>
    <w:tmpl w:val="6E341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45AB4"/>
    <w:multiLevelType w:val="hybridMultilevel"/>
    <w:tmpl w:val="00F8A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408B"/>
    <w:multiLevelType w:val="hybridMultilevel"/>
    <w:tmpl w:val="A4328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F5429"/>
    <w:multiLevelType w:val="hybridMultilevel"/>
    <w:tmpl w:val="F4203B9C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364D60F1"/>
    <w:multiLevelType w:val="hybridMultilevel"/>
    <w:tmpl w:val="4FC22C88"/>
    <w:lvl w:ilvl="0" w:tplc="7602C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F141A"/>
    <w:multiLevelType w:val="hybridMultilevel"/>
    <w:tmpl w:val="5BB0FD96"/>
    <w:lvl w:ilvl="0" w:tplc="87684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A0026"/>
    <w:multiLevelType w:val="hybridMultilevel"/>
    <w:tmpl w:val="E9808F60"/>
    <w:lvl w:ilvl="0" w:tplc="F0CC50E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A796EBF"/>
    <w:multiLevelType w:val="hybridMultilevel"/>
    <w:tmpl w:val="C714F1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40C"/>
    <w:multiLevelType w:val="hybridMultilevel"/>
    <w:tmpl w:val="93243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7E55"/>
    <w:multiLevelType w:val="hybridMultilevel"/>
    <w:tmpl w:val="42BED71A"/>
    <w:lvl w:ilvl="0" w:tplc="5E9E27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987C70A2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8E0DBA"/>
    <w:multiLevelType w:val="hybridMultilevel"/>
    <w:tmpl w:val="68AE6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D123A"/>
    <w:multiLevelType w:val="hybridMultilevel"/>
    <w:tmpl w:val="DBA020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E198B"/>
    <w:multiLevelType w:val="hybridMultilevel"/>
    <w:tmpl w:val="A3D473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51F5E"/>
    <w:multiLevelType w:val="hybridMultilevel"/>
    <w:tmpl w:val="42EA68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414D3"/>
    <w:multiLevelType w:val="hybridMultilevel"/>
    <w:tmpl w:val="AAA89CAC"/>
    <w:lvl w:ilvl="0" w:tplc="09BA8E0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B6EDE"/>
    <w:multiLevelType w:val="hybridMultilevel"/>
    <w:tmpl w:val="0994C9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3"/>
  </w:num>
  <w:num w:numId="6">
    <w:abstractNumId w:val="15"/>
  </w:num>
  <w:num w:numId="7">
    <w:abstractNumId w:val="20"/>
  </w:num>
  <w:num w:numId="8">
    <w:abstractNumId w:val="9"/>
  </w:num>
  <w:num w:numId="9">
    <w:abstractNumId w:val="19"/>
  </w:num>
  <w:num w:numId="10">
    <w:abstractNumId w:val="16"/>
  </w:num>
  <w:num w:numId="11">
    <w:abstractNumId w:val="6"/>
  </w:num>
  <w:num w:numId="12">
    <w:abstractNumId w:val="10"/>
  </w:num>
  <w:num w:numId="13">
    <w:abstractNumId w:val="1"/>
  </w:num>
  <w:num w:numId="14">
    <w:abstractNumId w:val="8"/>
  </w:num>
  <w:num w:numId="15">
    <w:abstractNumId w:val="17"/>
  </w:num>
  <w:num w:numId="16">
    <w:abstractNumId w:val="4"/>
  </w:num>
  <w:num w:numId="17">
    <w:abstractNumId w:val="14"/>
  </w:num>
  <w:num w:numId="18">
    <w:abstractNumId w:val="7"/>
  </w:num>
  <w:num w:numId="19">
    <w:abstractNumId w:val="0"/>
  </w:num>
  <w:num w:numId="20">
    <w:abstractNumId w:val="18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5C"/>
    <w:rsid w:val="000038FE"/>
    <w:rsid w:val="00003F41"/>
    <w:rsid w:val="00006CD3"/>
    <w:rsid w:val="000166E3"/>
    <w:rsid w:val="00022E0B"/>
    <w:rsid w:val="000670CD"/>
    <w:rsid w:val="00091094"/>
    <w:rsid w:val="00092DEA"/>
    <w:rsid w:val="000A3B1E"/>
    <w:rsid w:val="000A52BF"/>
    <w:rsid w:val="000D0294"/>
    <w:rsid w:val="000D798D"/>
    <w:rsid w:val="000E2B21"/>
    <w:rsid w:val="000E2CCF"/>
    <w:rsid w:val="001370A1"/>
    <w:rsid w:val="00150E71"/>
    <w:rsid w:val="001535F7"/>
    <w:rsid w:val="00157B64"/>
    <w:rsid w:val="0016427A"/>
    <w:rsid w:val="00164980"/>
    <w:rsid w:val="00177105"/>
    <w:rsid w:val="001C6F1E"/>
    <w:rsid w:val="00200CAF"/>
    <w:rsid w:val="0020211D"/>
    <w:rsid w:val="00237F67"/>
    <w:rsid w:val="00243B54"/>
    <w:rsid w:val="002705FA"/>
    <w:rsid w:val="00276E45"/>
    <w:rsid w:val="002B194D"/>
    <w:rsid w:val="002C3D49"/>
    <w:rsid w:val="002D6137"/>
    <w:rsid w:val="002E28E2"/>
    <w:rsid w:val="002F76FF"/>
    <w:rsid w:val="003316CC"/>
    <w:rsid w:val="0035643B"/>
    <w:rsid w:val="00363EC1"/>
    <w:rsid w:val="003779A3"/>
    <w:rsid w:val="00392B75"/>
    <w:rsid w:val="003948A6"/>
    <w:rsid w:val="003A6EF0"/>
    <w:rsid w:val="003B61F4"/>
    <w:rsid w:val="003C0FA0"/>
    <w:rsid w:val="003C478E"/>
    <w:rsid w:val="003F2FBD"/>
    <w:rsid w:val="0040462C"/>
    <w:rsid w:val="00404DC9"/>
    <w:rsid w:val="00407DF6"/>
    <w:rsid w:val="004329F1"/>
    <w:rsid w:val="0043340F"/>
    <w:rsid w:val="00447A32"/>
    <w:rsid w:val="00491F44"/>
    <w:rsid w:val="004A117A"/>
    <w:rsid w:val="004A54DA"/>
    <w:rsid w:val="004A6EF9"/>
    <w:rsid w:val="004C0F70"/>
    <w:rsid w:val="004E0B65"/>
    <w:rsid w:val="004E5142"/>
    <w:rsid w:val="00515875"/>
    <w:rsid w:val="00530274"/>
    <w:rsid w:val="00543B7E"/>
    <w:rsid w:val="00546D0F"/>
    <w:rsid w:val="00553E9D"/>
    <w:rsid w:val="0055755A"/>
    <w:rsid w:val="00587A2F"/>
    <w:rsid w:val="005B03A9"/>
    <w:rsid w:val="005C03EF"/>
    <w:rsid w:val="005E4E4F"/>
    <w:rsid w:val="005F5F62"/>
    <w:rsid w:val="005F6B36"/>
    <w:rsid w:val="00611E55"/>
    <w:rsid w:val="006177AF"/>
    <w:rsid w:val="0065425C"/>
    <w:rsid w:val="00670E86"/>
    <w:rsid w:val="00671ED6"/>
    <w:rsid w:val="00671F29"/>
    <w:rsid w:val="006726AE"/>
    <w:rsid w:val="006735FB"/>
    <w:rsid w:val="006E3F6E"/>
    <w:rsid w:val="006F033E"/>
    <w:rsid w:val="00727AE8"/>
    <w:rsid w:val="007317C4"/>
    <w:rsid w:val="007524CD"/>
    <w:rsid w:val="0076029D"/>
    <w:rsid w:val="007741E9"/>
    <w:rsid w:val="007F289D"/>
    <w:rsid w:val="007F3B76"/>
    <w:rsid w:val="007F75DD"/>
    <w:rsid w:val="0081371C"/>
    <w:rsid w:val="008150A4"/>
    <w:rsid w:val="00820A9F"/>
    <w:rsid w:val="00832790"/>
    <w:rsid w:val="00837038"/>
    <w:rsid w:val="008655F6"/>
    <w:rsid w:val="00867304"/>
    <w:rsid w:val="00881315"/>
    <w:rsid w:val="00897E6E"/>
    <w:rsid w:val="008A5697"/>
    <w:rsid w:val="008C5BD0"/>
    <w:rsid w:val="008E088C"/>
    <w:rsid w:val="008E1FE7"/>
    <w:rsid w:val="008E58FE"/>
    <w:rsid w:val="00941267"/>
    <w:rsid w:val="0096461D"/>
    <w:rsid w:val="00966D70"/>
    <w:rsid w:val="00971B5B"/>
    <w:rsid w:val="00980C11"/>
    <w:rsid w:val="0098190C"/>
    <w:rsid w:val="00991AE3"/>
    <w:rsid w:val="00992706"/>
    <w:rsid w:val="009A00CD"/>
    <w:rsid w:val="009A056D"/>
    <w:rsid w:val="009D7A08"/>
    <w:rsid w:val="009E2E48"/>
    <w:rsid w:val="009E5F85"/>
    <w:rsid w:val="009F3CDB"/>
    <w:rsid w:val="00A14DFA"/>
    <w:rsid w:val="00A2201E"/>
    <w:rsid w:val="00A43543"/>
    <w:rsid w:val="00A44128"/>
    <w:rsid w:val="00A45EFB"/>
    <w:rsid w:val="00A45FD0"/>
    <w:rsid w:val="00A47CE2"/>
    <w:rsid w:val="00AB4CD6"/>
    <w:rsid w:val="00AC09B3"/>
    <w:rsid w:val="00AC7C14"/>
    <w:rsid w:val="00AD79C8"/>
    <w:rsid w:val="00AE2358"/>
    <w:rsid w:val="00AF4F75"/>
    <w:rsid w:val="00B11651"/>
    <w:rsid w:val="00B25543"/>
    <w:rsid w:val="00B35156"/>
    <w:rsid w:val="00B46355"/>
    <w:rsid w:val="00B57C38"/>
    <w:rsid w:val="00B862F6"/>
    <w:rsid w:val="00BF349A"/>
    <w:rsid w:val="00BF34E1"/>
    <w:rsid w:val="00C04FC4"/>
    <w:rsid w:val="00C069C0"/>
    <w:rsid w:val="00C11992"/>
    <w:rsid w:val="00C33B20"/>
    <w:rsid w:val="00C4577B"/>
    <w:rsid w:val="00C77E00"/>
    <w:rsid w:val="00C8387C"/>
    <w:rsid w:val="00CA199F"/>
    <w:rsid w:val="00CA765B"/>
    <w:rsid w:val="00CE01AD"/>
    <w:rsid w:val="00CF102B"/>
    <w:rsid w:val="00CF2D8F"/>
    <w:rsid w:val="00D03E23"/>
    <w:rsid w:val="00D05774"/>
    <w:rsid w:val="00D069B0"/>
    <w:rsid w:val="00D23101"/>
    <w:rsid w:val="00D324B2"/>
    <w:rsid w:val="00D3302F"/>
    <w:rsid w:val="00D35540"/>
    <w:rsid w:val="00D54770"/>
    <w:rsid w:val="00D54BAB"/>
    <w:rsid w:val="00D94F44"/>
    <w:rsid w:val="00DA4CE7"/>
    <w:rsid w:val="00DB2BA8"/>
    <w:rsid w:val="00DB5F73"/>
    <w:rsid w:val="00DD36DA"/>
    <w:rsid w:val="00DE2A6F"/>
    <w:rsid w:val="00E05A93"/>
    <w:rsid w:val="00E22BC2"/>
    <w:rsid w:val="00E51837"/>
    <w:rsid w:val="00E7366F"/>
    <w:rsid w:val="00E7499B"/>
    <w:rsid w:val="00ED1165"/>
    <w:rsid w:val="00ED5C51"/>
    <w:rsid w:val="00EF4BC4"/>
    <w:rsid w:val="00EF6F76"/>
    <w:rsid w:val="00F02ADF"/>
    <w:rsid w:val="00F07365"/>
    <w:rsid w:val="00F16EB5"/>
    <w:rsid w:val="00F16F22"/>
    <w:rsid w:val="00F24AF8"/>
    <w:rsid w:val="00F31B7A"/>
    <w:rsid w:val="00F33469"/>
    <w:rsid w:val="00F3393E"/>
    <w:rsid w:val="00F36445"/>
    <w:rsid w:val="00F467DD"/>
    <w:rsid w:val="00F869BE"/>
    <w:rsid w:val="00F908A7"/>
    <w:rsid w:val="00FA38B7"/>
    <w:rsid w:val="00FB097F"/>
    <w:rsid w:val="00FC29E1"/>
    <w:rsid w:val="00FC3265"/>
    <w:rsid w:val="00FD2974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0B75EC"/>
  <w15:chartTrackingRefBased/>
  <w15:docId w15:val="{1AA8BD2E-E571-4ACC-A7A0-58235CC5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5C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71ED6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67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671E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1ED6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671ED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671ED6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671ED6"/>
    <w:pPr>
      <w:spacing w:after="200"/>
    </w:pPr>
    <w:rPr>
      <w:b/>
      <w:bCs/>
      <w:kern w:val="0"/>
      <w:lang w:val="ru-RU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ED6"/>
    <w:rPr>
      <w:b/>
      <w:bCs/>
      <w:sz w:val="20"/>
      <w:szCs w:val="20"/>
    </w:rPr>
  </w:style>
  <w:style w:type="paragraph" w:customStyle="1" w:styleId="Revision1">
    <w:name w:val="Revision1"/>
    <w:next w:val="Revision"/>
    <w:hidden/>
    <w:uiPriority w:val="99"/>
    <w:semiHidden/>
    <w:rsid w:val="00671ED6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671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71ED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671ED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671E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ED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71E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1ED6"/>
    <w:pPr>
      <w:spacing w:after="0" w:line="240" w:lineRule="auto"/>
    </w:pPr>
  </w:style>
  <w:style w:type="table" w:styleId="TableGrid">
    <w:name w:val="Table Grid"/>
    <w:basedOn w:val="TableNormal"/>
    <w:uiPriority w:val="59"/>
    <w:rsid w:val="007524C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22D2-32EE-43F0-9761-6D74BBEE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Grigoryan</dc:creator>
  <cp:keywords>https:/mul2.ncdc.am/tasks/70981/oneclick?token=78733217a17b227844d3733738c42ca5</cp:keywords>
  <dc:description/>
  <cp:lastModifiedBy>Araqsya Hambardzumyan</cp:lastModifiedBy>
  <cp:revision>2</cp:revision>
  <cp:lastPrinted>2026-04-06T12:04:00Z</cp:lastPrinted>
  <dcterms:created xsi:type="dcterms:W3CDTF">2026-04-13T08:36:00Z</dcterms:created>
  <dcterms:modified xsi:type="dcterms:W3CDTF">2026-04-13T08:36:00Z</dcterms:modified>
</cp:coreProperties>
</file>