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EE02B6" w14:textId="77777777" w:rsidR="0032458E" w:rsidRPr="00DE02B3" w:rsidRDefault="0032458E" w:rsidP="0032458E">
      <w:pPr>
        <w:tabs>
          <w:tab w:val="left" w:pos="993"/>
        </w:tabs>
        <w:spacing w:after="0" w:line="360" w:lineRule="auto"/>
        <w:ind w:left="-720" w:firstLine="567"/>
        <w:jc w:val="center"/>
        <w:rPr>
          <w:rFonts w:ascii="GHEA Grapalat" w:eastAsia="Times New Roman" w:hAnsi="GHEA Grapalat"/>
          <w:b/>
          <w:noProof/>
          <w:sz w:val="24"/>
          <w:szCs w:val="24"/>
          <w:lang w:val="hy-AM"/>
        </w:rPr>
      </w:pPr>
      <w:bookmarkStart w:id="0" w:name="_GoBack"/>
      <w:bookmarkEnd w:id="0"/>
      <w:r w:rsidRPr="00DE02B3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ՀԻՄՆԱՎՈՐՈՒՄ</w:t>
      </w:r>
    </w:p>
    <w:p w14:paraId="69EAF78D" w14:textId="3B3F7E0E" w:rsidR="0032458E" w:rsidRPr="00DE02B3" w:rsidRDefault="0032458E" w:rsidP="0032458E">
      <w:pPr>
        <w:spacing w:line="360" w:lineRule="auto"/>
        <w:ind w:left="-720" w:firstLine="720"/>
        <w:jc w:val="center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DE02B3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«ՀԱՅԱՍՏԱՆԻ Հ</w:t>
      </w:r>
      <w:r w:rsidR="00B674F1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ԱՆՐԱՊԵՏՈՒԹՅԱՆ ԿԱՌԱՎԱՐՈՒԹՅԱՆ 202</w:t>
      </w:r>
      <w:r w:rsidR="00B674F1" w:rsidRPr="00B674F1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1</w:t>
      </w:r>
      <w:r w:rsidR="00B674F1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ԹՎԱԿԱՆԻ ՀՈԿՏԵՄԲԵՐԻ 14-Ի N 1681</w:t>
      </w:r>
      <w:r w:rsidRPr="00DE02B3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-Ն </w:t>
      </w:r>
      <w:r w:rsidRPr="00C57E67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ՈՐՈՇՄԱՆ ՄԵՋ</w:t>
      </w:r>
      <w:r w:rsidR="00B674F1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</w:t>
      </w:r>
      <w:r w:rsidR="00E953B4" w:rsidRPr="00C57E67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ՓՈՓՈԽՈՒԹՅՈՒՆ</w:t>
      </w:r>
      <w:r w:rsidRPr="00C57E67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</w:t>
      </w:r>
      <w:r w:rsidR="008B281A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ԵՎ</w:t>
      </w:r>
      <w:r w:rsidR="008B281A" w:rsidRPr="00C57E67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</w:t>
      </w:r>
      <w:r w:rsidR="008B281A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ԼՐԱՑՈՒՄ </w:t>
      </w:r>
      <w:r w:rsidRPr="00C57E67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ԿԱՏԱՐԵԼՈՒ</w:t>
      </w:r>
      <w:r w:rsidRPr="00DE02B3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ՄԱՍԻՆ» ՀԱՅԱՍՏԱՆԻ ՀԱՆՐԱՊԵՏՈՒԹՅԱՆ ԿԱՌԱՎԱՐՈՒԹՅԱՆ ՈՐՈՇՄԱՆ </w:t>
      </w:r>
      <w:r w:rsidRPr="00DE02B3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ՆԱԽԱԳԾԻ</w:t>
      </w:r>
      <w:r w:rsidRPr="00DE02B3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ԸՆԴՈՒՆՄԱՆ</w:t>
      </w:r>
    </w:p>
    <w:p w14:paraId="7627CABD" w14:textId="77777777" w:rsidR="0032458E" w:rsidRDefault="0032458E" w:rsidP="0032458E">
      <w:pPr>
        <w:tabs>
          <w:tab w:val="left" w:pos="993"/>
        </w:tabs>
        <w:spacing w:after="0" w:line="360" w:lineRule="auto"/>
        <w:ind w:left="-720" w:firstLine="720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1. Ընթացիկ վիճակը, իրավական ակտի ընդունման անհրաժեշտությունը.</w:t>
      </w:r>
    </w:p>
    <w:p w14:paraId="76467968" w14:textId="5B87F4E9" w:rsidR="0032458E" w:rsidRDefault="0032458E" w:rsidP="00B674F1">
      <w:pPr>
        <w:tabs>
          <w:tab w:val="left" w:pos="993"/>
        </w:tabs>
        <w:spacing w:after="0" w:line="360" w:lineRule="auto"/>
        <w:ind w:left="-720" w:firstLine="540"/>
        <w:jc w:val="both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«</w:t>
      </w:r>
      <w:r w:rsidRPr="00696ABF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Հայաստանի 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Հ</w:t>
      </w:r>
      <w:r w:rsidR="00B674F1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անրապետության կառավարության 2021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թվականի </w:t>
      </w:r>
      <w:r w:rsidR="00B674F1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հոկտեմբերի</w:t>
      </w:r>
      <w:r w:rsidRPr="00696ABF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="00B674F1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14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-ի N </w:t>
      </w:r>
      <w:r w:rsidR="00B674F1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1681</w:t>
      </w:r>
      <w:r w:rsidRPr="00C57E67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-Ն որոշման մեջ </w:t>
      </w:r>
      <w:r w:rsidR="00E953B4" w:rsidRPr="00C57E67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փոփոխություն</w:t>
      </w:r>
      <w:r w:rsidRPr="00C57E67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="008B281A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և լրացում </w:t>
      </w:r>
      <w:r w:rsidRPr="00C57E67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կատարելու</w:t>
      </w:r>
      <w:r w:rsidRPr="00696ABF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մասին» 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Կ</w:t>
      </w:r>
      <w:r w:rsidRPr="00696ABF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առավարության որոշման նախագծի (այսուհետ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և</w:t>
      </w:r>
      <w:r w:rsidRPr="00696ABF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՝ Նախագիծ) ընդունումը պայմանավորված է</w:t>
      </w:r>
      <w:r w:rsidR="008B281A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="008B281A" w:rsidRPr="00686B1D">
        <w:rPr>
          <w:rFonts w:ascii="GHEA Grapalat" w:hAnsi="GHEA Grapalat"/>
          <w:color w:val="000000"/>
          <w:sz w:val="24"/>
          <w:szCs w:val="24"/>
          <w:lang w:val="hy-AM"/>
        </w:rPr>
        <w:t>Սննդամթերքի անվտանգության տեսչական մարմ</w:t>
      </w:r>
      <w:r w:rsidR="008B281A">
        <w:rPr>
          <w:rFonts w:ascii="GHEA Grapalat" w:hAnsi="GHEA Grapalat"/>
          <w:color w:val="000000"/>
          <w:sz w:val="24"/>
          <w:szCs w:val="24"/>
          <w:lang w:val="hy-AM"/>
        </w:rPr>
        <w:t>նի լիազորությունների հստակեցման անհրաժեշտությամբ</w:t>
      </w:r>
      <w:r w:rsidR="00686B1D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:</w:t>
      </w:r>
    </w:p>
    <w:p w14:paraId="1F739BA0" w14:textId="77777777" w:rsidR="00B674F1" w:rsidRPr="00B674F1" w:rsidRDefault="00B674F1" w:rsidP="00B674F1">
      <w:pPr>
        <w:tabs>
          <w:tab w:val="left" w:pos="993"/>
        </w:tabs>
        <w:spacing w:after="0" w:line="360" w:lineRule="auto"/>
        <w:ind w:left="-720" w:firstLine="540"/>
        <w:jc w:val="both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</w:p>
    <w:p w14:paraId="5CF84754" w14:textId="4737FE7D" w:rsidR="0032458E" w:rsidRDefault="0032458E" w:rsidP="006C43B8">
      <w:pPr>
        <w:tabs>
          <w:tab w:val="left" w:pos="993"/>
        </w:tabs>
        <w:spacing w:after="0" w:line="360" w:lineRule="auto"/>
        <w:ind w:left="-720" w:firstLine="540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E75571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2. </w:t>
      </w:r>
      <w:r w:rsidRPr="00E75571">
        <w:rPr>
          <w:rFonts w:ascii="GHEA Grapalat" w:hAnsi="GHEA Grapalat"/>
          <w:b/>
          <w:color w:val="000000"/>
          <w:sz w:val="24"/>
          <w:szCs w:val="24"/>
          <w:lang w:val="hy-AM"/>
        </w:rPr>
        <w:t>Կարգավորման նպատակը և բնույթը</w:t>
      </w:r>
    </w:p>
    <w:p w14:paraId="4A2AD362" w14:textId="09E1A0A5" w:rsidR="00686B1D" w:rsidRDefault="00686B1D" w:rsidP="006C43B8">
      <w:pPr>
        <w:tabs>
          <w:tab w:val="left" w:pos="993"/>
        </w:tabs>
        <w:spacing w:after="0" w:line="360" w:lineRule="auto"/>
        <w:ind w:left="-720" w:firstLine="54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686B1D">
        <w:rPr>
          <w:rFonts w:ascii="GHEA Grapalat" w:hAnsi="GHEA Grapalat"/>
          <w:color w:val="000000"/>
          <w:sz w:val="24"/>
          <w:szCs w:val="24"/>
          <w:lang w:val="hy-AM"/>
        </w:rPr>
        <w:t>Կառավարության՝ 2021 թվականի հոկտեմբերի 21-ի թիվ 1681-Ն որոշման 2-րդ կետի 1-ին ենթակետի համաձայն՝ նույն որոշման շրջանակներում Եվրասիական տնտեսական միության մաքսային օրենսգրքի 249-րդ հոդվածին համապատասխան՝ ԱՏԳ ԱԱ 01-ից ԱՏԳ ԱԱ 24 ապրանքային խմբերում ընդգրկված ապրանքների համար ապրանքների ոչնչացման հնարավորության մասին եզրակացություն տրամադրող պետական լիազոր մարմին է հանդիսանում Սննդամթերքի անվտանգության տեսչական մարմինը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86B1D">
        <w:rPr>
          <w:rFonts w:ascii="GHEA Grapalat" w:hAnsi="GHEA Grapalat"/>
          <w:color w:val="000000"/>
          <w:sz w:val="24"/>
          <w:szCs w:val="24"/>
          <w:lang w:val="hy-AM"/>
        </w:rPr>
        <w:t>(այսուհետ՝ Տեսչական մարմին)։ Որոշման թիվ 3 հավելվածով սահմանված է «Ոչնչացում» մաքսային ընթացակարգով ձևակերպվող ապրանքի ոչնչացման հնարավորության, վայրի և եղանակի վերաբերյալ եզրակացության ձևը, որում պետք է նշվի նաև ոչնչացման եղանակը։ ԱՏԳ ԱԱ 2402 ապրանքային խմբում է ծխախոտը, որը չի հանդիսանում Տեսչական մարմնի վերահսկողության ենթակա ապրանք, ուստի դրա ոչնչացման եղանակը Տեսչական մարմինը  որոշել չի կարող։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Միաժամանակ տեղեկացնում եմ, որ վերոնշյալ Նախագծի մշակումը պայանավորված է նաև Տեսչական մարմնին ներկայացված մի շարք բողոքները հաշվի առնելով:</w:t>
      </w:r>
    </w:p>
    <w:p w14:paraId="3BF0A66D" w14:textId="77777777" w:rsidR="008B281A" w:rsidRDefault="008B281A" w:rsidP="0032458E">
      <w:pPr>
        <w:tabs>
          <w:tab w:val="left" w:pos="993"/>
        </w:tabs>
        <w:spacing w:after="0" w:line="360" w:lineRule="auto"/>
        <w:ind w:left="-720"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102147F5" w14:textId="39D4D22E" w:rsidR="0032458E" w:rsidRDefault="0032458E" w:rsidP="0032458E">
      <w:pPr>
        <w:tabs>
          <w:tab w:val="left" w:pos="993"/>
        </w:tabs>
        <w:spacing w:after="0" w:line="360" w:lineRule="auto"/>
        <w:ind w:left="-720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3. Ակնկալվող արդյունքը</w:t>
      </w:r>
    </w:p>
    <w:p w14:paraId="7F331878" w14:textId="1DBBF4E2" w:rsidR="002C3294" w:rsidRPr="00686B1D" w:rsidRDefault="00686B1D" w:rsidP="00686B1D">
      <w:pPr>
        <w:tabs>
          <w:tab w:val="left" w:pos="993"/>
        </w:tabs>
        <w:spacing w:after="0" w:line="360" w:lineRule="auto"/>
        <w:ind w:left="-720" w:firstLine="567"/>
        <w:jc w:val="both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  <w:r w:rsidRPr="00686B1D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lastRenderedPageBreak/>
        <w:t xml:space="preserve">Նախագծով սահմանված կարգավորումների արդյուքնում </w:t>
      </w:r>
      <w:r w:rsidR="008B281A" w:rsidRPr="00686B1D">
        <w:rPr>
          <w:rFonts w:ascii="GHEA Grapalat" w:hAnsi="GHEA Grapalat"/>
          <w:color w:val="000000"/>
          <w:sz w:val="24"/>
          <w:szCs w:val="24"/>
          <w:lang w:val="hy-AM"/>
        </w:rPr>
        <w:t xml:space="preserve">ԱՏԳ ԱԱ 2402 </w:t>
      </w:r>
      <w:r w:rsidR="008B281A">
        <w:rPr>
          <w:rFonts w:ascii="GHEA Grapalat" w:hAnsi="GHEA Grapalat"/>
          <w:color w:val="000000"/>
          <w:sz w:val="24"/>
          <w:szCs w:val="24"/>
          <w:lang w:val="hy-AM"/>
        </w:rPr>
        <w:t>ապրանքային խմբի համար ոչնչացման եզրակացությունը տրամադրելու է</w:t>
      </w:r>
      <w:r w:rsidRPr="00686B1D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համապատասխան ոլորտի քաղաքականություն մշակող մարմինը, այն է՝ Էկոնոմիկայի նախարարությունը:</w:t>
      </w:r>
    </w:p>
    <w:p w14:paraId="530F55EF" w14:textId="3FFED2CB" w:rsidR="0032458E" w:rsidRDefault="0032458E" w:rsidP="00C06630">
      <w:pPr>
        <w:spacing w:after="0" w:line="360" w:lineRule="auto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</w:p>
    <w:p w14:paraId="0E60A0A6" w14:textId="77777777" w:rsidR="0032458E" w:rsidRDefault="0032458E" w:rsidP="0032458E">
      <w:pPr>
        <w:spacing w:after="0" w:line="360" w:lineRule="auto"/>
        <w:ind w:left="-720" w:firstLine="567"/>
        <w:jc w:val="both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  <w:r w:rsidRPr="00253DD6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4. </w:t>
      </w:r>
      <w:r w:rsidRPr="00253DD6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Նախագծի մշակման գործընթացում ներգրավված ինստիտուտները և անձինք</w:t>
      </w:r>
    </w:p>
    <w:p w14:paraId="2BFFA638" w14:textId="529B18DB" w:rsidR="0032458E" w:rsidRDefault="0032458E" w:rsidP="0032458E">
      <w:pPr>
        <w:spacing w:after="0" w:line="360" w:lineRule="auto"/>
        <w:ind w:left="-720" w:firstLine="567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253DD6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Նախագիծը մշակվել է </w:t>
      </w:r>
      <w:r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Վ</w:t>
      </w:r>
      <w:r w:rsidRPr="00253DD6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արչապետի աշխատակազմի տեսչական մարմինների աշխատանքների համակարգման գրասենյակի կողմից:</w:t>
      </w:r>
    </w:p>
    <w:p w14:paraId="099888BD" w14:textId="77777777" w:rsidR="0032458E" w:rsidRPr="00253DD6" w:rsidRDefault="0032458E" w:rsidP="0032458E">
      <w:pPr>
        <w:spacing w:after="0" w:line="360" w:lineRule="auto"/>
        <w:ind w:left="-720" w:firstLine="567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</w:p>
    <w:p w14:paraId="3BC27EB2" w14:textId="77777777" w:rsidR="0032458E" w:rsidRPr="00253DD6" w:rsidRDefault="0032458E" w:rsidP="0032458E">
      <w:pPr>
        <w:spacing w:after="0" w:line="360" w:lineRule="auto"/>
        <w:ind w:left="-720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253DD6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5. Այլ իրավական ակտերում փոփոխությունների և/կամ լրացումների անհրաժեշտությունը.</w:t>
      </w:r>
    </w:p>
    <w:p w14:paraId="2F8349CF" w14:textId="77777777" w:rsidR="0032458E" w:rsidRDefault="0032458E" w:rsidP="0032458E">
      <w:pPr>
        <w:spacing w:after="0" w:line="360" w:lineRule="auto"/>
        <w:ind w:left="-720" w:firstLine="567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253DD6">
        <w:rPr>
          <w:rFonts w:ascii="GHEA Grapalat" w:hAnsi="GHEA Grapalat" w:cs="Sylfaen"/>
          <w:noProof/>
          <w:sz w:val="24"/>
          <w:szCs w:val="24"/>
          <w:lang w:val="hy-AM"/>
        </w:rPr>
        <w:t xml:space="preserve">Նախագծի ընդունման դեպքում այլ իրավական ակտերում փոփոխություններ և/կամ լրացումներ կատարելու անհրաժեշտությունը բացակայում է: </w:t>
      </w:r>
    </w:p>
    <w:p w14:paraId="5AB34731" w14:textId="77777777" w:rsidR="0032458E" w:rsidRPr="00253DD6" w:rsidRDefault="0032458E" w:rsidP="0032458E">
      <w:pPr>
        <w:spacing w:after="0" w:line="360" w:lineRule="auto"/>
        <w:ind w:left="-720" w:firstLine="567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</w:p>
    <w:p w14:paraId="2ABEF719" w14:textId="77777777" w:rsidR="0032458E" w:rsidRPr="00253DD6" w:rsidRDefault="0032458E" w:rsidP="0032458E">
      <w:pPr>
        <w:spacing w:after="0" w:line="360" w:lineRule="auto"/>
        <w:ind w:left="-720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253DD6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6. Պետական կամ տեղական ինքնակառավարման մարմնի բյուջեում ծախսերի և եկամուտների էական ավելացման կամ նվազեցման մասին.</w:t>
      </w:r>
    </w:p>
    <w:p w14:paraId="7B1A3AD1" w14:textId="77777777" w:rsidR="0032458E" w:rsidRDefault="0032458E" w:rsidP="0032458E">
      <w:pPr>
        <w:spacing w:after="0" w:line="360" w:lineRule="auto"/>
        <w:ind w:left="-720"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253DD6">
        <w:rPr>
          <w:rFonts w:ascii="GHEA Grapalat" w:eastAsia="Times New Roman" w:hAnsi="GHEA Grapalat"/>
          <w:sz w:val="24"/>
          <w:szCs w:val="24"/>
          <w:lang w:val="hy-AM" w:eastAsia="ru-RU"/>
        </w:rPr>
        <w:t>Նախագիծը Հ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այաստանի </w:t>
      </w:r>
      <w:r w:rsidRPr="00253DD6">
        <w:rPr>
          <w:rFonts w:ascii="GHEA Grapalat" w:eastAsia="Times New Roman" w:hAnsi="GHEA Grapalat"/>
          <w:sz w:val="24"/>
          <w:szCs w:val="24"/>
          <w:lang w:val="hy-AM" w:eastAsia="ru-RU"/>
        </w:rPr>
        <w:t>Հ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անրապետության</w:t>
      </w:r>
      <w:r w:rsidRPr="00253DD6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պետական բյուջեում (կամ տեղական ինքնակառավարման մարմնի բյուջեում) ծախսերի կամ եկամուտների էական ավելացման կամ նվազեցման չի հանգեցնում:</w:t>
      </w:r>
    </w:p>
    <w:p w14:paraId="384F61BB" w14:textId="77777777" w:rsidR="0032458E" w:rsidRPr="00253DD6" w:rsidRDefault="0032458E" w:rsidP="0032458E">
      <w:pPr>
        <w:spacing w:after="0" w:line="360" w:lineRule="auto"/>
        <w:ind w:left="-720"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14:paraId="58651BDF" w14:textId="77777777" w:rsidR="0032458E" w:rsidRPr="00253DD6" w:rsidRDefault="0032458E" w:rsidP="0032458E">
      <w:pPr>
        <w:spacing w:after="0" w:line="360" w:lineRule="auto"/>
        <w:ind w:left="-720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253DD6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7. Կապը ռազմավարական փաստաթղթերի հետ. «Հայաստանի վերափոխման ռազմավարություն 2050, Կառավարության 2021-2026թթ. ծրագիր, ոլորտային և/կամ այլ ռազմավարություններ</w:t>
      </w:r>
    </w:p>
    <w:p w14:paraId="39EB2B27" w14:textId="77777777" w:rsidR="0032458E" w:rsidRDefault="0032458E" w:rsidP="0032458E">
      <w:pPr>
        <w:tabs>
          <w:tab w:val="left" w:pos="567"/>
        </w:tabs>
        <w:spacing w:after="0" w:line="360" w:lineRule="auto"/>
        <w:ind w:left="-720" w:firstLine="567"/>
        <w:jc w:val="both"/>
        <w:rPr>
          <w:rFonts w:ascii="GHEA Grapalat" w:eastAsia="Times New Roman" w:hAnsi="GHEA Grapalat"/>
          <w:iCs/>
          <w:noProof/>
          <w:sz w:val="10"/>
          <w:szCs w:val="24"/>
          <w:lang w:val="hy-AM"/>
        </w:rPr>
      </w:pPr>
      <w:r w:rsidRPr="00253DD6">
        <w:rPr>
          <w:rFonts w:ascii="GHEA Grapalat" w:hAnsi="GHEA Grapalat"/>
          <w:sz w:val="24"/>
          <w:lang w:val="hy-AM"/>
        </w:rPr>
        <w:t>Նախագիծը չի բխում «Հայաստանի վերափոխման ռազմավարություն 2050» ռազմավարական փաստաթղթից, Կառավարության 2021-2026 թթ. ծրագրից, ոլորտային և/կամ այլ ռազմավարություններից։</w:t>
      </w:r>
    </w:p>
    <w:p w14:paraId="6A7D80DC" w14:textId="5855F6E8" w:rsidR="004B6F0A" w:rsidRPr="0032458E" w:rsidRDefault="004B6F0A" w:rsidP="0032458E">
      <w:pPr>
        <w:rPr>
          <w:lang w:val="hy-AM"/>
        </w:rPr>
      </w:pPr>
    </w:p>
    <w:sectPr w:rsidR="004B6F0A" w:rsidRPr="0032458E" w:rsidSect="004E4B69">
      <w:pgSz w:w="12240" w:h="15840"/>
      <w:pgMar w:top="1134" w:right="850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F554B"/>
    <w:multiLevelType w:val="hybridMultilevel"/>
    <w:tmpl w:val="0054FA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C389F"/>
    <w:multiLevelType w:val="hybridMultilevel"/>
    <w:tmpl w:val="D3364F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16449"/>
    <w:multiLevelType w:val="hybridMultilevel"/>
    <w:tmpl w:val="126659B0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DB16D6"/>
    <w:multiLevelType w:val="hybridMultilevel"/>
    <w:tmpl w:val="75A4AFC8"/>
    <w:lvl w:ilvl="0" w:tplc="0809000B">
      <w:start w:val="1"/>
      <w:numFmt w:val="bullet"/>
      <w:lvlText w:val=""/>
      <w:lvlJc w:val="left"/>
      <w:pPr>
        <w:ind w:left="645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4" w15:restartNumberingAfterBreak="0">
    <w:nsid w:val="2AD60E2F"/>
    <w:multiLevelType w:val="hybridMultilevel"/>
    <w:tmpl w:val="126659B0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F81746"/>
    <w:multiLevelType w:val="hybridMultilevel"/>
    <w:tmpl w:val="9720233C"/>
    <w:lvl w:ilvl="0" w:tplc="5B6E0CF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5B0C22C6"/>
    <w:multiLevelType w:val="hybridMultilevel"/>
    <w:tmpl w:val="52A84FC2"/>
    <w:lvl w:ilvl="0" w:tplc="94E20C54">
      <w:start w:val="1"/>
      <w:numFmt w:val="decimal"/>
      <w:lvlText w:val="%1."/>
      <w:lvlJc w:val="left"/>
      <w:pPr>
        <w:ind w:left="735" w:hanging="360"/>
      </w:pPr>
      <w:rPr>
        <w:rFonts w:cs="Sylfaen"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5E7A2C51"/>
    <w:multiLevelType w:val="hybridMultilevel"/>
    <w:tmpl w:val="A6303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29480B"/>
    <w:multiLevelType w:val="hybridMultilevel"/>
    <w:tmpl w:val="5E8CB536"/>
    <w:lvl w:ilvl="0" w:tplc="6A70D27C">
      <w:start w:val="6"/>
      <w:numFmt w:val="decimal"/>
      <w:lvlText w:val="%1."/>
      <w:lvlJc w:val="left"/>
      <w:pPr>
        <w:ind w:left="1080" w:hanging="360"/>
      </w:pPr>
      <w:rPr>
        <w:rFonts w:eastAsia="Times New Roman"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B9332A6"/>
    <w:multiLevelType w:val="hybridMultilevel"/>
    <w:tmpl w:val="F7341E6A"/>
    <w:lvl w:ilvl="0" w:tplc="0D34E9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9B90718"/>
    <w:multiLevelType w:val="hybridMultilevel"/>
    <w:tmpl w:val="DB0282CA"/>
    <w:lvl w:ilvl="0" w:tplc="C7CC87F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4"/>
  </w:num>
  <w:num w:numId="5">
    <w:abstractNumId w:val="2"/>
  </w:num>
  <w:num w:numId="6">
    <w:abstractNumId w:val="9"/>
  </w:num>
  <w:num w:numId="7">
    <w:abstractNumId w:val="0"/>
  </w:num>
  <w:num w:numId="8">
    <w:abstractNumId w:val="8"/>
  </w:num>
  <w:num w:numId="9">
    <w:abstractNumId w:val="6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FBD"/>
    <w:rsid w:val="00054F08"/>
    <w:rsid w:val="0009748B"/>
    <w:rsid w:val="000A7804"/>
    <w:rsid w:val="000D1140"/>
    <w:rsid w:val="000D6E33"/>
    <w:rsid w:val="000E7E81"/>
    <w:rsid w:val="00102B81"/>
    <w:rsid w:val="0011213E"/>
    <w:rsid w:val="001222C1"/>
    <w:rsid w:val="00132DD0"/>
    <w:rsid w:val="00154130"/>
    <w:rsid w:val="001640F8"/>
    <w:rsid w:val="00173EDB"/>
    <w:rsid w:val="00175B3B"/>
    <w:rsid w:val="001D543F"/>
    <w:rsid w:val="00204BA0"/>
    <w:rsid w:val="00211DB2"/>
    <w:rsid w:val="002223A9"/>
    <w:rsid w:val="00257E0E"/>
    <w:rsid w:val="002856EE"/>
    <w:rsid w:val="002C3294"/>
    <w:rsid w:val="002C665A"/>
    <w:rsid w:val="002D6367"/>
    <w:rsid w:val="002F3511"/>
    <w:rsid w:val="0032458E"/>
    <w:rsid w:val="00325FDB"/>
    <w:rsid w:val="003277CE"/>
    <w:rsid w:val="00353C0A"/>
    <w:rsid w:val="00360346"/>
    <w:rsid w:val="00383BD8"/>
    <w:rsid w:val="003D05BE"/>
    <w:rsid w:val="003F1CF6"/>
    <w:rsid w:val="003F2193"/>
    <w:rsid w:val="003F66B9"/>
    <w:rsid w:val="00412D31"/>
    <w:rsid w:val="00412F93"/>
    <w:rsid w:val="004220A2"/>
    <w:rsid w:val="004231C5"/>
    <w:rsid w:val="00425E8A"/>
    <w:rsid w:val="00443CBC"/>
    <w:rsid w:val="00451EE7"/>
    <w:rsid w:val="00453C84"/>
    <w:rsid w:val="0046524C"/>
    <w:rsid w:val="00471F2A"/>
    <w:rsid w:val="00473735"/>
    <w:rsid w:val="00473BDF"/>
    <w:rsid w:val="004814F2"/>
    <w:rsid w:val="00494A01"/>
    <w:rsid w:val="004A1A4D"/>
    <w:rsid w:val="004B35C5"/>
    <w:rsid w:val="004B6F0A"/>
    <w:rsid w:val="004E230E"/>
    <w:rsid w:val="004E4B69"/>
    <w:rsid w:val="004E500F"/>
    <w:rsid w:val="005106B7"/>
    <w:rsid w:val="005474E0"/>
    <w:rsid w:val="0055028E"/>
    <w:rsid w:val="00580A33"/>
    <w:rsid w:val="005D19CD"/>
    <w:rsid w:val="005E3CE0"/>
    <w:rsid w:val="005E4272"/>
    <w:rsid w:val="005F4DD3"/>
    <w:rsid w:val="00601E68"/>
    <w:rsid w:val="00616624"/>
    <w:rsid w:val="00641304"/>
    <w:rsid w:val="0065583E"/>
    <w:rsid w:val="00662B06"/>
    <w:rsid w:val="00673B4C"/>
    <w:rsid w:val="00686B1D"/>
    <w:rsid w:val="006968C9"/>
    <w:rsid w:val="00696ABF"/>
    <w:rsid w:val="006B4940"/>
    <w:rsid w:val="006C3CC4"/>
    <w:rsid w:val="006C43B8"/>
    <w:rsid w:val="006D4664"/>
    <w:rsid w:val="006D7E9C"/>
    <w:rsid w:val="00714BE0"/>
    <w:rsid w:val="00715BA5"/>
    <w:rsid w:val="007215E5"/>
    <w:rsid w:val="0074614D"/>
    <w:rsid w:val="00747F8F"/>
    <w:rsid w:val="0075170A"/>
    <w:rsid w:val="00763F42"/>
    <w:rsid w:val="00792BFE"/>
    <w:rsid w:val="00796E45"/>
    <w:rsid w:val="007C5A56"/>
    <w:rsid w:val="007F6485"/>
    <w:rsid w:val="007F693B"/>
    <w:rsid w:val="00800634"/>
    <w:rsid w:val="00801FD3"/>
    <w:rsid w:val="008137A8"/>
    <w:rsid w:val="00833476"/>
    <w:rsid w:val="00854099"/>
    <w:rsid w:val="008A564D"/>
    <w:rsid w:val="008B281A"/>
    <w:rsid w:val="008D7F43"/>
    <w:rsid w:val="008E5805"/>
    <w:rsid w:val="009056A1"/>
    <w:rsid w:val="00912266"/>
    <w:rsid w:val="009138BA"/>
    <w:rsid w:val="00925DD8"/>
    <w:rsid w:val="009464BF"/>
    <w:rsid w:val="0096628E"/>
    <w:rsid w:val="0097389F"/>
    <w:rsid w:val="00995F39"/>
    <w:rsid w:val="009B2386"/>
    <w:rsid w:val="009B3D97"/>
    <w:rsid w:val="009D0F10"/>
    <w:rsid w:val="009E23C0"/>
    <w:rsid w:val="009F6C3B"/>
    <w:rsid w:val="00A13E14"/>
    <w:rsid w:val="00A15A05"/>
    <w:rsid w:val="00A23F41"/>
    <w:rsid w:val="00A43EA1"/>
    <w:rsid w:val="00A61CD8"/>
    <w:rsid w:val="00AA30F7"/>
    <w:rsid w:val="00AA4580"/>
    <w:rsid w:val="00AC51CB"/>
    <w:rsid w:val="00AD4F21"/>
    <w:rsid w:val="00AE1E8A"/>
    <w:rsid w:val="00AF16E0"/>
    <w:rsid w:val="00AF259E"/>
    <w:rsid w:val="00B03C89"/>
    <w:rsid w:val="00B10D00"/>
    <w:rsid w:val="00B1324F"/>
    <w:rsid w:val="00B21D11"/>
    <w:rsid w:val="00B22629"/>
    <w:rsid w:val="00B35BAF"/>
    <w:rsid w:val="00B674F1"/>
    <w:rsid w:val="00B70074"/>
    <w:rsid w:val="00B71A13"/>
    <w:rsid w:val="00B754FE"/>
    <w:rsid w:val="00BA1A24"/>
    <w:rsid w:val="00BD258A"/>
    <w:rsid w:val="00BF27FB"/>
    <w:rsid w:val="00C06630"/>
    <w:rsid w:val="00C209B4"/>
    <w:rsid w:val="00C21520"/>
    <w:rsid w:val="00C25091"/>
    <w:rsid w:val="00C2760D"/>
    <w:rsid w:val="00C57E67"/>
    <w:rsid w:val="00C63A67"/>
    <w:rsid w:val="00C75A55"/>
    <w:rsid w:val="00C94D63"/>
    <w:rsid w:val="00C95195"/>
    <w:rsid w:val="00C966D0"/>
    <w:rsid w:val="00CA54E0"/>
    <w:rsid w:val="00CB6C8B"/>
    <w:rsid w:val="00CE5C24"/>
    <w:rsid w:val="00CE79AD"/>
    <w:rsid w:val="00CF6BB2"/>
    <w:rsid w:val="00D252A4"/>
    <w:rsid w:val="00D25A13"/>
    <w:rsid w:val="00D36564"/>
    <w:rsid w:val="00D40E35"/>
    <w:rsid w:val="00D42A30"/>
    <w:rsid w:val="00DB607E"/>
    <w:rsid w:val="00DC7454"/>
    <w:rsid w:val="00E267F1"/>
    <w:rsid w:val="00E32830"/>
    <w:rsid w:val="00E34FF5"/>
    <w:rsid w:val="00E510FC"/>
    <w:rsid w:val="00E60EE1"/>
    <w:rsid w:val="00E75571"/>
    <w:rsid w:val="00E87F3C"/>
    <w:rsid w:val="00E953B4"/>
    <w:rsid w:val="00EA5FA3"/>
    <w:rsid w:val="00EB0FBD"/>
    <w:rsid w:val="00EC2154"/>
    <w:rsid w:val="00F161CF"/>
    <w:rsid w:val="00F25BA7"/>
    <w:rsid w:val="00F2700B"/>
    <w:rsid w:val="00F45F68"/>
    <w:rsid w:val="00F57540"/>
    <w:rsid w:val="00F647E7"/>
    <w:rsid w:val="00F77BA4"/>
    <w:rsid w:val="00F84366"/>
    <w:rsid w:val="00F85DB6"/>
    <w:rsid w:val="00F91AEC"/>
    <w:rsid w:val="00FA5AF2"/>
    <w:rsid w:val="00FA7680"/>
    <w:rsid w:val="00FC78EE"/>
    <w:rsid w:val="00FD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88D4F"/>
  <w15:docId w15:val="{A43A2598-3D32-4763-9209-13F287FB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F0A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A564D"/>
    <w:rPr>
      <w:b/>
      <w:bCs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unhideWhenUsed/>
    <w:qFormat/>
    <w:rsid w:val="00B21D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E75571"/>
    <w:pPr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rsid w:val="00E75571"/>
  </w:style>
  <w:style w:type="character" w:styleId="Emphasis">
    <w:name w:val="Emphasis"/>
    <w:uiPriority w:val="20"/>
    <w:qFormat/>
    <w:rsid w:val="00801FD3"/>
    <w:rPr>
      <w:i/>
      <w:iCs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801FD3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E1E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1E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1E8A"/>
    <w:rPr>
      <w:rFonts w:ascii="Calibri" w:eastAsia="Calibri" w:hAnsi="Calibri" w:cs="Times New Roman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1E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1E8A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E8A"/>
    <w:rPr>
      <w:rFonts w:ascii="Segoe UI" w:eastAsia="Calibri" w:hAnsi="Segoe UI" w:cs="Segoe UI"/>
      <w:sz w:val="18"/>
      <w:szCs w:val="18"/>
      <w:lang w:val="ru-RU"/>
    </w:rPr>
  </w:style>
  <w:style w:type="paragraph" w:customStyle="1" w:styleId="mechtex">
    <w:name w:val="mechtex"/>
    <w:basedOn w:val="Normal"/>
    <w:link w:val="mechtexChar"/>
    <w:qFormat/>
    <w:rsid w:val="00912266"/>
    <w:pPr>
      <w:spacing w:after="0" w:line="240" w:lineRule="auto"/>
      <w:jc w:val="center"/>
    </w:pPr>
    <w:rPr>
      <w:rFonts w:ascii="Arial Armenian" w:eastAsia="Times New Roman" w:hAnsi="Arial Armenian"/>
      <w:szCs w:val="20"/>
      <w:lang w:val="en-US" w:eastAsia="ru-RU"/>
    </w:rPr>
  </w:style>
  <w:style w:type="character" w:customStyle="1" w:styleId="mechtexChar">
    <w:name w:val="mechtex Char"/>
    <w:link w:val="mechtex"/>
    <w:rsid w:val="00912266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7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Uesr</dc:creator>
  <cp:lastModifiedBy>Vahe Vardanyan</cp:lastModifiedBy>
  <cp:revision>46</cp:revision>
  <dcterms:created xsi:type="dcterms:W3CDTF">2023-01-18T10:51:00Z</dcterms:created>
  <dcterms:modified xsi:type="dcterms:W3CDTF">2026-03-12T07:19:00Z</dcterms:modified>
</cp:coreProperties>
</file>