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2A75E" w14:textId="77777777" w:rsidR="009D6D4C" w:rsidRPr="00CD53C4" w:rsidRDefault="009D6D4C" w:rsidP="009D6D4C">
      <w:pPr>
        <w:jc w:val="center"/>
        <w:rPr>
          <w:rFonts w:ascii="GHEA Grapalat" w:hAnsi="GHEA Grapalat"/>
          <w:b/>
          <w:noProof/>
          <w:color w:val="000000" w:themeColor="text1"/>
          <w:lang w:val="hy-AM"/>
        </w:rPr>
      </w:pPr>
      <w:bookmarkStart w:id="0" w:name="_GoBack"/>
      <w:bookmarkEnd w:id="0"/>
      <w:r w:rsidRPr="00CD53C4">
        <w:rPr>
          <w:rFonts w:ascii="GHEA Grapalat" w:hAnsi="GHEA Grapalat"/>
          <w:b/>
          <w:noProof/>
          <w:color w:val="000000" w:themeColor="text1"/>
          <w:lang w:val="hy-AM"/>
        </w:rPr>
        <w:t>ՀԻՄՆԱՎՈՐՈՒՄ</w:t>
      </w:r>
    </w:p>
    <w:p w14:paraId="3A3B9837" w14:textId="77777777" w:rsidR="009D6D4C" w:rsidRDefault="009D6D4C" w:rsidP="009D6D4C">
      <w:pPr>
        <w:spacing w:line="360" w:lineRule="auto"/>
        <w:ind w:right="425" w:firstLine="142"/>
        <w:jc w:val="center"/>
        <w:rPr>
          <w:rFonts w:ascii="GHEA Grapalat" w:hAnsi="GHEA Grapalat"/>
          <w:b/>
          <w:noProof/>
          <w:color w:val="000000" w:themeColor="text1"/>
          <w:sz w:val="24"/>
          <w:szCs w:val="24"/>
          <w:lang w:val="hy-AM"/>
        </w:rPr>
      </w:pPr>
      <w:r w:rsidRPr="00CD53C4">
        <w:rPr>
          <w:rFonts w:ascii="GHEA Grapalat" w:hAnsi="GHEA Grapalat"/>
          <w:b/>
          <w:noProof/>
          <w:color w:val="000000" w:themeColor="text1"/>
          <w:sz w:val="24"/>
          <w:szCs w:val="24"/>
          <w:lang w:val="hy-AM"/>
        </w:rPr>
        <w:t>«</w:t>
      </w:r>
      <w:bookmarkStart w:id="1" w:name="_Hlk223357726"/>
      <w:r w:rsidR="00D574D4" w:rsidRPr="00CD53C4">
        <w:rPr>
          <w:rFonts w:ascii="GHEA Grapalat" w:hAnsi="GHEA Grapalat"/>
          <w:b/>
          <w:noProof/>
          <w:color w:val="000000" w:themeColor="text1"/>
          <w:sz w:val="24"/>
          <w:szCs w:val="24"/>
          <w:lang w:val="hy-AM"/>
        </w:rPr>
        <w:t xml:space="preserve">ՀԱՅԱՍՏԱՆԻ ՀԱՆՐԱՊԵՏՈՒԹՅԱՆ ԿԱՌԱՎԱՐՈՒԹՅԱՆ </w:t>
      </w:r>
      <w:bookmarkStart w:id="2" w:name="_Hlk223358072"/>
      <w:r w:rsidR="00D574D4" w:rsidRPr="00CD53C4">
        <w:rPr>
          <w:rFonts w:ascii="GHEA Grapalat" w:hAnsi="GHEA Grapalat"/>
          <w:b/>
          <w:noProof/>
          <w:color w:val="000000" w:themeColor="text1"/>
          <w:sz w:val="24"/>
          <w:szCs w:val="24"/>
          <w:lang w:val="hy-AM"/>
        </w:rPr>
        <w:t>2021 ԹՎԱԿԱՆԻ ՕԳՈՍՏՈՍԻ 12-Ի N 1324-Ն ՈՐՈՇՄԱՆ</w:t>
      </w:r>
      <w:bookmarkEnd w:id="2"/>
      <w:r w:rsidR="00D574D4" w:rsidRPr="00CD53C4">
        <w:rPr>
          <w:rFonts w:ascii="GHEA Grapalat" w:hAnsi="GHEA Grapalat"/>
          <w:b/>
          <w:noProof/>
          <w:color w:val="000000" w:themeColor="text1"/>
          <w:sz w:val="24"/>
          <w:szCs w:val="24"/>
          <w:lang w:val="hy-AM"/>
        </w:rPr>
        <w:t xml:space="preserve"> ՄԵՋ </w:t>
      </w:r>
      <w:r w:rsidR="0011196E" w:rsidRPr="00CD53C4">
        <w:rPr>
          <w:rFonts w:ascii="GHEA Grapalat" w:eastAsia="Times New Roman" w:hAnsi="GHEA Grapalat"/>
          <w:b/>
          <w:bCs/>
          <w:noProof/>
          <w:color w:val="000000" w:themeColor="text1"/>
          <w:sz w:val="24"/>
          <w:szCs w:val="24"/>
          <w:lang w:val="hy-AM"/>
        </w:rPr>
        <w:t xml:space="preserve">ՓՈՓՈԽՈՒԹՅՈՒՆՆԵՐ </w:t>
      </w:r>
      <w:r w:rsidR="00271A8E" w:rsidRPr="00CD53C4">
        <w:rPr>
          <w:rFonts w:ascii="GHEA Grapalat" w:eastAsia="Times New Roman" w:hAnsi="GHEA Grapalat"/>
          <w:b/>
          <w:bCs/>
          <w:noProof/>
          <w:color w:val="000000" w:themeColor="text1"/>
          <w:sz w:val="24"/>
          <w:szCs w:val="24"/>
          <w:lang w:val="hy-AM"/>
        </w:rPr>
        <w:t>ԵՎ ԼՐԱՑՈՒ</w:t>
      </w:r>
      <w:r w:rsidR="007010E8" w:rsidRPr="00CD53C4">
        <w:rPr>
          <w:rFonts w:ascii="GHEA Grapalat" w:eastAsia="Times New Roman" w:hAnsi="GHEA Grapalat"/>
          <w:b/>
          <w:bCs/>
          <w:noProof/>
          <w:color w:val="000000" w:themeColor="text1"/>
          <w:sz w:val="24"/>
          <w:szCs w:val="24"/>
          <w:lang w:val="hy-AM"/>
        </w:rPr>
        <w:t>Մ</w:t>
      </w:r>
      <w:r w:rsidR="006C13BD">
        <w:rPr>
          <w:rFonts w:ascii="GHEA Grapalat" w:eastAsia="Times New Roman" w:hAnsi="GHEA Grapalat"/>
          <w:b/>
          <w:bCs/>
          <w:noProof/>
          <w:color w:val="000000" w:themeColor="text1"/>
          <w:sz w:val="24"/>
          <w:szCs w:val="24"/>
          <w:lang w:val="hy-AM"/>
        </w:rPr>
        <w:t>ՆԵՐ</w:t>
      </w:r>
      <w:r w:rsidR="00271A8E" w:rsidRPr="00CD53C4">
        <w:rPr>
          <w:rFonts w:ascii="GHEA Grapalat" w:eastAsia="Times New Roman" w:hAnsi="GHEA Grapalat"/>
          <w:b/>
          <w:bCs/>
          <w:noProof/>
          <w:color w:val="000000" w:themeColor="text1"/>
          <w:sz w:val="24"/>
          <w:szCs w:val="24"/>
          <w:lang w:val="hy-AM"/>
        </w:rPr>
        <w:t xml:space="preserve"> </w:t>
      </w:r>
      <w:r w:rsidR="00D574D4" w:rsidRPr="00CD53C4">
        <w:rPr>
          <w:rFonts w:ascii="GHEA Grapalat" w:hAnsi="GHEA Grapalat"/>
          <w:b/>
          <w:noProof/>
          <w:color w:val="000000" w:themeColor="text1"/>
          <w:sz w:val="24"/>
          <w:szCs w:val="24"/>
          <w:lang w:val="hy-AM"/>
        </w:rPr>
        <w:t>ԿԱՏԱՐԵԼՈՒ ՄԱՍԻՆ</w:t>
      </w:r>
      <w:bookmarkEnd w:id="1"/>
      <w:r w:rsidRPr="00CD53C4">
        <w:rPr>
          <w:rFonts w:ascii="GHEA Grapalat" w:hAnsi="GHEA Grapalat"/>
          <w:b/>
          <w:noProof/>
          <w:color w:val="000000" w:themeColor="text1"/>
          <w:sz w:val="24"/>
          <w:szCs w:val="24"/>
          <w:lang w:val="hy-AM"/>
        </w:rPr>
        <w:t>» ՀԱՅԱՍՏԱՆԻ ՀԱՆՐԱՊԵՏՈՒԹՅԱՆ ԿԱՌԱՎԱՐՈՒԹՅԱՆ ՈՐՈՇՄԱՆ ՆԱԽԱԳԾԻ ՎԵՐԱԲԵՐՅԱԼ</w:t>
      </w:r>
    </w:p>
    <w:p w14:paraId="1B4B525F" w14:textId="77777777" w:rsidR="00FB4420" w:rsidRPr="00FB4420" w:rsidRDefault="00FB4420" w:rsidP="00FB4420">
      <w:pPr>
        <w:pStyle w:val="ListParagraph"/>
        <w:tabs>
          <w:tab w:val="left" w:pos="-1530"/>
          <w:tab w:val="left" w:pos="-1440"/>
        </w:tabs>
        <w:spacing w:after="0" w:line="360" w:lineRule="auto"/>
        <w:ind w:left="567"/>
        <w:rPr>
          <w:rFonts w:ascii="GHEA Grapalat" w:eastAsia="Times New Roman" w:hAnsi="GHEA Grapalat"/>
          <w:b/>
          <w:bCs/>
          <w:iCs/>
          <w:noProof/>
          <w:color w:val="000000" w:themeColor="text1"/>
          <w:sz w:val="16"/>
          <w:szCs w:val="24"/>
          <w:lang w:val="hy-AM"/>
        </w:rPr>
      </w:pPr>
    </w:p>
    <w:p w14:paraId="6F925EA0" w14:textId="38B01C08" w:rsidR="008B00B5" w:rsidRDefault="008B00B5" w:rsidP="008B00B5">
      <w:pPr>
        <w:tabs>
          <w:tab w:val="left" w:pos="-1530"/>
          <w:tab w:val="left" w:pos="-1440"/>
          <w:tab w:val="left" w:pos="7371"/>
        </w:tabs>
        <w:spacing w:after="0" w:line="360" w:lineRule="auto"/>
        <w:ind w:firstLine="426"/>
        <w:jc w:val="both"/>
        <w:rPr>
          <w:rFonts w:ascii="GHEA Grapalat" w:eastAsia="Times New Roman" w:hAnsi="GHEA Grapalat"/>
          <w:bCs/>
          <w:iCs/>
          <w:noProof/>
          <w:color w:val="000000" w:themeColor="text1"/>
          <w:sz w:val="24"/>
          <w:szCs w:val="24"/>
          <w:lang w:val="hy-AM"/>
        </w:rPr>
      </w:pPr>
      <w:r>
        <w:rPr>
          <w:rFonts w:ascii="GHEA Grapalat" w:eastAsia="Times New Roman" w:hAnsi="GHEA Grapalat" w:cs="Sylfaen"/>
          <w:b/>
          <w:bCs/>
          <w:iCs/>
          <w:noProof/>
          <w:color w:val="000000" w:themeColor="text1"/>
          <w:sz w:val="24"/>
          <w:szCs w:val="24"/>
          <w:lang w:val="hy-AM"/>
        </w:rPr>
        <w:t>1</w:t>
      </w:r>
      <w:r>
        <w:rPr>
          <w:rFonts w:ascii="Cambria Math" w:eastAsia="Times New Roman" w:hAnsi="Cambria Math" w:cs="Sylfaen"/>
          <w:b/>
          <w:bCs/>
          <w:iCs/>
          <w:noProof/>
          <w:color w:val="000000" w:themeColor="text1"/>
          <w:sz w:val="24"/>
          <w:szCs w:val="24"/>
          <w:lang w:val="hy-AM"/>
        </w:rPr>
        <w:t xml:space="preserve">․ </w:t>
      </w:r>
      <w:r w:rsidRPr="00C50DDD">
        <w:rPr>
          <w:rFonts w:ascii="GHEA Grapalat" w:eastAsia="Times New Roman" w:hAnsi="GHEA Grapalat" w:cs="Sylfaen"/>
          <w:b/>
          <w:bCs/>
          <w:iCs/>
          <w:noProof/>
          <w:color w:val="000000" w:themeColor="text1"/>
          <w:sz w:val="24"/>
          <w:szCs w:val="24"/>
          <w:lang w:val="hy-AM"/>
        </w:rPr>
        <w:t>Իրավական ակտի անհրաժեշտությունը (նպատակը).</w:t>
      </w:r>
      <w:r w:rsidRPr="00C50DDD">
        <w:rPr>
          <w:rFonts w:ascii="GHEA Grapalat" w:hAnsi="GHEA Grapalat" w:cs="GHEA Grapalat"/>
          <w:b/>
          <w:color w:val="000000" w:themeColor="text1"/>
          <w:sz w:val="24"/>
          <w:szCs w:val="24"/>
          <w:lang w:val="hy-AM"/>
        </w:rPr>
        <w:t xml:space="preserve"> </w:t>
      </w:r>
      <w:r w:rsidRPr="00C50DDD">
        <w:rPr>
          <w:rFonts w:ascii="GHEA Grapalat" w:eastAsia="Times New Roman" w:hAnsi="GHEA Grapalat"/>
          <w:bCs/>
          <w:iCs/>
          <w:noProof/>
          <w:color w:val="000000" w:themeColor="text1"/>
          <w:sz w:val="24"/>
          <w:szCs w:val="24"/>
          <w:lang w:val="hy-AM"/>
        </w:rPr>
        <w:t>Նախագծի ընդունման անհրաժեշտությունը պայմանավորված է ՀՀ կառավարության կողմից որդեգրած՝ հարկային կամավոր կարգապահության խրախուսման, օրինապահ հարկ վճարողների համար գործունեության բարենպաստ պայմաններ ստեղծելու, ինչպես նաև հարկային մարմին - հարկ վճարող գործընկերային հարաբերությունների առավել ամրապնդման համար անհրաժեշտ նորմատիվ հիմքերի ապահովմամբ:</w:t>
      </w:r>
      <w:r>
        <w:rPr>
          <w:rFonts w:ascii="GHEA Grapalat" w:eastAsia="Times New Roman" w:hAnsi="GHEA Grapalat"/>
          <w:bCs/>
          <w:iCs/>
          <w:noProof/>
          <w:color w:val="000000" w:themeColor="text1"/>
          <w:sz w:val="24"/>
          <w:szCs w:val="24"/>
          <w:lang w:val="hy-AM"/>
        </w:rPr>
        <w:t xml:space="preserve"> Միաժամանակ </w:t>
      </w:r>
      <w:r w:rsidRPr="008B00B5">
        <w:rPr>
          <w:rFonts w:ascii="GHEA Grapalat" w:eastAsia="Times New Roman" w:hAnsi="GHEA Grapalat"/>
          <w:bCs/>
          <w:iCs/>
          <w:noProof/>
          <w:color w:val="000000" w:themeColor="text1"/>
          <w:sz w:val="24"/>
          <w:szCs w:val="24"/>
          <w:lang w:val="hy-AM"/>
        </w:rPr>
        <w:t xml:space="preserve">նախագծի </w:t>
      </w:r>
      <w:r w:rsidR="00FC11DF">
        <w:rPr>
          <w:rFonts w:ascii="GHEA Grapalat" w:eastAsia="Times New Roman" w:hAnsi="GHEA Grapalat"/>
          <w:bCs/>
          <w:iCs/>
          <w:noProof/>
          <w:color w:val="000000" w:themeColor="text1"/>
          <w:sz w:val="24"/>
          <w:szCs w:val="24"/>
          <w:lang w:val="hy-AM"/>
        </w:rPr>
        <w:t>ընդունումը</w:t>
      </w:r>
      <w:r w:rsidRPr="008B00B5">
        <w:rPr>
          <w:rFonts w:ascii="GHEA Grapalat" w:eastAsia="Times New Roman" w:hAnsi="GHEA Grapalat"/>
          <w:bCs/>
          <w:iCs/>
          <w:noProof/>
          <w:color w:val="000000" w:themeColor="text1"/>
          <w:sz w:val="24"/>
          <w:szCs w:val="24"/>
          <w:lang w:val="hy-AM"/>
        </w:rPr>
        <w:t xml:space="preserve"> պայմանավորված է </w:t>
      </w:r>
      <w:r w:rsidR="00FC11DF">
        <w:rPr>
          <w:rFonts w:ascii="GHEA Grapalat" w:eastAsia="Times New Roman" w:hAnsi="GHEA Grapalat"/>
          <w:bCs/>
          <w:iCs/>
          <w:noProof/>
          <w:color w:val="000000" w:themeColor="text1"/>
          <w:sz w:val="24"/>
          <w:szCs w:val="24"/>
          <w:lang w:val="hy-AM"/>
        </w:rPr>
        <w:t xml:space="preserve">ՀՀ կառավարության </w:t>
      </w:r>
      <w:r w:rsidR="00DC6725" w:rsidRPr="00DC6725">
        <w:rPr>
          <w:rFonts w:ascii="GHEA Grapalat" w:eastAsia="Times New Roman" w:hAnsi="GHEA Grapalat"/>
          <w:iCs/>
          <w:noProof/>
          <w:color w:val="000000" w:themeColor="text1"/>
          <w:sz w:val="24"/>
          <w:szCs w:val="24"/>
          <w:lang w:val="hy-AM"/>
        </w:rPr>
        <w:t xml:space="preserve">2021 թվականի օգոստոսի 12-ի </w:t>
      </w:r>
      <w:r w:rsidR="00DC6725">
        <w:rPr>
          <w:rFonts w:ascii="GHEA Grapalat" w:eastAsia="Times New Roman" w:hAnsi="GHEA Grapalat"/>
          <w:iCs/>
          <w:noProof/>
          <w:color w:val="000000" w:themeColor="text1"/>
          <w:sz w:val="24"/>
          <w:szCs w:val="24"/>
          <w:lang w:val="hy-AM"/>
        </w:rPr>
        <w:t>N</w:t>
      </w:r>
      <w:r w:rsidR="00DC6725" w:rsidRPr="00DC6725">
        <w:rPr>
          <w:rFonts w:ascii="GHEA Grapalat" w:eastAsia="Times New Roman" w:hAnsi="GHEA Grapalat"/>
          <w:iCs/>
          <w:noProof/>
          <w:color w:val="000000" w:themeColor="text1"/>
          <w:sz w:val="24"/>
          <w:szCs w:val="24"/>
          <w:lang w:val="hy-AM"/>
        </w:rPr>
        <w:t xml:space="preserve"> 1324-</w:t>
      </w:r>
      <w:r w:rsidR="00DC6725">
        <w:rPr>
          <w:rFonts w:ascii="GHEA Grapalat" w:eastAsia="Times New Roman" w:hAnsi="GHEA Grapalat"/>
          <w:iCs/>
          <w:noProof/>
          <w:color w:val="000000" w:themeColor="text1"/>
          <w:sz w:val="24"/>
          <w:szCs w:val="24"/>
          <w:lang w:val="hy-AM"/>
        </w:rPr>
        <w:t>Ն</w:t>
      </w:r>
      <w:r w:rsidR="00DC6725" w:rsidRPr="00DC6725">
        <w:rPr>
          <w:rFonts w:ascii="GHEA Grapalat" w:eastAsia="Times New Roman" w:hAnsi="GHEA Grapalat"/>
          <w:iCs/>
          <w:noProof/>
          <w:color w:val="000000" w:themeColor="text1"/>
          <w:sz w:val="24"/>
          <w:szCs w:val="24"/>
          <w:lang w:val="hy-AM"/>
        </w:rPr>
        <w:t xml:space="preserve"> որոշմա</w:t>
      </w:r>
      <w:r w:rsidR="00DC6725">
        <w:rPr>
          <w:rFonts w:ascii="GHEA Grapalat" w:eastAsia="Times New Roman" w:hAnsi="GHEA Grapalat"/>
          <w:iCs/>
          <w:noProof/>
          <w:color w:val="000000" w:themeColor="text1"/>
          <w:sz w:val="24"/>
          <w:szCs w:val="24"/>
          <w:lang w:val="hy-AM"/>
        </w:rPr>
        <w:t>մբ սահմանված դրույթները</w:t>
      </w:r>
      <w:r w:rsidR="00DC6725" w:rsidRPr="00DC6725">
        <w:rPr>
          <w:rFonts w:ascii="GHEA Grapalat" w:eastAsia="Times New Roman" w:hAnsi="GHEA Grapalat"/>
          <w:bCs/>
          <w:iCs/>
          <w:noProof/>
          <w:color w:val="000000" w:themeColor="text1"/>
          <w:sz w:val="24"/>
          <w:szCs w:val="24"/>
          <w:lang w:val="hy-AM"/>
        </w:rPr>
        <w:t xml:space="preserve"> </w:t>
      </w:r>
      <w:r>
        <w:rPr>
          <w:rFonts w:ascii="GHEA Grapalat" w:eastAsia="Times New Roman" w:hAnsi="GHEA Grapalat"/>
          <w:bCs/>
          <w:iCs/>
          <w:noProof/>
          <w:color w:val="000000" w:themeColor="text1"/>
          <w:sz w:val="24"/>
          <w:szCs w:val="24"/>
          <w:lang w:val="hy-AM"/>
        </w:rPr>
        <w:t>համապատասխանեցնել ՀՀ հարկային օրենսգրքով կատարվող փոփոխություններին։</w:t>
      </w:r>
    </w:p>
    <w:p w14:paraId="09BD8595" w14:textId="77777777" w:rsidR="008B00B5" w:rsidRDefault="008B00B5" w:rsidP="008B00B5">
      <w:pPr>
        <w:tabs>
          <w:tab w:val="left" w:pos="-1530"/>
          <w:tab w:val="left" w:pos="-1440"/>
          <w:tab w:val="left" w:pos="7371"/>
        </w:tabs>
        <w:spacing w:after="0" w:line="360" w:lineRule="auto"/>
        <w:ind w:firstLine="426"/>
        <w:jc w:val="both"/>
        <w:rPr>
          <w:rFonts w:ascii="GHEA Grapalat" w:eastAsia="Times New Roman" w:hAnsi="GHEA Grapalat" w:cs="Sylfaen"/>
          <w:bCs/>
          <w:iCs/>
          <w:noProof/>
          <w:color w:val="000000" w:themeColor="text1"/>
          <w:sz w:val="24"/>
          <w:szCs w:val="24"/>
          <w:lang w:val="hy-AM"/>
        </w:rPr>
      </w:pPr>
      <w:r>
        <w:rPr>
          <w:rFonts w:ascii="GHEA Grapalat" w:eastAsia="Times New Roman" w:hAnsi="GHEA Grapalat"/>
          <w:bCs/>
          <w:iCs/>
          <w:noProof/>
          <w:color w:val="000000" w:themeColor="text1"/>
          <w:sz w:val="24"/>
          <w:szCs w:val="24"/>
          <w:lang w:val="hy-AM"/>
        </w:rPr>
        <w:t>2</w:t>
      </w:r>
      <w:r>
        <w:rPr>
          <w:rFonts w:ascii="Cambria Math" w:eastAsia="Times New Roman" w:hAnsi="Cambria Math"/>
          <w:bCs/>
          <w:iCs/>
          <w:noProof/>
          <w:color w:val="000000" w:themeColor="text1"/>
          <w:sz w:val="24"/>
          <w:szCs w:val="24"/>
          <w:lang w:val="hy-AM"/>
        </w:rPr>
        <w:t xml:space="preserve">․ </w:t>
      </w:r>
      <w:r w:rsidRPr="00C50DDD">
        <w:rPr>
          <w:rFonts w:ascii="GHEA Grapalat" w:eastAsia="Times New Roman" w:hAnsi="GHEA Grapalat" w:cs="Sylfaen"/>
          <w:b/>
          <w:bCs/>
          <w:iCs/>
          <w:noProof/>
          <w:color w:val="000000" w:themeColor="text1"/>
          <w:sz w:val="24"/>
          <w:szCs w:val="24"/>
          <w:lang w:val="hy-AM"/>
        </w:rPr>
        <w:t>Կարգավորման հարաբերությունների ներկա վիճակը, առկա խնդիրները և առաջարկվող լուծումները.</w:t>
      </w:r>
      <w:r>
        <w:rPr>
          <w:rFonts w:ascii="GHEA Grapalat" w:eastAsia="Times New Roman" w:hAnsi="GHEA Grapalat"/>
          <w:bCs/>
          <w:iCs/>
          <w:noProof/>
          <w:color w:val="000000" w:themeColor="text1"/>
          <w:sz w:val="24"/>
          <w:szCs w:val="24"/>
          <w:lang w:val="hy-AM"/>
        </w:rPr>
        <w:t xml:space="preserve"> </w:t>
      </w:r>
      <w:r w:rsidRPr="00C50DDD">
        <w:rPr>
          <w:rFonts w:ascii="GHEA Grapalat" w:eastAsia="Times New Roman" w:hAnsi="GHEA Grapalat" w:cs="Sylfaen"/>
          <w:bCs/>
          <w:iCs/>
          <w:noProof/>
          <w:color w:val="000000" w:themeColor="text1"/>
          <w:sz w:val="24"/>
          <w:szCs w:val="24"/>
          <w:lang w:val="hy-AM"/>
        </w:rPr>
        <w:t>Հարկային կարգապահության խրախուսման, հարկերի վճարումը, որպես մշակույթ արմատավորելու, ինչպես նաև հարկային վարչարարության շարունակական բարելավման նպատակով՝ ՀՀ հարկային օրենսգրքում 2021թ, կատարված փոփոխություններով և ՀՀ կառավարության 2021թ</w:t>
      </w:r>
      <w:r w:rsidRPr="00C50DDD">
        <w:rPr>
          <w:rFonts w:ascii="Cambria Math" w:eastAsia="Times New Roman" w:hAnsi="Cambria Math" w:cs="Cambria Math"/>
          <w:bCs/>
          <w:iCs/>
          <w:noProof/>
          <w:color w:val="000000" w:themeColor="text1"/>
          <w:sz w:val="24"/>
          <w:szCs w:val="24"/>
          <w:lang w:val="hy-AM"/>
        </w:rPr>
        <w:t>․</w:t>
      </w:r>
      <w:r w:rsidRPr="00C50DDD">
        <w:rPr>
          <w:rFonts w:ascii="GHEA Grapalat" w:eastAsia="Times New Roman" w:hAnsi="GHEA Grapalat" w:cs="Sylfaen"/>
          <w:bCs/>
          <w:iCs/>
          <w:noProof/>
          <w:color w:val="000000" w:themeColor="text1"/>
          <w:sz w:val="24"/>
          <w:szCs w:val="24"/>
          <w:lang w:val="hy-AM"/>
        </w:rPr>
        <w:t xml:space="preserve"> օգոստոսի 12-ի N1324-Ն որոշմամբ ներդրվեց օրինապահ հարկ վճարողի ինստիտուտը։</w:t>
      </w:r>
    </w:p>
    <w:p w14:paraId="7F0BE62F" w14:textId="77777777" w:rsidR="009A3C56" w:rsidRDefault="008B00B5" w:rsidP="008B00B5">
      <w:pPr>
        <w:tabs>
          <w:tab w:val="left" w:pos="-1530"/>
          <w:tab w:val="left" w:pos="-1440"/>
          <w:tab w:val="left" w:pos="7371"/>
        </w:tabs>
        <w:spacing w:after="0" w:line="360" w:lineRule="auto"/>
        <w:ind w:firstLine="426"/>
        <w:jc w:val="both"/>
        <w:rPr>
          <w:rFonts w:ascii="GHEA Grapalat" w:eastAsia="Times New Roman" w:hAnsi="GHEA Grapalat" w:cs="Sylfaen"/>
          <w:bCs/>
          <w:iCs/>
          <w:noProof/>
          <w:color w:val="000000" w:themeColor="text1"/>
          <w:sz w:val="24"/>
          <w:szCs w:val="24"/>
          <w:lang w:val="hy-AM"/>
        </w:rPr>
      </w:pPr>
      <w:r w:rsidRPr="00C50DDD">
        <w:rPr>
          <w:rFonts w:ascii="GHEA Grapalat" w:eastAsia="Times New Roman" w:hAnsi="GHEA Grapalat" w:cs="Sylfaen"/>
          <w:bCs/>
          <w:iCs/>
          <w:noProof/>
          <w:color w:val="000000" w:themeColor="text1"/>
          <w:sz w:val="24"/>
          <w:szCs w:val="24"/>
          <w:lang w:val="hy-AM"/>
        </w:rPr>
        <w:t>Օրինապահ հարկ վճարողի համակարգը առավել գրավիչ դարձնելու համար, անհրաժեշտություն է առաջացել վերանայել օրենսգրքով</w:t>
      </w:r>
      <w:r w:rsidR="00B61C91">
        <w:rPr>
          <w:rFonts w:ascii="GHEA Grapalat" w:eastAsia="Times New Roman" w:hAnsi="GHEA Grapalat" w:cs="Sylfaen"/>
          <w:bCs/>
          <w:iCs/>
          <w:noProof/>
          <w:color w:val="000000" w:themeColor="text1"/>
          <w:sz w:val="24"/>
          <w:szCs w:val="24"/>
          <w:lang w:val="hy-AM"/>
        </w:rPr>
        <w:t xml:space="preserve">, ինչպես նաև ՀՀ կառավարության որոշմամբ </w:t>
      </w:r>
      <w:r w:rsidRPr="00C50DDD">
        <w:rPr>
          <w:rFonts w:ascii="GHEA Grapalat" w:eastAsia="Times New Roman" w:hAnsi="GHEA Grapalat" w:cs="Sylfaen"/>
          <w:bCs/>
          <w:iCs/>
          <w:noProof/>
          <w:color w:val="000000" w:themeColor="text1"/>
          <w:sz w:val="24"/>
          <w:szCs w:val="24"/>
          <w:lang w:val="hy-AM"/>
        </w:rPr>
        <w:t>սահմանված կարգավորումները և նախատեսել համակարգի ներդրման համար խրախուսման լրացուցիչ գործիքակազմ, ինչպես նաև կատարելագործել ու բարելավել օրնապահ հարկ վճարողի հավաստագրի տրամադրմանը վերաբերող կարգավորումները։</w:t>
      </w:r>
      <w:r w:rsidR="007041D2">
        <w:rPr>
          <w:rFonts w:ascii="GHEA Grapalat" w:eastAsia="Times New Roman" w:hAnsi="GHEA Grapalat" w:cs="Sylfaen"/>
          <w:bCs/>
          <w:iCs/>
          <w:noProof/>
          <w:color w:val="000000" w:themeColor="text1"/>
          <w:sz w:val="24"/>
          <w:szCs w:val="24"/>
          <w:lang w:val="hy-AM"/>
        </w:rPr>
        <w:t xml:space="preserve"> </w:t>
      </w:r>
    </w:p>
    <w:p w14:paraId="79052006" w14:textId="4AD77F9B" w:rsidR="008B00B5" w:rsidRPr="009A3C56" w:rsidRDefault="007041D2" w:rsidP="009A3C56">
      <w:pPr>
        <w:tabs>
          <w:tab w:val="left" w:pos="-1530"/>
          <w:tab w:val="left" w:pos="-1440"/>
          <w:tab w:val="left" w:pos="7371"/>
        </w:tabs>
        <w:spacing w:after="0" w:line="360" w:lineRule="auto"/>
        <w:ind w:firstLine="426"/>
        <w:jc w:val="both"/>
        <w:rPr>
          <w:rFonts w:ascii="GHEA Grapalat" w:eastAsia="Times New Roman" w:hAnsi="GHEA Grapalat" w:cs="Sylfaen"/>
          <w:bCs/>
          <w:iCs/>
          <w:noProof/>
          <w:color w:val="000000" w:themeColor="text1"/>
          <w:sz w:val="24"/>
          <w:szCs w:val="24"/>
          <w:lang w:val="hy-AM"/>
        </w:rPr>
      </w:pPr>
      <w:r>
        <w:rPr>
          <w:rFonts w:ascii="GHEA Grapalat" w:eastAsia="Times New Roman" w:hAnsi="GHEA Grapalat" w:cs="Sylfaen"/>
          <w:bCs/>
          <w:iCs/>
          <w:noProof/>
          <w:color w:val="000000" w:themeColor="text1"/>
          <w:sz w:val="24"/>
          <w:szCs w:val="24"/>
          <w:lang w:val="hy-AM"/>
        </w:rPr>
        <w:t xml:space="preserve">Հաշվի առնելով, որ Հարկային օրենսգրքի նախագծով նախատեսվում են լրացուցիչ վարչարարության բարենպաստ պայմաններ, որոշման նախագծով </w:t>
      </w:r>
      <w:r w:rsidR="008B00B5" w:rsidRPr="00C50DDD">
        <w:rPr>
          <w:rFonts w:ascii="GHEA Grapalat" w:eastAsia="Times New Roman" w:hAnsi="GHEA Grapalat" w:cs="Sylfaen"/>
          <w:bCs/>
          <w:iCs/>
          <w:noProof/>
          <w:color w:val="000000" w:themeColor="text1"/>
          <w:sz w:val="24"/>
          <w:szCs w:val="24"/>
          <w:lang w:val="hy-AM"/>
        </w:rPr>
        <w:t>առաջարկվում է սահմանել</w:t>
      </w:r>
      <w:r w:rsidR="00C94975" w:rsidRPr="00C94975">
        <w:rPr>
          <w:rFonts w:ascii="GHEA Grapalat" w:eastAsia="Times New Roman" w:hAnsi="GHEA Grapalat"/>
          <w:color w:val="00000A"/>
          <w:sz w:val="24"/>
          <w:szCs w:val="24"/>
          <w:lang w:val="hy-AM"/>
        </w:rPr>
        <w:t xml:space="preserve"> </w:t>
      </w:r>
      <w:r w:rsidR="00C94975" w:rsidRPr="00B61C91">
        <w:rPr>
          <w:rFonts w:ascii="GHEA Grapalat" w:eastAsia="Times New Roman" w:hAnsi="GHEA Grapalat"/>
          <w:color w:val="00000A"/>
          <w:sz w:val="24"/>
          <w:szCs w:val="24"/>
          <w:lang w:val="hy-AM"/>
        </w:rPr>
        <w:t>օ</w:t>
      </w:r>
      <w:r w:rsidR="00C94975" w:rsidRPr="00B61C91">
        <w:rPr>
          <w:rFonts w:ascii="GHEA Grapalat" w:hAnsi="GHEA Grapalat"/>
          <w:sz w:val="24"/>
          <w:szCs w:val="24"/>
          <w:lang w:val="hy-AM"/>
        </w:rPr>
        <w:t>րինապահ հարկ վճարողի հավաստագրի տրամադրման</w:t>
      </w:r>
      <w:r w:rsidR="00C94975">
        <w:rPr>
          <w:rFonts w:ascii="GHEA Grapalat" w:hAnsi="GHEA Grapalat"/>
          <w:sz w:val="24"/>
          <w:szCs w:val="24"/>
          <w:lang w:val="hy-AM"/>
        </w:rPr>
        <w:t xml:space="preserve"> հետևյալ </w:t>
      </w:r>
      <w:r w:rsidR="009251EF">
        <w:rPr>
          <w:rFonts w:ascii="GHEA Grapalat" w:hAnsi="GHEA Grapalat"/>
          <w:sz w:val="24"/>
          <w:szCs w:val="24"/>
          <w:lang w:val="hy-AM"/>
        </w:rPr>
        <w:t xml:space="preserve">նոր </w:t>
      </w:r>
      <w:r w:rsidR="00C94975">
        <w:rPr>
          <w:rFonts w:ascii="GHEA Grapalat" w:hAnsi="GHEA Grapalat"/>
          <w:sz w:val="24"/>
          <w:szCs w:val="24"/>
          <w:lang w:val="hy-AM"/>
        </w:rPr>
        <w:t>չափանիշներ</w:t>
      </w:r>
      <w:r w:rsidR="008B00B5" w:rsidRPr="00C50DDD">
        <w:rPr>
          <w:rFonts w:ascii="GHEA Grapalat" w:eastAsia="Times New Roman" w:hAnsi="GHEA Grapalat" w:cs="Sylfaen"/>
          <w:bCs/>
          <w:iCs/>
          <w:noProof/>
          <w:color w:val="000000" w:themeColor="text1"/>
          <w:sz w:val="24"/>
          <w:szCs w:val="24"/>
          <w:lang w:val="hy-AM"/>
        </w:rPr>
        <w:t xml:space="preserve"> </w:t>
      </w:r>
      <w:r w:rsidR="00C94975">
        <w:rPr>
          <w:rFonts w:ascii="GHEA Grapalat" w:eastAsia="Times New Roman" w:hAnsi="GHEA Grapalat" w:cs="Sylfaen"/>
          <w:bCs/>
          <w:iCs/>
          <w:noProof/>
          <w:color w:val="000000" w:themeColor="text1"/>
          <w:sz w:val="24"/>
          <w:szCs w:val="24"/>
          <w:lang w:val="hy-AM"/>
        </w:rPr>
        <w:t>և կարգավորումներ մասնավորապես</w:t>
      </w:r>
      <w:r w:rsidR="008B00B5" w:rsidRPr="00C50DDD">
        <w:rPr>
          <w:rFonts w:ascii="Cambria Math" w:eastAsia="Times New Roman" w:hAnsi="Cambria Math" w:cs="Cambria Math"/>
          <w:bCs/>
          <w:iCs/>
          <w:noProof/>
          <w:color w:val="000000" w:themeColor="text1"/>
          <w:sz w:val="24"/>
          <w:szCs w:val="24"/>
          <w:lang w:val="hy-AM"/>
        </w:rPr>
        <w:t>․</w:t>
      </w:r>
      <w:r w:rsidR="008B00B5" w:rsidRPr="00C50DDD">
        <w:rPr>
          <w:rFonts w:ascii="GHEA Grapalat" w:eastAsia="Times New Roman" w:hAnsi="GHEA Grapalat" w:cs="Sylfaen"/>
          <w:bCs/>
          <w:iCs/>
          <w:noProof/>
          <w:color w:val="000000" w:themeColor="text1"/>
          <w:sz w:val="24"/>
          <w:szCs w:val="24"/>
          <w:lang w:val="hy-AM"/>
        </w:rPr>
        <w:t xml:space="preserve"> </w:t>
      </w:r>
    </w:p>
    <w:p w14:paraId="73A9C2B0" w14:textId="15ECA3EB" w:rsidR="008B00B5" w:rsidRPr="005D105D" w:rsidRDefault="00EC1301" w:rsidP="009A3C56">
      <w:pPr>
        <w:pStyle w:val="ListParagraph"/>
        <w:numPr>
          <w:ilvl w:val="0"/>
          <w:numId w:val="23"/>
        </w:numPr>
        <w:tabs>
          <w:tab w:val="left" w:pos="-1530"/>
          <w:tab w:val="left" w:pos="-1440"/>
        </w:tabs>
        <w:spacing w:after="0" w:line="360" w:lineRule="auto"/>
        <w:ind w:left="0" w:firstLine="360"/>
        <w:rPr>
          <w:rFonts w:ascii="GHEA Grapalat" w:eastAsia="Times New Roman" w:hAnsi="GHEA Grapalat"/>
          <w:bCs/>
          <w:iCs/>
          <w:color w:val="00000A"/>
          <w:sz w:val="24"/>
          <w:szCs w:val="24"/>
          <w:lang w:val="hy-AM"/>
        </w:rPr>
      </w:pPr>
      <w:r>
        <w:rPr>
          <w:rFonts w:ascii="GHEA Grapalat" w:eastAsia="Times New Roman" w:hAnsi="GHEA Grapalat"/>
          <w:color w:val="00000A"/>
          <w:sz w:val="24"/>
          <w:szCs w:val="24"/>
          <w:lang w:val="hy-AM"/>
        </w:rPr>
        <w:lastRenderedPageBreak/>
        <w:t>բ</w:t>
      </w:r>
      <w:r w:rsidR="005D105D" w:rsidRPr="005D105D">
        <w:rPr>
          <w:rFonts w:ascii="GHEA Grapalat" w:eastAsia="Times New Roman" w:hAnsi="GHEA Grapalat"/>
          <w:color w:val="00000A"/>
          <w:sz w:val="24"/>
          <w:szCs w:val="24"/>
          <w:lang w:val="hy-AM"/>
        </w:rPr>
        <w:t>ացառ</w:t>
      </w:r>
      <w:r>
        <w:rPr>
          <w:rFonts w:ascii="GHEA Grapalat" w:eastAsia="Times New Roman" w:hAnsi="GHEA Grapalat"/>
          <w:color w:val="00000A"/>
          <w:sz w:val="24"/>
          <w:szCs w:val="24"/>
          <w:lang w:val="hy-AM"/>
        </w:rPr>
        <w:t>վե</w:t>
      </w:r>
      <w:r w:rsidR="005D105D" w:rsidRPr="005D105D">
        <w:rPr>
          <w:rFonts w:ascii="GHEA Grapalat" w:eastAsia="Times New Roman" w:hAnsi="GHEA Grapalat"/>
          <w:color w:val="00000A"/>
          <w:sz w:val="24"/>
          <w:szCs w:val="24"/>
          <w:lang w:val="hy-AM"/>
        </w:rPr>
        <w:t>լ</w:t>
      </w:r>
      <w:r>
        <w:rPr>
          <w:rFonts w:ascii="GHEA Grapalat" w:eastAsia="Times New Roman" w:hAnsi="GHEA Grapalat"/>
          <w:color w:val="00000A"/>
          <w:sz w:val="24"/>
          <w:szCs w:val="24"/>
          <w:lang w:val="hy-AM"/>
        </w:rPr>
        <w:t xml:space="preserve"> են</w:t>
      </w:r>
      <w:r w:rsidR="005D105D" w:rsidRPr="005D105D">
        <w:rPr>
          <w:rFonts w:ascii="GHEA Grapalat" w:eastAsia="Times New Roman" w:hAnsi="GHEA Grapalat"/>
          <w:color w:val="00000A"/>
          <w:sz w:val="24"/>
          <w:szCs w:val="24"/>
          <w:lang w:val="hy-AM"/>
        </w:rPr>
        <w:t xml:space="preserve"> ներդրումային ֆոնդերին հավաստագրի տրամադրումը</w:t>
      </w:r>
      <w:r w:rsidR="008B00B5" w:rsidRPr="005D105D">
        <w:rPr>
          <w:rFonts w:ascii="GHEA Grapalat" w:hAnsi="GHEA Grapalat"/>
          <w:sz w:val="24"/>
          <w:szCs w:val="24"/>
          <w:lang w:val="hy-AM"/>
        </w:rPr>
        <w:t>,</w:t>
      </w:r>
    </w:p>
    <w:p w14:paraId="6EB4F3B0" w14:textId="0525FF32" w:rsidR="005D105D" w:rsidRPr="005D105D" w:rsidRDefault="005D105D" w:rsidP="009A3C56">
      <w:pPr>
        <w:pStyle w:val="ListParagraph"/>
        <w:numPr>
          <w:ilvl w:val="0"/>
          <w:numId w:val="23"/>
        </w:numPr>
        <w:tabs>
          <w:tab w:val="left" w:pos="-1530"/>
          <w:tab w:val="left" w:pos="-1440"/>
        </w:tabs>
        <w:spacing w:after="0" w:line="360" w:lineRule="auto"/>
        <w:ind w:left="0" w:firstLine="360"/>
        <w:jc w:val="both"/>
        <w:rPr>
          <w:rFonts w:ascii="GHEA Grapalat" w:eastAsia="Times New Roman" w:hAnsi="GHEA Grapalat"/>
          <w:color w:val="00000A"/>
          <w:sz w:val="24"/>
          <w:szCs w:val="24"/>
          <w:lang w:val="hy-AM"/>
        </w:rPr>
      </w:pPr>
      <w:r w:rsidRPr="005D105D">
        <w:rPr>
          <w:rFonts w:ascii="GHEA Grapalat" w:eastAsia="Times New Roman" w:hAnsi="GHEA Grapalat"/>
          <w:bCs/>
          <w:iCs/>
          <w:noProof/>
          <w:color w:val="000000" w:themeColor="text1"/>
          <w:sz w:val="24"/>
          <w:szCs w:val="24"/>
          <w:lang w:val="hy-AM"/>
        </w:rPr>
        <w:t>նվազեց</w:t>
      </w:r>
      <w:r w:rsidR="00EC1301">
        <w:rPr>
          <w:rFonts w:ascii="GHEA Grapalat" w:eastAsia="Times New Roman" w:hAnsi="GHEA Grapalat"/>
          <w:bCs/>
          <w:iCs/>
          <w:noProof/>
          <w:color w:val="000000" w:themeColor="text1"/>
          <w:sz w:val="24"/>
          <w:szCs w:val="24"/>
          <w:lang w:val="hy-AM"/>
        </w:rPr>
        <w:t>վ</w:t>
      </w:r>
      <w:r w:rsidRPr="005D105D">
        <w:rPr>
          <w:rFonts w:ascii="GHEA Grapalat" w:eastAsia="Times New Roman" w:hAnsi="GHEA Grapalat"/>
          <w:bCs/>
          <w:iCs/>
          <w:noProof/>
          <w:color w:val="000000" w:themeColor="text1"/>
          <w:sz w:val="24"/>
          <w:szCs w:val="24"/>
          <w:lang w:val="hy-AM"/>
        </w:rPr>
        <w:t>ել</w:t>
      </w:r>
      <w:r w:rsidR="00EC1301">
        <w:rPr>
          <w:rFonts w:ascii="GHEA Grapalat" w:eastAsia="Times New Roman" w:hAnsi="GHEA Grapalat"/>
          <w:bCs/>
          <w:iCs/>
          <w:noProof/>
          <w:color w:val="000000" w:themeColor="text1"/>
          <w:sz w:val="24"/>
          <w:szCs w:val="24"/>
          <w:lang w:val="hy-AM"/>
        </w:rPr>
        <w:t xml:space="preserve"> են</w:t>
      </w:r>
      <w:r w:rsidRPr="005D105D">
        <w:rPr>
          <w:rFonts w:ascii="GHEA Grapalat" w:eastAsia="Times New Roman" w:hAnsi="GHEA Grapalat"/>
          <w:color w:val="00000A"/>
          <w:sz w:val="24"/>
          <w:szCs w:val="24"/>
          <w:lang w:val="hy-AM"/>
        </w:rPr>
        <w:t xml:space="preserve"> իրավախախտումների արդյունքում արձանագրված լրացուցիչ պարտավորությունների թույլատրելի շեմի հաշվարկման բազան՝ հաշվարկից պակասեցնելով ԱԱՀ-ից ազատված գործարքների մասով հարկային բազան</w:t>
      </w:r>
      <w:r>
        <w:rPr>
          <w:rFonts w:ascii="Cambria Math" w:eastAsia="Times New Roman" w:hAnsi="Cambria Math" w:cs="Cambria Math"/>
          <w:color w:val="00000A"/>
          <w:sz w:val="24"/>
          <w:szCs w:val="24"/>
          <w:lang w:val="hy-AM"/>
        </w:rPr>
        <w:t>,</w:t>
      </w:r>
    </w:p>
    <w:p w14:paraId="11D2CA0A" w14:textId="37D568D1" w:rsidR="005D105D" w:rsidRPr="005D105D" w:rsidRDefault="005D105D" w:rsidP="009A3C56">
      <w:pPr>
        <w:pStyle w:val="ListParagraph"/>
        <w:numPr>
          <w:ilvl w:val="0"/>
          <w:numId w:val="23"/>
        </w:numPr>
        <w:tabs>
          <w:tab w:val="left" w:pos="-1530"/>
          <w:tab w:val="left" w:pos="-1440"/>
        </w:tabs>
        <w:spacing w:after="0" w:line="360" w:lineRule="auto"/>
        <w:ind w:left="0" w:firstLine="360"/>
        <w:jc w:val="both"/>
        <w:rPr>
          <w:rFonts w:ascii="GHEA Grapalat" w:eastAsia="Times New Roman" w:hAnsi="GHEA Grapalat"/>
          <w:color w:val="00000A"/>
          <w:sz w:val="24"/>
          <w:szCs w:val="24"/>
          <w:lang w:val="hy-AM"/>
        </w:rPr>
      </w:pPr>
      <w:r w:rsidRPr="005D105D">
        <w:rPr>
          <w:rFonts w:ascii="GHEA Grapalat" w:eastAsia="Times New Roman" w:hAnsi="GHEA Grapalat"/>
          <w:color w:val="00000A"/>
          <w:sz w:val="24"/>
          <w:szCs w:val="24"/>
          <w:lang w:val="hy-AM"/>
        </w:rPr>
        <w:t>հարկ</w:t>
      </w:r>
      <w:r w:rsidRPr="005D105D">
        <w:rPr>
          <w:rFonts w:ascii="GHEA Grapalat" w:eastAsia="Times New Roman" w:hAnsi="GHEA Grapalat" w:cs="Sylfaen"/>
          <w:bCs/>
          <w:iCs/>
          <w:noProof/>
          <w:color w:val="000000" w:themeColor="text1"/>
          <w:sz w:val="24"/>
          <w:szCs w:val="24"/>
          <w:lang w:val="hy-AM"/>
        </w:rPr>
        <w:t xml:space="preserve"> վճարողի մոտ դիտարկվող ժամանակահատվածում և դրան նախորդող հարկային </w:t>
      </w:r>
      <w:r w:rsidR="000D0141">
        <w:rPr>
          <w:rFonts w:ascii="GHEA Grapalat" w:eastAsia="Times New Roman" w:hAnsi="GHEA Grapalat" w:cs="Sylfaen"/>
          <w:bCs/>
          <w:iCs/>
          <w:noProof/>
          <w:color w:val="000000" w:themeColor="text1"/>
          <w:sz w:val="24"/>
          <w:szCs w:val="24"/>
          <w:lang w:val="hy-AM"/>
        </w:rPr>
        <w:t xml:space="preserve">երկու </w:t>
      </w:r>
      <w:r w:rsidRPr="005D105D">
        <w:rPr>
          <w:rFonts w:ascii="GHEA Grapalat" w:eastAsia="Times New Roman" w:hAnsi="GHEA Grapalat" w:cs="Sylfaen"/>
          <w:bCs/>
          <w:iCs/>
          <w:noProof/>
          <w:color w:val="000000" w:themeColor="text1"/>
          <w:sz w:val="24"/>
          <w:szCs w:val="24"/>
          <w:lang w:val="hy-AM"/>
        </w:rPr>
        <w:t>տարում գործունեության արդյունքներով առաջացած հարկային վնասի բացակայություն</w:t>
      </w:r>
      <w:r>
        <w:rPr>
          <w:rFonts w:ascii="GHEA Grapalat" w:eastAsia="Times New Roman" w:hAnsi="GHEA Grapalat" w:cs="Sylfaen"/>
          <w:bCs/>
          <w:iCs/>
          <w:noProof/>
          <w:color w:val="000000" w:themeColor="text1"/>
          <w:sz w:val="24"/>
          <w:szCs w:val="24"/>
          <w:lang w:val="hy-AM"/>
        </w:rPr>
        <w:t>,</w:t>
      </w:r>
    </w:p>
    <w:p w14:paraId="18A29AD4" w14:textId="7167E5A9" w:rsidR="00B61C91" w:rsidRDefault="00B61C91" w:rsidP="00B61C91">
      <w:pPr>
        <w:pStyle w:val="ListParagraph"/>
        <w:numPr>
          <w:ilvl w:val="0"/>
          <w:numId w:val="23"/>
        </w:numPr>
        <w:tabs>
          <w:tab w:val="left" w:pos="-1530"/>
          <w:tab w:val="left" w:pos="-1440"/>
        </w:tabs>
        <w:spacing w:after="0" w:line="360" w:lineRule="auto"/>
        <w:ind w:left="0" w:firstLine="360"/>
        <w:jc w:val="both"/>
        <w:rPr>
          <w:rFonts w:ascii="GHEA Grapalat" w:eastAsia="Times New Roman" w:hAnsi="GHEA Grapalat"/>
          <w:bCs/>
          <w:iCs/>
          <w:noProof/>
          <w:color w:val="000000" w:themeColor="text1"/>
          <w:sz w:val="24"/>
          <w:szCs w:val="24"/>
          <w:lang w:val="hy-AM"/>
        </w:rPr>
      </w:pPr>
      <w:r w:rsidRPr="00B61C91">
        <w:rPr>
          <w:rFonts w:ascii="GHEA Grapalat" w:eastAsia="Times New Roman" w:hAnsi="GHEA Grapalat"/>
          <w:color w:val="00000A"/>
          <w:sz w:val="24"/>
          <w:szCs w:val="24"/>
          <w:lang w:val="hy-AM"/>
        </w:rPr>
        <w:t>հարկ</w:t>
      </w:r>
      <w:r w:rsidRPr="00B61C91">
        <w:rPr>
          <w:rFonts w:ascii="GHEA Grapalat" w:eastAsia="Times New Roman" w:hAnsi="GHEA Grapalat"/>
          <w:bCs/>
          <w:iCs/>
          <w:noProof/>
          <w:color w:val="000000" w:themeColor="text1"/>
          <w:sz w:val="24"/>
          <w:szCs w:val="24"/>
          <w:lang w:val="hy-AM"/>
        </w:rPr>
        <w:t xml:space="preserve"> վճարողը դիտարկվող ժամանակահատվածի կեսից ավելի ամիսների համար՝ առանց ԱԱՀ-ից ազատված գործարքների մասով ԱԱՀ-ով հարկման բազայի, հաշվարկել է 0-ից մեծ ԱԱՀ-ի հարկման բազա և դիտարկվող ժամանակահատվածի համար հաշվարկված ԱԱՀ-ից ազատված գործարքների մասով ԱԱՀ-ով հարկման բազան  չի գերազանցել ԱԱՀ-ի հարկման բազայի 50%-ը</w:t>
      </w:r>
      <w:r w:rsidR="00C94975">
        <w:rPr>
          <w:rFonts w:ascii="GHEA Grapalat" w:eastAsia="Times New Roman" w:hAnsi="GHEA Grapalat"/>
          <w:bCs/>
          <w:iCs/>
          <w:noProof/>
          <w:color w:val="000000" w:themeColor="text1"/>
          <w:sz w:val="24"/>
          <w:szCs w:val="24"/>
          <w:lang w:val="hy-AM"/>
        </w:rPr>
        <w:t>,</w:t>
      </w:r>
    </w:p>
    <w:p w14:paraId="2966E2C9" w14:textId="660A4D27" w:rsidR="00B61C91" w:rsidRDefault="00795CAC" w:rsidP="00B61C91">
      <w:pPr>
        <w:pStyle w:val="ListParagraph"/>
        <w:numPr>
          <w:ilvl w:val="0"/>
          <w:numId w:val="23"/>
        </w:numPr>
        <w:tabs>
          <w:tab w:val="left" w:pos="-1530"/>
          <w:tab w:val="left" w:pos="-1440"/>
        </w:tabs>
        <w:spacing w:after="0" w:line="360" w:lineRule="auto"/>
        <w:ind w:left="0" w:firstLine="360"/>
        <w:jc w:val="both"/>
        <w:rPr>
          <w:rFonts w:ascii="GHEA Grapalat" w:eastAsia="Times New Roman" w:hAnsi="GHEA Grapalat"/>
          <w:bCs/>
          <w:iCs/>
          <w:noProof/>
          <w:color w:val="000000" w:themeColor="text1"/>
          <w:sz w:val="24"/>
          <w:szCs w:val="24"/>
          <w:lang w:val="hy-AM"/>
        </w:rPr>
      </w:pPr>
      <w:r>
        <w:rPr>
          <w:rFonts w:ascii="GHEA Grapalat" w:eastAsia="Times New Roman" w:hAnsi="GHEA Grapalat"/>
          <w:color w:val="00000A"/>
          <w:sz w:val="24"/>
          <w:szCs w:val="24"/>
          <w:lang w:val="hy-AM"/>
        </w:rPr>
        <w:t xml:space="preserve">ավելացվել են </w:t>
      </w:r>
      <w:r w:rsidR="00B61C91" w:rsidRPr="00B61C91">
        <w:rPr>
          <w:rFonts w:ascii="GHEA Grapalat" w:eastAsia="Times New Roman" w:hAnsi="GHEA Grapalat"/>
          <w:color w:val="00000A"/>
          <w:sz w:val="24"/>
          <w:szCs w:val="24"/>
          <w:lang w:val="hy-AM"/>
        </w:rPr>
        <w:t>դիտարկվող</w:t>
      </w:r>
      <w:r w:rsidR="00B61C91" w:rsidRPr="00B61C91">
        <w:rPr>
          <w:rFonts w:ascii="GHEA Grapalat" w:eastAsia="Times New Roman" w:hAnsi="GHEA Grapalat"/>
          <w:bCs/>
          <w:iCs/>
          <w:noProof/>
          <w:color w:val="000000" w:themeColor="text1"/>
          <w:sz w:val="24"/>
          <w:szCs w:val="24"/>
          <w:lang w:val="hy-AM"/>
        </w:rPr>
        <w:t xml:space="preserve"> ժամանակահատվածի ընթացքում օրենսգրքի 419-րդ կամ 424-րդ հոդվածների պահանջներից որևէ մեկով մեկից ավելի անգամ խախտման բացակայութ</w:t>
      </w:r>
      <w:r>
        <w:rPr>
          <w:rFonts w:ascii="GHEA Grapalat" w:eastAsia="Times New Roman" w:hAnsi="GHEA Grapalat"/>
          <w:bCs/>
          <w:iCs/>
          <w:noProof/>
          <w:color w:val="000000" w:themeColor="text1"/>
          <w:sz w:val="24"/>
          <w:szCs w:val="24"/>
          <w:lang w:val="hy-AM"/>
        </w:rPr>
        <w:t>ուն չափանի</w:t>
      </w:r>
      <w:r w:rsidR="007041D2">
        <w:rPr>
          <w:rFonts w:ascii="GHEA Grapalat" w:eastAsia="Times New Roman" w:hAnsi="GHEA Grapalat"/>
          <w:bCs/>
          <w:iCs/>
          <w:noProof/>
          <w:color w:val="000000" w:themeColor="text1"/>
          <w:sz w:val="24"/>
          <w:szCs w:val="24"/>
          <w:lang w:val="hy-AM"/>
        </w:rPr>
        <w:t>շը</w:t>
      </w:r>
      <w:r w:rsidR="00C94975">
        <w:rPr>
          <w:rFonts w:ascii="GHEA Grapalat" w:eastAsia="Times New Roman" w:hAnsi="GHEA Grapalat"/>
          <w:bCs/>
          <w:iCs/>
          <w:noProof/>
          <w:color w:val="000000" w:themeColor="text1"/>
          <w:sz w:val="24"/>
          <w:szCs w:val="24"/>
          <w:lang w:val="hy-AM"/>
        </w:rPr>
        <w:t>,</w:t>
      </w:r>
    </w:p>
    <w:p w14:paraId="343EC8C1" w14:textId="10EDB2AE" w:rsidR="003D75A9" w:rsidRDefault="003D75A9" w:rsidP="00B61C91">
      <w:pPr>
        <w:pStyle w:val="ListParagraph"/>
        <w:numPr>
          <w:ilvl w:val="0"/>
          <w:numId w:val="23"/>
        </w:numPr>
        <w:tabs>
          <w:tab w:val="left" w:pos="-1530"/>
          <w:tab w:val="left" w:pos="-1440"/>
        </w:tabs>
        <w:spacing w:after="0" w:line="360" w:lineRule="auto"/>
        <w:ind w:left="0" w:firstLine="360"/>
        <w:jc w:val="both"/>
        <w:rPr>
          <w:rFonts w:ascii="GHEA Grapalat" w:eastAsia="Times New Roman" w:hAnsi="GHEA Grapalat"/>
          <w:bCs/>
          <w:iCs/>
          <w:noProof/>
          <w:color w:val="000000" w:themeColor="text1"/>
          <w:sz w:val="24"/>
          <w:szCs w:val="24"/>
          <w:lang w:val="hy-AM"/>
        </w:rPr>
      </w:pPr>
      <w:r>
        <w:rPr>
          <w:rFonts w:ascii="GHEA Grapalat" w:eastAsia="Times New Roman" w:hAnsi="GHEA Grapalat"/>
          <w:color w:val="00000A"/>
          <w:sz w:val="24"/>
          <w:szCs w:val="24"/>
          <w:lang w:val="hy-AM"/>
        </w:rPr>
        <w:t xml:space="preserve">ավելացվել են </w:t>
      </w:r>
      <w:r w:rsidRPr="00B61C91">
        <w:rPr>
          <w:rFonts w:ascii="GHEA Grapalat" w:eastAsia="Times New Roman" w:hAnsi="GHEA Grapalat"/>
          <w:color w:val="00000A"/>
          <w:sz w:val="24"/>
          <w:szCs w:val="24"/>
          <w:lang w:val="hy-AM"/>
        </w:rPr>
        <w:t>դիտարկվող</w:t>
      </w:r>
      <w:r w:rsidRPr="00B61C91">
        <w:rPr>
          <w:rFonts w:ascii="GHEA Grapalat" w:eastAsia="Times New Roman" w:hAnsi="GHEA Grapalat"/>
          <w:bCs/>
          <w:iCs/>
          <w:noProof/>
          <w:color w:val="000000" w:themeColor="text1"/>
          <w:sz w:val="24"/>
          <w:szCs w:val="24"/>
          <w:lang w:val="hy-AM"/>
        </w:rPr>
        <w:t xml:space="preserve"> ժամանակահատվածի ընթացքում օրենսգրքի </w:t>
      </w:r>
      <w:r w:rsidRPr="008017BD">
        <w:rPr>
          <w:rFonts w:ascii="GHEA Grapalat" w:eastAsia="Times New Roman" w:hAnsi="GHEA Grapalat"/>
          <w:color w:val="000000"/>
          <w:sz w:val="24"/>
          <w:szCs w:val="24"/>
          <w:lang w:val="hy-AM"/>
        </w:rPr>
        <w:t>407-</w:t>
      </w:r>
      <w:r w:rsidRPr="008017BD">
        <w:rPr>
          <w:rFonts w:ascii="GHEA Grapalat" w:eastAsia="Times New Roman" w:hAnsi="GHEA Grapalat" w:cs="GHEA Grapalat"/>
          <w:color w:val="000000"/>
          <w:sz w:val="24"/>
          <w:szCs w:val="24"/>
          <w:lang w:val="hy-AM"/>
        </w:rPr>
        <w:t xml:space="preserve">րդ, </w:t>
      </w:r>
      <w:r w:rsidRPr="008017BD">
        <w:rPr>
          <w:rFonts w:ascii="GHEA Grapalat" w:eastAsia="Times New Roman" w:hAnsi="GHEA Grapalat"/>
          <w:color w:val="000000"/>
          <w:sz w:val="24"/>
          <w:szCs w:val="24"/>
          <w:lang w:val="hy-AM"/>
        </w:rPr>
        <w:t>408-</w:t>
      </w:r>
      <w:r w:rsidRPr="008017BD">
        <w:rPr>
          <w:rFonts w:ascii="GHEA Grapalat" w:eastAsia="Times New Roman" w:hAnsi="GHEA Grapalat" w:cs="GHEA Grapalat"/>
          <w:color w:val="000000"/>
          <w:sz w:val="24"/>
          <w:szCs w:val="24"/>
          <w:lang w:val="hy-AM"/>
        </w:rPr>
        <w:t>րդ կամ 409-րդ</w:t>
      </w:r>
      <w:r w:rsidRPr="008017BD">
        <w:rPr>
          <w:rFonts w:ascii="GHEA Grapalat" w:eastAsia="Times New Roman" w:hAnsi="GHEA Grapalat"/>
          <w:color w:val="000000"/>
          <w:sz w:val="24"/>
          <w:szCs w:val="24"/>
          <w:lang w:val="hy-AM"/>
        </w:rPr>
        <w:t xml:space="preserve"> </w:t>
      </w:r>
      <w:r w:rsidRPr="008017BD">
        <w:rPr>
          <w:rFonts w:ascii="GHEA Grapalat" w:eastAsia="Times New Roman" w:hAnsi="GHEA Grapalat" w:cs="GHEA Grapalat"/>
          <w:color w:val="000000"/>
          <w:sz w:val="24"/>
          <w:szCs w:val="24"/>
          <w:lang w:val="hy-AM"/>
        </w:rPr>
        <w:t>հոդվածներով սահմանված</w:t>
      </w:r>
      <w:r w:rsidRPr="008017BD">
        <w:rPr>
          <w:rFonts w:ascii="GHEA Grapalat" w:eastAsia="Times New Roman" w:hAnsi="GHEA Grapalat"/>
          <w:color w:val="000000"/>
          <w:sz w:val="24"/>
          <w:szCs w:val="24"/>
          <w:lang w:val="hy-AM"/>
        </w:rPr>
        <w:t xml:space="preserve"> իրավախախտման </w:t>
      </w:r>
      <w:r w:rsidRPr="00B61C91">
        <w:rPr>
          <w:rFonts w:ascii="GHEA Grapalat" w:eastAsia="Times New Roman" w:hAnsi="GHEA Grapalat"/>
          <w:bCs/>
          <w:iCs/>
          <w:noProof/>
          <w:color w:val="000000" w:themeColor="text1"/>
          <w:sz w:val="24"/>
          <w:szCs w:val="24"/>
          <w:lang w:val="hy-AM"/>
        </w:rPr>
        <w:t>բացակայութ</w:t>
      </w:r>
      <w:r>
        <w:rPr>
          <w:rFonts w:ascii="GHEA Grapalat" w:eastAsia="Times New Roman" w:hAnsi="GHEA Grapalat"/>
          <w:bCs/>
          <w:iCs/>
          <w:noProof/>
          <w:color w:val="000000" w:themeColor="text1"/>
          <w:sz w:val="24"/>
          <w:szCs w:val="24"/>
          <w:lang w:val="hy-AM"/>
        </w:rPr>
        <w:t>ուն չափանիշը</w:t>
      </w:r>
      <w:r>
        <w:rPr>
          <w:rFonts w:ascii="GHEA Grapalat" w:eastAsia="Times New Roman" w:hAnsi="GHEA Grapalat"/>
          <w:bCs/>
          <w:iCs/>
          <w:noProof/>
          <w:color w:val="000000" w:themeColor="text1"/>
          <w:sz w:val="24"/>
          <w:szCs w:val="24"/>
          <w:lang w:val="hy-AM"/>
        </w:rPr>
        <w:t>,</w:t>
      </w:r>
    </w:p>
    <w:p w14:paraId="2A7BBC36" w14:textId="3BA54300" w:rsidR="005D105D" w:rsidRPr="005D105D" w:rsidRDefault="005D105D" w:rsidP="005D105D">
      <w:pPr>
        <w:pStyle w:val="ListParagraph"/>
        <w:numPr>
          <w:ilvl w:val="0"/>
          <w:numId w:val="23"/>
        </w:numPr>
        <w:tabs>
          <w:tab w:val="left" w:pos="-1530"/>
          <w:tab w:val="left" w:pos="-1440"/>
        </w:tabs>
        <w:spacing w:after="0" w:line="360" w:lineRule="auto"/>
        <w:ind w:left="0" w:firstLine="360"/>
        <w:jc w:val="both"/>
        <w:rPr>
          <w:rFonts w:ascii="GHEA Grapalat" w:eastAsia="Times New Roman" w:hAnsi="GHEA Grapalat"/>
          <w:bCs/>
          <w:iCs/>
          <w:noProof/>
          <w:color w:val="000000" w:themeColor="text1"/>
          <w:sz w:val="24"/>
          <w:szCs w:val="24"/>
          <w:lang w:val="hy-AM"/>
        </w:rPr>
      </w:pPr>
      <w:r w:rsidRPr="005D105D">
        <w:rPr>
          <w:rFonts w:ascii="GHEA Grapalat" w:eastAsia="Times New Roman" w:hAnsi="GHEA Grapalat"/>
          <w:bCs/>
          <w:iCs/>
          <w:noProof/>
          <w:color w:val="000000" w:themeColor="text1"/>
          <w:sz w:val="24"/>
          <w:szCs w:val="24"/>
          <w:lang w:val="hy-AM"/>
        </w:rPr>
        <w:t>հարկ վճարողի գործունեության ոլորտի համար օրենսդրությամբ սահմանված բոլոր լիցենզիաների, արտոնագրերի, ծանուցումների առկայություն,</w:t>
      </w:r>
    </w:p>
    <w:p w14:paraId="1AA314B8" w14:textId="1E2E7C1A" w:rsidR="00B61C91" w:rsidRDefault="00B61C91" w:rsidP="00B61C91">
      <w:pPr>
        <w:pStyle w:val="ListParagraph"/>
        <w:numPr>
          <w:ilvl w:val="0"/>
          <w:numId w:val="23"/>
        </w:numPr>
        <w:tabs>
          <w:tab w:val="left" w:pos="-1530"/>
          <w:tab w:val="left" w:pos="-1440"/>
        </w:tabs>
        <w:spacing w:after="0" w:line="360" w:lineRule="auto"/>
        <w:ind w:left="0" w:firstLine="360"/>
        <w:jc w:val="both"/>
        <w:rPr>
          <w:rFonts w:ascii="GHEA Grapalat" w:eastAsia="Times New Roman" w:hAnsi="GHEA Grapalat"/>
          <w:bCs/>
          <w:iCs/>
          <w:noProof/>
          <w:color w:val="000000" w:themeColor="text1"/>
          <w:sz w:val="24"/>
          <w:szCs w:val="24"/>
          <w:lang w:val="hy-AM"/>
        </w:rPr>
      </w:pPr>
      <w:r w:rsidRPr="00B61C91">
        <w:rPr>
          <w:rFonts w:ascii="GHEA Grapalat" w:eastAsia="Times New Roman" w:hAnsi="GHEA Grapalat"/>
          <w:bCs/>
          <w:iCs/>
          <w:noProof/>
          <w:color w:val="000000" w:themeColor="text1"/>
          <w:sz w:val="24"/>
          <w:szCs w:val="24"/>
          <w:lang w:val="hy-AM"/>
        </w:rPr>
        <w:t>հարկ վճարողը դիտարկվող ժամանակահատվածի կեսից ավելի ամիսների համար հաշվարկել է ամսական 2 և ավելի աշխատողի աշխատավարձ և դրան հավասարեցված այլ վճարումներ, ընդ որում բոլոր հաշվարկված աշխատավարձերը և դրան հավասարեցված այլ վճարումները գերազանցում են նվազագույն աշխատավարձի չափը։</w:t>
      </w:r>
    </w:p>
    <w:p w14:paraId="034BDA5C" w14:textId="5C4E49CC" w:rsidR="00C94975" w:rsidRPr="00C94975" w:rsidRDefault="00C94975" w:rsidP="00C94975">
      <w:pPr>
        <w:pStyle w:val="ListParagraph"/>
        <w:numPr>
          <w:ilvl w:val="0"/>
          <w:numId w:val="23"/>
        </w:numPr>
        <w:tabs>
          <w:tab w:val="left" w:pos="-1530"/>
          <w:tab w:val="left" w:pos="-1440"/>
        </w:tabs>
        <w:spacing w:after="0" w:line="360" w:lineRule="auto"/>
        <w:ind w:left="0" w:firstLine="360"/>
        <w:jc w:val="both"/>
        <w:rPr>
          <w:rFonts w:ascii="GHEA Grapalat" w:eastAsia="Times New Roman" w:hAnsi="GHEA Grapalat"/>
          <w:bCs/>
          <w:iCs/>
          <w:noProof/>
          <w:color w:val="000000" w:themeColor="text1"/>
          <w:sz w:val="24"/>
          <w:szCs w:val="24"/>
          <w:lang w:val="hy-AM"/>
        </w:rPr>
      </w:pPr>
      <w:r>
        <w:rPr>
          <w:rFonts w:ascii="GHEA Grapalat" w:eastAsia="Times New Roman" w:hAnsi="GHEA Grapalat"/>
          <w:bCs/>
          <w:iCs/>
          <w:noProof/>
          <w:color w:val="000000" w:themeColor="text1"/>
          <w:sz w:val="24"/>
          <w:szCs w:val="24"/>
          <w:lang w:val="hy-AM"/>
        </w:rPr>
        <w:t xml:space="preserve">սահմանվել </w:t>
      </w:r>
      <w:r w:rsidR="00FC11DF">
        <w:rPr>
          <w:rFonts w:ascii="GHEA Grapalat" w:eastAsia="Times New Roman" w:hAnsi="GHEA Grapalat"/>
          <w:bCs/>
          <w:iCs/>
          <w:noProof/>
          <w:color w:val="000000" w:themeColor="text1"/>
          <w:sz w:val="24"/>
          <w:szCs w:val="24"/>
          <w:lang w:val="hy-AM"/>
        </w:rPr>
        <w:t>են</w:t>
      </w:r>
      <w:r>
        <w:rPr>
          <w:rFonts w:ascii="GHEA Grapalat" w:eastAsia="Times New Roman" w:hAnsi="GHEA Grapalat"/>
          <w:bCs/>
          <w:iCs/>
          <w:noProof/>
          <w:color w:val="000000" w:themeColor="text1"/>
          <w:sz w:val="24"/>
          <w:szCs w:val="24"/>
          <w:lang w:val="hy-AM"/>
        </w:rPr>
        <w:t xml:space="preserve"> </w:t>
      </w:r>
      <w:r w:rsidR="00FC11DF" w:rsidRPr="00C94975">
        <w:rPr>
          <w:rFonts w:ascii="GHEA Grapalat" w:eastAsia="Times New Roman" w:hAnsi="GHEA Grapalat"/>
          <w:bCs/>
          <w:iCs/>
          <w:noProof/>
          <w:color w:val="000000" w:themeColor="text1"/>
          <w:sz w:val="24"/>
          <w:szCs w:val="24"/>
          <w:lang w:val="hy-AM"/>
        </w:rPr>
        <w:t>2-ից ոչ ավել հաշվետու ժամանակաշրջանների համար</w:t>
      </w:r>
      <w:r w:rsidR="00FC11DF">
        <w:rPr>
          <w:rFonts w:ascii="GHEA Grapalat" w:eastAsia="Times New Roman" w:hAnsi="GHEA Grapalat"/>
          <w:bCs/>
          <w:iCs/>
          <w:noProof/>
          <w:color w:val="000000" w:themeColor="text1"/>
          <w:sz w:val="24"/>
          <w:szCs w:val="24"/>
          <w:lang w:val="hy-AM"/>
        </w:rPr>
        <w:t xml:space="preserve"> թուլատրելի </w:t>
      </w:r>
      <w:r w:rsidRPr="00C94975">
        <w:rPr>
          <w:rFonts w:ascii="GHEA Grapalat" w:eastAsia="Times New Roman" w:hAnsi="GHEA Grapalat"/>
          <w:bCs/>
          <w:iCs/>
          <w:noProof/>
          <w:color w:val="000000" w:themeColor="text1"/>
          <w:sz w:val="24"/>
          <w:szCs w:val="24"/>
          <w:lang w:val="hy-AM"/>
        </w:rPr>
        <w:t>իրավախախտումներ</w:t>
      </w:r>
      <w:r w:rsidR="00FC11DF">
        <w:rPr>
          <w:rFonts w:ascii="GHEA Grapalat" w:eastAsia="Times New Roman" w:hAnsi="GHEA Grapalat"/>
          <w:bCs/>
          <w:iCs/>
          <w:noProof/>
          <w:color w:val="000000" w:themeColor="text1"/>
          <w:sz w:val="24"/>
          <w:szCs w:val="24"/>
          <w:lang w:val="hy-AM"/>
        </w:rPr>
        <w:t>ի</w:t>
      </w:r>
      <w:r w:rsidRPr="00C94975">
        <w:rPr>
          <w:rFonts w:ascii="GHEA Grapalat" w:eastAsia="Times New Roman" w:hAnsi="GHEA Grapalat"/>
          <w:bCs/>
          <w:iCs/>
          <w:noProof/>
          <w:color w:val="000000" w:themeColor="text1"/>
          <w:sz w:val="24"/>
          <w:szCs w:val="24"/>
          <w:lang w:val="hy-AM"/>
        </w:rPr>
        <w:t xml:space="preserve"> </w:t>
      </w:r>
      <w:r w:rsidR="00FC11DF">
        <w:rPr>
          <w:rFonts w:ascii="GHEA Grapalat" w:eastAsia="Times New Roman" w:hAnsi="GHEA Grapalat"/>
          <w:bCs/>
          <w:iCs/>
          <w:noProof/>
          <w:color w:val="000000" w:themeColor="text1"/>
          <w:sz w:val="24"/>
          <w:szCs w:val="24"/>
          <w:lang w:val="hy-AM"/>
        </w:rPr>
        <w:t>ժամանակաշրջաններ։</w:t>
      </w:r>
      <w:r w:rsidRPr="00C94975">
        <w:rPr>
          <w:rFonts w:ascii="GHEA Grapalat" w:eastAsia="Times New Roman" w:hAnsi="GHEA Grapalat"/>
          <w:bCs/>
          <w:iCs/>
          <w:noProof/>
          <w:color w:val="000000" w:themeColor="text1"/>
          <w:sz w:val="24"/>
          <w:szCs w:val="24"/>
          <w:lang w:val="hy-AM"/>
        </w:rPr>
        <w:t xml:space="preserve"> </w:t>
      </w:r>
    </w:p>
    <w:p w14:paraId="1066B61F" w14:textId="73A3784D" w:rsidR="00795CAC" w:rsidRPr="00795CAC" w:rsidRDefault="00B606C8" w:rsidP="00B606C8">
      <w:pPr>
        <w:pStyle w:val="ListParagraph"/>
        <w:tabs>
          <w:tab w:val="left" w:pos="-1530"/>
          <w:tab w:val="left" w:pos="-1440"/>
        </w:tabs>
        <w:spacing w:after="0" w:line="360" w:lineRule="auto"/>
        <w:ind w:left="0" w:firstLine="426"/>
        <w:jc w:val="both"/>
        <w:rPr>
          <w:rFonts w:ascii="GHEA Grapalat" w:eastAsia="Times New Roman" w:hAnsi="GHEA Grapalat"/>
          <w:bCs/>
          <w:iCs/>
          <w:noProof/>
          <w:color w:val="000000" w:themeColor="text1"/>
          <w:sz w:val="24"/>
          <w:szCs w:val="24"/>
          <w:lang w:val="hy-AM"/>
        </w:rPr>
      </w:pPr>
      <w:r>
        <w:rPr>
          <w:rFonts w:ascii="GHEA Grapalat" w:eastAsia="Times New Roman" w:hAnsi="GHEA Grapalat"/>
          <w:bCs/>
          <w:iCs/>
          <w:noProof/>
          <w:color w:val="000000" w:themeColor="text1"/>
          <w:sz w:val="24"/>
          <w:szCs w:val="24"/>
          <w:lang w:val="hy-AM"/>
        </w:rPr>
        <w:t xml:space="preserve">Միաժամանակ </w:t>
      </w:r>
      <w:r w:rsidR="00795CAC" w:rsidRPr="00795CAC">
        <w:rPr>
          <w:rFonts w:ascii="GHEA Grapalat" w:eastAsia="Times New Roman" w:hAnsi="GHEA Grapalat"/>
          <w:bCs/>
          <w:iCs/>
          <w:noProof/>
          <w:color w:val="000000" w:themeColor="text1"/>
          <w:sz w:val="24"/>
          <w:szCs w:val="24"/>
          <w:lang w:val="hy-AM"/>
        </w:rPr>
        <w:t>սահմանվել են օրինապահ հարկ վճարողի հավաստագիր ունեցող հարկ վճարողի գործունեության արդյունքների եռամսյակային պարբերականությամբ մշտադիտարկում և դրանց արդյունքներով օրինապահ հարկ վճարողի հավաստագրի գործողության դադարեցման կարգ։</w:t>
      </w:r>
    </w:p>
    <w:p w14:paraId="1EEDC033" w14:textId="77777777" w:rsidR="00FC11DF" w:rsidRPr="00FC11DF" w:rsidRDefault="00FC11DF" w:rsidP="00FC11DF">
      <w:pPr>
        <w:tabs>
          <w:tab w:val="left" w:pos="-1530"/>
          <w:tab w:val="left" w:pos="-1440"/>
          <w:tab w:val="left" w:pos="7371"/>
        </w:tabs>
        <w:spacing w:after="0" w:line="360" w:lineRule="auto"/>
        <w:ind w:firstLine="426"/>
        <w:jc w:val="both"/>
        <w:rPr>
          <w:rFonts w:ascii="GHEA Grapalat" w:hAnsi="GHEA Grapalat" w:cs="Arial"/>
          <w:b/>
          <w:bCs/>
          <w:color w:val="333333"/>
          <w:sz w:val="24"/>
          <w:szCs w:val="24"/>
          <w:shd w:val="clear" w:color="auto" w:fill="FFFFFF"/>
          <w:lang w:val="hy-AM"/>
        </w:rPr>
      </w:pPr>
      <w:r w:rsidRPr="00FC11DF">
        <w:rPr>
          <w:rFonts w:ascii="GHEA Grapalat" w:hAnsi="GHEA Grapalat" w:cs="Arial"/>
          <w:b/>
          <w:bCs/>
          <w:color w:val="333333"/>
          <w:sz w:val="24"/>
          <w:szCs w:val="24"/>
          <w:shd w:val="clear" w:color="auto" w:fill="FFFFFF"/>
          <w:lang w:val="hy-AM"/>
        </w:rPr>
        <w:t>3</w:t>
      </w:r>
      <w:r w:rsidRPr="00FC11DF">
        <w:rPr>
          <w:rFonts w:ascii="Cambria Math" w:hAnsi="Cambria Math" w:cs="Cambria Math"/>
          <w:b/>
          <w:bCs/>
          <w:color w:val="333333"/>
          <w:sz w:val="24"/>
          <w:szCs w:val="24"/>
          <w:shd w:val="clear" w:color="auto" w:fill="FFFFFF"/>
          <w:lang w:val="hy-AM"/>
        </w:rPr>
        <w:t>․</w:t>
      </w:r>
      <w:r w:rsidRPr="00FC11DF">
        <w:rPr>
          <w:rFonts w:ascii="GHEA Grapalat" w:hAnsi="GHEA Grapalat" w:cs="Arial"/>
          <w:b/>
          <w:bCs/>
          <w:color w:val="333333"/>
          <w:sz w:val="24"/>
          <w:szCs w:val="24"/>
          <w:shd w:val="clear" w:color="auto" w:fill="FFFFFF"/>
          <w:lang w:val="hy-AM"/>
        </w:rPr>
        <w:t xml:space="preserve"> Կարգավորման առարկան</w:t>
      </w:r>
    </w:p>
    <w:p w14:paraId="27DF2FD5" w14:textId="05F82F86" w:rsidR="00FC11DF" w:rsidRDefault="00FC11DF" w:rsidP="00FC11DF">
      <w:pPr>
        <w:tabs>
          <w:tab w:val="left" w:pos="-1530"/>
          <w:tab w:val="left" w:pos="-1440"/>
          <w:tab w:val="left" w:pos="7371"/>
        </w:tabs>
        <w:spacing w:after="0" w:line="360" w:lineRule="auto"/>
        <w:ind w:firstLine="426"/>
        <w:jc w:val="both"/>
        <w:rPr>
          <w:rFonts w:ascii="GHEA Grapalat" w:hAnsi="GHEA Grapalat" w:cs="Arial"/>
          <w:color w:val="333333"/>
          <w:sz w:val="24"/>
          <w:szCs w:val="24"/>
          <w:shd w:val="clear" w:color="auto" w:fill="FFFFFF"/>
          <w:lang w:val="hy-AM"/>
        </w:rPr>
      </w:pPr>
      <w:r w:rsidRPr="00FC11DF">
        <w:rPr>
          <w:rFonts w:ascii="GHEA Grapalat" w:hAnsi="GHEA Grapalat" w:cs="Arial"/>
          <w:color w:val="333333"/>
          <w:sz w:val="24"/>
          <w:szCs w:val="24"/>
          <w:shd w:val="clear" w:color="auto" w:fill="FFFFFF"/>
          <w:lang w:val="hy-AM"/>
        </w:rPr>
        <w:lastRenderedPageBreak/>
        <w:t>Նախագծով սահմանվում են կարգավորւմներ օրինապահ հարկ վճարողների համար գործունեության բարենպաստ պայմաններին վերաբերող, վերանայվում են օրինապահ հարկ վճարողի հավաստագրի տրամադրման, այդ հարկ վճարողերի գործունեության նկատմամբ մշտադիրակման իրականացման կարգավորումները, ինչպես նաև սահմանվում են հավաստագրի գործողության դադարեցման հետ կապված դրույթներ։</w:t>
      </w:r>
    </w:p>
    <w:p w14:paraId="0E19AD5F" w14:textId="77777777" w:rsidR="00FC11DF" w:rsidRPr="00FC11DF" w:rsidRDefault="00FC11DF" w:rsidP="00FC11DF">
      <w:pPr>
        <w:tabs>
          <w:tab w:val="left" w:pos="-1530"/>
          <w:tab w:val="left" w:pos="-1440"/>
          <w:tab w:val="left" w:pos="7371"/>
        </w:tabs>
        <w:spacing w:after="0" w:line="360" w:lineRule="auto"/>
        <w:ind w:firstLine="426"/>
        <w:jc w:val="both"/>
        <w:rPr>
          <w:rFonts w:ascii="GHEA Grapalat" w:hAnsi="GHEA Grapalat" w:cs="Arial"/>
          <w:bCs/>
          <w:iCs/>
          <w:color w:val="333333"/>
          <w:sz w:val="24"/>
          <w:szCs w:val="24"/>
          <w:shd w:val="clear" w:color="auto" w:fill="FFFFFF"/>
          <w:lang w:val="hy-AM"/>
        </w:rPr>
      </w:pPr>
      <w:r w:rsidRPr="00FC11DF">
        <w:rPr>
          <w:rFonts w:ascii="GHEA Grapalat" w:hAnsi="GHEA Grapalat" w:cs="Arial"/>
          <w:bCs/>
          <w:iCs/>
          <w:color w:val="333333"/>
          <w:sz w:val="24"/>
          <w:szCs w:val="24"/>
          <w:shd w:val="clear" w:color="auto" w:fill="FFFFFF"/>
          <w:lang w:val="hy-AM"/>
        </w:rPr>
        <w:t>4</w:t>
      </w:r>
      <w:r w:rsidRPr="00FC11DF">
        <w:rPr>
          <w:rFonts w:ascii="Cambria Math" w:hAnsi="Cambria Math" w:cs="Cambria Math"/>
          <w:bCs/>
          <w:iCs/>
          <w:color w:val="333333"/>
          <w:sz w:val="24"/>
          <w:szCs w:val="24"/>
          <w:shd w:val="clear" w:color="auto" w:fill="FFFFFF"/>
          <w:lang w:val="hy-AM"/>
        </w:rPr>
        <w:t>․</w:t>
      </w:r>
      <w:r w:rsidRPr="00FC11DF">
        <w:rPr>
          <w:rFonts w:ascii="GHEA Grapalat" w:hAnsi="GHEA Grapalat" w:cs="Arial"/>
          <w:bCs/>
          <w:iCs/>
          <w:color w:val="333333"/>
          <w:sz w:val="24"/>
          <w:szCs w:val="24"/>
          <w:shd w:val="clear" w:color="auto" w:fill="FFFFFF"/>
          <w:lang w:val="hy-AM"/>
        </w:rPr>
        <w:t xml:space="preserve"> </w:t>
      </w:r>
      <w:r w:rsidRPr="00FC11DF">
        <w:rPr>
          <w:rFonts w:ascii="GHEA Grapalat" w:hAnsi="GHEA Grapalat" w:cs="Arial"/>
          <w:b/>
          <w:color w:val="333333"/>
          <w:sz w:val="24"/>
          <w:szCs w:val="24"/>
          <w:shd w:val="clear" w:color="auto" w:fill="FFFFFF"/>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0A1CDE7F" w14:textId="216812BF" w:rsidR="00FC11DF" w:rsidRPr="00FC11DF" w:rsidRDefault="00FC11DF" w:rsidP="00FC11DF">
      <w:pPr>
        <w:tabs>
          <w:tab w:val="left" w:pos="-1530"/>
          <w:tab w:val="left" w:pos="-1440"/>
          <w:tab w:val="left" w:pos="7371"/>
        </w:tabs>
        <w:spacing w:after="0" w:line="360" w:lineRule="auto"/>
        <w:ind w:firstLine="426"/>
        <w:jc w:val="both"/>
        <w:rPr>
          <w:rFonts w:ascii="GHEA Grapalat" w:hAnsi="GHEA Grapalat" w:cs="Arial"/>
          <w:bCs/>
          <w:iCs/>
          <w:color w:val="333333"/>
          <w:sz w:val="24"/>
          <w:szCs w:val="24"/>
          <w:shd w:val="clear" w:color="auto" w:fill="FFFFFF"/>
          <w:lang w:val="hy-AM"/>
        </w:rPr>
      </w:pPr>
      <w:r w:rsidRPr="00FC11DF">
        <w:rPr>
          <w:rFonts w:ascii="GHEA Grapalat" w:hAnsi="GHEA Grapalat" w:cs="Arial"/>
          <w:bCs/>
          <w:iCs/>
          <w:color w:val="333333"/>
          <w:sz w:val="24"/>
          <w:szCs w:val="24"/>
          <w:shd w:val="clear" w:color="auto" w:fill="FFFFFF"/>
          <w:lang w:val="hy-AM"/>
        </w:rPr>
        <w:t>Նախագծի ընդունումը բխում է «Հայաստանի Հանրապետության կառավարության 2021-2026 թվականների գործունեության միջոցառումների ծրագիրը հաստատելու մասին» թիվ 1902-Լ որոշման Հավելված N 1-ի «Պետական եկամուտների կոմիտե» բաժնի 2.3 կետից, որով նախատեսվում է իրականացնել օրինապահ հարկ վճարողի համակարգի կատարելագործում և հարկ վճարողի օրինապահ վարքագիծը խրախուսող միջոցառումներ, որպեսզի հարկային կարգապահությունը ընկալվի ոչ միայն որպես պարտավորություն, այն նաև գնահատվի, լինի շահավետ:</w:t>
      </w:r>
    </w:p>
    <w:p w14:paraId="3FAA1292" w14:textId="77777777" w:rsidR="00FC11DF" w:rsidRPr="00FC11DF" w:rsidRDefault="00FC11DF" w:rsidP="00FC11DF">
      <w:pPr>
        <w:tabs>
          <w:tab w:val="left" w:pos="-1530"/>
          <w:tab w:val="left" w:pos="-1440"/>
          <w:tab w:val="left" w:pos="7371"/>
        </w:tabs>
        <w:spacing w:after="0" w:line="360" w:lineRule="auto"/>
        <w:ind w:firstLine="426"/>
        <w:jc w:val="both"/>
        <w:rPr>
          <w:rFonts w:ascii="GHEA Grapalat" w:hAnsi="GHEA Grapalat" w:cs="Arial"/>
          <w:b/>
          <w:color w:val="333333"/>
          <w:sz w:val="24"/>
          <w:szCs w:val="24"/>
          <w:shd w:val="clear" w:color="auto" w:fill="FFFFFF"/>
          <w:lang w:val="hy-AM"/>
        </w:rPr>
      </w:pPr>
      <w:r w:rsidRPr="00FC11DF">
        <w:rPr>
          <w:rFonts w:ascii="GHEA Grapalat" w:hAnsi="GHEA Grapalat" w:cs="Arial"/>
          <w:b/>
          <w:color w:val="333333"/>
          <w:sz w:val="24"/>
          <w:szCs w:val="24"/>
          <w:shd w:val="clear" w:color="auto" w:fill="FFFFFF"/>
          <w:lang w:val="hy-AM"/>
        </w:rPr>
        <w:t>5</w:t>
      </w:r>
      <w:r w:rsidRPr="00FC11DF">
        <w:rPr>
          <w:rFonts w:ascii="Cambria Math" w:hAnsi="Cambria Math" w:cs="Cambria Math"/>
          <w:b/>
          <w:color w:val="333333"/>
          <w:sz w:val="24"/>
          <w:szCs w:val="24"/>
          <w:shd w:val="clear" w:color="auto" w:fill="FFFFFF"/>
          <w:lang w:val="hy-AM"/>
        </w:rPr>
        <w:t>․</w:t>
      </w:r>
      <w:r w:rsidRPr="00FC11DF">
        <w:rPr>
          <w:rFonts w:ascii="GHEA Grapalat" w:hAnsi="GHEA Grapalat" w:cs="Arial"/>
          <w:b/>
          <w:color w:val="333333"/>
          <w:sz w:val="24"/>
          <w:szCs w:val="24"/>
          <w:shd w:val="clear" w:color="auto" w:fill="FFFFFF"/>
          <w:lang w:val="hy-AM"/>
        </w:rPr>
        <w:t xml:space="preserve"> Նախագծերի մշակման գործընթացում ներգրավված ինստիտուտները և անձինք.</w:t>
      </w:r>
    </w:p>
    <w:p w14:paraId="7A9737FD" w14:textId="77777777" w:rsidR="00FC11DF" w:rsidRPr="00FC11DF" w:rsidRDefault="00FC11DF" w:rsidP="00FC11DF">
      <w:pPr>
        <w:tabs>
          <w:tab w:val="left" w:pos="-1530"/>
          <w:tab w:val="left" w:pos="-1440"/>
          <w:tab w:val="left" w:pos="7371"/>
        </w:tabs>
        <w:spacing w:after="0" w:line="360" w:lineRule="auto"/>
        <w:ind w:firstLine="426"/>
        <w:jc w:val="both"/>
        <w:rPr>
          <w:rFonts w:ascii="GHEA Grapalat" w:hAnsi="GHEA Grapalat" w:cs="Arial"/>
          <w:bCs/>
          <w:iCs/>
          <w:color w:val="333333"/>
          <w:sz w:val="24"/>
          <w:szCs w:val="24"/>
          <w:shd w:val="clear" w:color="auto" w:fill="FFFFFF"/>
          <w:lang w:val="hy-AM"/>
        </w:rPr>
      </w:pPr>
      <w:r w:rsidRPr="00FC11DF">
        <w:rPr>
          <w:rFonts w:ascii="GHEA Grapalat" w:hAnsi="GHEA Grapalat" w:cs="Arial"/>
          <w:bCs/>
          <w:iCs/>
          <w:color w:val="333333"/>
          <w:sz w:val="24"/>
          <w:szCs w:val="24"/>
          <w:shd w:val="clear" w:color="auto" w:fill="FFFFFF"/>
          <w:lang w:val="hy-AM"/>
        </w:rPr>
        <w:t>Նախագիծը մշակվել է ՀՀ պետական եկամուտների կոմիտեի կողմից:</w:t>
      </w:r>
    </w:p>
    <w:p w14:paraId="1CF50D52" w14:textId="77777777" w:rsidR="00FC11DF" w:rsidRPr="00FC11DF" w:rsidRDefault="00FC11DF" w:rsidP="00FC11DF">
      <w:pPr>
        <w:tabs>
          <w:tab w:val="left" w:pos="-1530"/>
          <w:tab w:val="left" w:pos="-1440"/>
          <w:tab w:val="left" w:pos="7371"/>
        </w:tabs>
        <w:spacing w:after="0" w:line="360" w:lineRule="auto"/>
        <w:ind w:firstLine="426"/>
        <w:jc w:val="both"/>
        <w:rPr>
          <w:rFonts w:ascii="GHEA Grapalat" w:hAnsi="GHEA Grapalat" w:cs="Arial"/>
          <w:b/>
          <w:color w:val="333333"/>
          <w:sz w:val="24"/>
          <w:szCs w:val="24"/>
          <w:shd w:val="clear" w:color="auto" w:fill="FFFFFF"/>
          <w:lang w:val="hy-AM"/>
        </w:rPr>
      </w:pPr>
      <w:r w:rsidRPr="00FC11DF">
        <w:rPr>
          <w:rFonts w:ascii="GHEA Grapalat" w:hAnsi="GHEA Grapalat" w:cs="Arial"/>
          <w:b/>
          <w:color w:val="333333"/>
          <w:sz w:val="24"/>
          <w:szCs w:val="24"/>
          <w:shd w:val="clear" w:color="auto" w:fill="FFFFFF"/>
          <w:lang w:val="hy-AM"/>
        </w:rPr>
        <w:t>6. 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000CB5F9" w14:textId="6E52850F" w:rsidR="00FC11DF" w:rsidRDefault="00FC11DF" w:rsidP="00FC11DF">
      <w:pPr>
        <w:tabs>
          <w:tab w:val="left" w:pos="-1530"/>
          <w:tab w:val="left" w:pos="-1440"/>
          <w:tab w:val="left" w:pos="7371"/>
        </w:tabs>
        <w:spacing w:after="0" w:line="360" w:lineRule="auto"/>
        <w:ind w:firstLine="426"/>
        <w:jc w:val="both"/>
        <w:rPr>
          <w:rFonts w:ascii="GHEA Grapalat" w:hAnsi="GHEA Grapalat" w:cs="Arial"/>
          <w:color w:val="333333"/>
          <w:sz w:val="24"/>
          <w:szCs w:val="24"/>
          <w:shd w:val="clear" w:color="auto" w:fill="FFFFFF"/>
          <w:lang w:val="hy-AM"/>
        </w:rPr>
      </w:pPr>
      <w:r w:rsidRPr="00FC11DF">
        <w:rPr>
          <w:rFonts w:ascii="GHEA Grapalat" w:hAnsi="GHEA Grapalat" w:cs="Arial"/>
          <w:color w:val="333333"/>
          <w:sz w:val="24"/>
          <w:szCs w:val="24"/>
          <w:shd w:val="clear" w:color="auto" w:fill="FFFFFF"/>
          <w:lang w:val="hy-AM"/>
        </w:rPr>
        <w:t xml:space="preserve">«Հայաստանի Հանրապետության </w:t>
      </w:r>
      <w:r w:rsidRPr="00FC11DF">
        <w:rPr>
          <w:rFonts w:ascii="GHEA Grapalat" w:hAnsi="GHEA Grapalat" w:cs="Arial"/>
          <w:bCs/>
          <w:color w:val="333333"/>
          <w:sz w:val="24"/>
          <w:szCs w:val="24"/>
          <w:shd w:val="clear" w:color="auto" w:fill="FFFFFF"/>
          <w:lang w:val="hy-AM"/>
        </w:rPr>
        <w:t>կառավարության 2021 թվականի օգոստոսի 12-ի N 1324-ն որոշման մեջ փոփոխություններ և լրացումներ կատարելու մասին</w:t>
      </w:r>
      <w:r w:rsidRPr="00FC11DF">
        <w:rPr>
          <w:rFonts w:ascii="GHEA Grapalat" w:hAnsi="GHEA Grapalat" w:cs="Arial"/>
          <w:color w:val="333333"/>
          <w:sz w:val="24"/>
          <w:szCs w:val="24"/>
          <w:shd w:val="clear" w:color="auto" w:fill="FFFFFF"/>
          <w:lang w:val="hy-AM"/>
        </w:rPr>
        <w:t xml:space="preserve">» Հայաստանի Հանրապետության </w:t>
      </w:r>
      <w:r>
        <w:rPr>
          <w:rFonts w:ascii="GHEA Grapalat" w:hAnsi="GHEA Grapalat" w:cs="Arial"/>
          <w:color w:val="333333"/>
          <w:sz w:val="24"/>
          <w:szCs w:val="24"/>
          <w:shd w:val="clear" w:color="auto" w:fill="FFFFFF"/>
          <w:lang w:val="hy-AM"/>
        </w:rPr>
        <w:t>կառավարության որոշման</w:t>
      </w:r>
      <w:r w:rsidRPr="00FC11DF">
        <w:rPr>
          <w:rFonts w:ascii="GHEA Grapalat" w:hAnsi="GHEA Grapalat" w:cs="Arial"/>
          <w:color w:val="333333"/>
          <w:sz w:val="24"/>
          <w:szCs w:val="24"/>
          <w:shd w:val="clear" w:color="auto" w:fill="FFFFFF"/>
          <w:lang w:val="hy-AM"/>
        </w:rPr>
        <w:t xml:space="preserve"> ընդունման կապակցությամբ լրացուցիչ ֆինանսական միջոցների անհրաժեշտություն, պետական բյուջեի եկամուտներում և ծախսերում էական փոփոխություններ չի նախատեսվում։</w:t>
      </w:r>
    </w:p>
    <w:p w14:paraId="76CC0205" w14:textId="7AC83317" w:rsidR="00FC11DF" w:rsidRPr="00FC11DF" w:rsidRDefault="00FC11DF" w:rsidP="00FC11DF">
      <w:pPr>
        <w:tabs>
          <w:tab w:val="left" w:pos="-1530"/>
          <w:tab w:val="left" w:pos="-1440"/>
          <w:tab w:val="left" w:pos="7371"/>
        </w:tabs>
        <w:spacing w:after="0" w:line="360" w:lineRule="auto"/>
        <w:ind w:firstLine="426"/>
        <w:jc w:val="both"/>
        <w:rPr>
          <w:rFonts w:ascii="GHEA Grapalat" w:hAnsi="GHEA Grapalat" w:cs="Arial"/>
          <w:bCs/>
          <w:iCs/>
          <w:color w:val="333333"/>
          <w:sz w:val="24"/>
          <w:szCs w:val="24"/>
          <w:shd w:val="clear" w:color="auto" w:fill="FFFFFF"/>
          <w:lang w:val="hy-AM"/>
        </w:rPr>
      </w:pPr>
      <w:r w:rsidRPr="00FC11DF">
        <w:rPr>
          <w:rFonts w:ascii="GHEA Grapalat" w:hAnsi="GHEA Grapalat" w:cs="Arial"/>
          <w:b/>
          <w:bCs/>
          <w:iCs/>
          <w:color w:val="333333"/>
          <w:sz w:val="24"/>
          <w:szCs w:val="24"/>
          <w:shd w:val="clear" w:color="auto" w:fill="FFFFFF"/>
          <w:lang w:val="hy-AM"/>
        </w:rPr>
        <w:t>7</w:t>
      </w:r>
      <w:r w:rsidRPr="00FC11DF">
        <w:rPr>
          <w:rFonts w:ascii="Cambria Math" w:hAnsi="Cambria Math" w:cs="Cambria Math"/>
          <w:b/>
          <w:bCs/>
          <w:iCs/>
          <w:color w:val="333333"/>
          <w:sz w:val="24"/>
          <w:szCs w:val="24"/>
          <w:shd w:val="clear" w:color="auto" w:fill="FFFFFF"/>
          <w:lang w:val="hy-AM"/>
        </w:rPr>
        <w:t>․</w:t>
      </w:r>
      <w:r w:rsidRPr="00FC11DF">
        <w:rPr>
          <w:rFonts w:ascii="GHEA Grapalat" w:hAnsi="GHEA Grapalat" w:cs="Arial"/>
          <w:b/>
          <w:bCs/>
          <w:iCs/>
          <w:color w:val="333333"/>
          <w:sz w:val="24"/>
          <w:szCs w:val="24"/>
          <w:shd w:val="clear" w:color="auto" w:fill="FFFFFF"/>
          <w:lang w:val="hy-AM"/>
        </w:rPr>
        <w:t xml:space="preserve"> Իրավական ակտի ընդունման արդյունքում ակնկալվող արդյունքը. </w:t>
      </w:r>
      <w:r w:rsidRPr="00FC11DF">
        <w:rPr>
          <w:rFonts w:ascii="GHEA Grapalat" w:hAnsi="GHEA Grapalat" w:cs="Arial"/>
          <w:bCs/>
          <w:iCs/>
          <w:color w:val="333333"/>
          <w:sz w:val="24"/>
          <w:szCs w:val="24"/>
          <w:shd w:val="clear" w:color="auto" w:fill="FFFFFF"/>
          <w:lang w:val="hy-AM"/>
        </w:rPr>
        <w:t xml:space="preserve">Նախագծով նախատեսվող իրավակարգավորումների արդյունքում ակնկալվում է ներդնել օրինապահ հարկ վճարողների խրախուսման առավել գրավիչ համակարգ՝ ապահովելով hարկ վճարողների կողմից հարկային պարտավորությունների կամավորությամբ կատարելու սկզբունքի արմատավորում և հարկային մարմին-հարկ վճարող գործընկերային հարաբերությունների առավել ամրապնդում: Միաժամանակ՝ այն կխթանի հարկ </w:t>
      </w:r>
      <w:r w:rsidRPr="00FC11DF">
        <w:rPr>
          <w:rFonts w:ascii="GHEA Grapalat" w:hAnsi="GHEA Grapalat" w:cs="Arial"/>
          <w:bCs/>
          <w:iCs/>
          <w:color w:val="333333"/>
          <w:sz w:val="24"/>
          <w:szCs w:val="24"/>
          <w:shd w:val="clear" w:color="auto" w:fill="FFFFFF"/>
          <w:lang w:val="hy-AM"/>
        </w:rPr>
        <w:lastRenderedPageBreak/>
        <w:t>վճարողների ինքնագնահատման համակարգի զարգացմանը՝ ինչն էլ կհանգեցնի հարկային և մաքսային կարգապահության, ինչպես նաև հարկային և մաքսային մարմինների գործունեության թափանցիկության բարձրացմանը, հարկային մարմնի հանդեպ վստահության մթնոլորտի ձևավորմանը՝ նպաստելով տնտեսավարող սուբյեկտների կողմից հարկային պարտավորությունների պատշաճ կատարմանը և հարկային եկամուտների ապահովմանը, ինչպես նաև օրինապահ հարկ վճարողների ցանկի ընդլայնմանը:</w:t>
      </w:r>
    </w:p>
    <w:sectPr w:rsidR="00FC11DF" w:rsidRPr="00FC11DF" w:rsidSect="00AD7805">
      <w:footerReference w:type="default" r:id="rId8"/>
      <w:pgSz w:w="11907" w:h="16839" w:code="9"/>
      <w:pgMar w:top="720" w:right="720" w:bottom="720"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5C0E8" w14:textId="77777777" w:rsidR="009B117A" w:rsidRDefault="009B117A" w:rsidP="002132B1">
      <w:pPr>
        <w:spacing w:after="0" w:line="240" w:lineRule="auto"/>
      </w:pPr>
      <w:r>
        <w:separator/>
      </w:r>
    </w:p>
  </w:endnote>
  <w:endnote w:type="continuationSeparator" w:id="0">
    <w:p w14:paraId="6221DB02" w14:textId="77777777" w:rsidR="009B117A" w:rsidRDefault="009B117A" w:rsidP="00213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542286"/>
      <w:docPartObj>
        <w:docPartGallery w:val="Page Numbers (Bottom of Page)"/>
        <w:docPartUnique/>
      </w:docPartObj>
    </w:sdtPr>
    <w:sdtEndPr>
      <w:rPr>
        <w:rFonts w:ascii="GHEA Grapalat" w:hAnsi="GHEA Grapalat"/>
        <w:noProof/>
      </w:rPr>
    </w:sdtEndPr>
    <w:sdtContent>
      <w:p w14:paraId="7DC87FB4" w14:textId="3ABA903B" w:rsidR="000752DC" w:rsidRPr="000752DC" w:rsidRDefault="000752DC">
        <w:pPr>
          <w:pStyle w:val="Footer"/>
          <w:jc w:val="right"/>
          <w:rPr>
            <w:rFonts w:ascii="GHEA Grapalat" w:hAnsi="GHEA Grapalat"/>
          </w:rPr>
        </w:pPr>
        <w:r w:rsidRPr="000752DC">
          <w:rPr>
            <w:rFonts w:ascii="GHEA Grapalat" w:hAnsi="GHEA Grapalat"/>
          </w:rPr>
          <w:fldChar w:fldCharType="begin"/>
        </w:r>
        <w:r w:rsidRPr="000752DC">
          <w:rPr>
            <w:rFonts w:ascii="GHEA Grapalat" w:hAnsi="GHEA Grapalat"/>
          </w:rPr>
          <w:instrText xml:space="preserve"> PAGE   \* MERGEFORMAT </w:instrText>
        </w:r>
        <w:r w:rsidRPr="000752DC">
          <w:rPr>
            <w:rFonts w:ascii="GHEA Grapalat" w:hAnsi="GHEA Grapalat"/>
          </w:rPr>
          <w:fldChar w:fldCharType="separate"/>
        </w:r>
        <w:r w:rsidR="003D75A9">
          <w:rPr>
            <w:rFonts w:ascii="GHEA Grapalat" w:hAnsi="GHEA Grapalat"/>
            <w:noProof/>
          </w:rPr>
          <w:t>4</w:t>
        </w:r>
        <w:r w:rsidRPr="000752DC">
          <w:rPr>
            <w:rFonts w:ascii="GHEA Grapalat" w:hAnsi="GHEA Grapalat"/>
            <w:noProof/>
          </w:rPr>
          <w:fldChar w:fldCharType="end"/>
        </w:r>
      </w:p>
    </w:sdtContent>
  </w:sdt>
  <w:p w14:paraId="0FD813D4" w14:textId="77777777" w:rsidR="000752DC" w:rsidRDefault="00075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337DD" w14:textId="77777777" w:rsidR="009B117A" w:rsidRDefault="009B117A" w:rsidP="002132B1">
      <w:pPr>
        <w:spacing w:after="0" w:line="240" w:lineRule="auto"/>
      </w:pPr>
      <w:r>
        <w:separator/>
      </w:r>
    </w:p>
  </w:footnote>
  <w:footnote w:type="continuationSeparator" w:id="0">
    <w:p w14:paraId="041660AE" w14:textId="77777777" w:rsidR="009B117A" w:rsidRDefault="009B117A" w:rsidP="002132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7F4"/>
    <w:multiLevelType w:val="hybridMultilevel"/>
    <w:tmpl w:val="EFDECCE6"/>
    <w:lvl w:ilvl="0" w:tplc="281ABF5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E5665"/>
    <w:multiLevelType w:val="hybridMultilevel"/>
    <w:tmpl w:val="63FE8B5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8166C24"/>
    <w:multiLevelType w:val="hybridMultilevel"/>
    <w:tmpl w:val="A58C54E0"/>
    <w:lvl w:ilvl="0" w:tplc="2264C5BE">
      <w:start w:val="1"/>
      <w:numFmt w:val="decimal"/>
      <w:suff w:val="space"/>
      <w:lvlText w:val="%1)"/>
      <w:lvlJc w:val="left"/>
      <w:pPr>
        <w:ind w:left="2486" w:hanging="360"/>
      </w:pPr>
      <w:rPr>
        <w:rFonts w:hint="default"/>
        <w:color w:val="auto"/>
      </w:rPr>
    </w:lvl>
    <w:lvl w:ilvl="1" w:tplc="04090019">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3" w15:restartNumberingAfterBreak="0">
    <w:nsid w:val="0A86664F"/>
    <w:multiLevelType w:val="hybridMultilevel"/>
    <w:tmpl w:val="CB447C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F2ED9"/>
    <w:multiLevelType w:val="hybridMultilevel"/>
    <w:tmpl w:val="297011BA"/>
    <w:lvl w:ilvl="0" w:tplc="697C3436">
      <w:start w:val="1"/>
      <w:numFmt w:val="decimal"/>
      <w:lvlText w:val="%1)"/>
      <w:lvlJc w:val="left"/>
      <w:pPr>
        <w:ind w:left="735" w:hanging="360"/>
      </w:pPr>
      <w:rPr>
        <w:rFonts w:hint="default"/>
        <w:color w:val="auto"/>
        <w:sz w:val="22"/>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13C810D9"/>
    <w:multiLevelType w:val="hybridMultilevel"/>
    <w:tmpl w:val="63FE8B5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31A5CFB"/>
    <w:multiLevelType w:val="hybridMultilevel"/>
    <w:tmpl w:val="A53A5182"/>
    <w:lvl w:ilvl="0" w:tplc="6562DB46">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AE2E28"/>
    <w:multiLevelType w:val="hybridMultilevel"/>
    <w:tmpl w:val="F0021E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B4A6AC0"/>
    <w:multiLevelType w:val="hybridMultilevel"/>
    <w:tmpl w:val="25C8BA50"/>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2DF309D7"/>
    <w:multiLevelType w:val="hybridMultilevel"/>
    <w:tmpl w:val="5C26AB58"/>
    <w:lvl w:ilvl="0" w:tplc="94923396">
      <w:start w:val="1"/>
      <w:numFmt w:val="decimal"/>
      <w:lvlText w:val="%1."/>
      <w:lvlJc w:val="center"/>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34705A3C"/>
    <w:multiLevelType w:val="hybridMultilevel"/>
    <w:tmpl w:val="922C1670"/>
    <w:lvl w:ilvl="0" w:tplc="44468150">
      <w:start w:val="1"/>
      <w:numFmt w:val="decimal"/>
      <w:lvlText w:val="%1."/>
      <w:lvlJc w:val="left"/>
      <w:pPr>
        <w:ind w:left="720" w:hanging="360"/>
      </w:pPr>
      <w:rPr>
        <w:rFonts w:hint="default"/>
        <w:b/>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1" w15:restartNumberingAfterBreak="0">
    <w:nsid w:val="385F424C"/>
    <w:multiLevelType w:val="hybridMultilevel"/>
    <w:tmpl w:val="63FE8B5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FD45C96"/>
    <w:multiLevelType w:val="hybridMultilevel"/>
    <w:tmpl w:val="2500C9F0"/>
    <w:lvl w:ilvl="0" w:tplc="BE30B2A0">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201151"/>
    <w:multiLevelType w:val="hybridMultilevel"/>
    <w:tmpl w:val="63FE8B5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55F734A7"/>
    <w:multiLevelType w:val="hybridMultilevel"/>
    <w:tmpl w:val="6614882C"/>
    <w:lvl w:ilvl="0" w:tplc="9CACE8F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8824B5"/>
    <w:multiLevelType w:val="hybridMultilevel"/>
    <w:tmpl w:val="F5FEC56A"/>
    <w:lvl w:ilvl="0" w:tplc="DEE8FCE4">
      <w:start w:val="1"/>
      <w:numFmt w:val="decimal"/>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A8626E"/>
    <w:multiLevelType w:val="hybridMultilevel"/>
    <w:tmpl w:val="F5EC04CE"/>
    <w:lvl w:ilvl="0" w:tplc="A0462018">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6BFF5A6A"/>
    <w:multiLevelType w:val="hybridMultilevel"/>
    <w:tmpl w:val="63FE8B5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6D356617"/>
    <w:multiLevelType w:val="hybridMultilevel"/>
    <w:tmpl w:val="EC562AF6"/>
    <w:lvl w:ilvl="0" w:tplc="91ECB1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8101D5"/>
    <w:multiLevelType w:val="hybridMultilevel"/>
    <w:tmpl w:val="297011BA"/>
    <w:lvl w:ilvl="0" w:tplc="697C3436">
      <w:start w:val="1"/>
      <w:numFmt w:val="decimal"/>
      <w:lvlText w:val="%1)"/>
      <w:lvlJc w:val="left"/>
      <w:pPr>
        <w:ind w:left="735" w:hanging="360"/>
      </w:pPr>
      <w:rPr>
        <w:rFonts w:hint="default"/>
        <w:color w:val="auto"/>
        <w:sz w:val="22"/>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0" w15:restartNumberingAfterBreak="0">
    <w:nsid w:val="7AD51777"/>
    <w:multiLevelType w:val="hybridMultilevel"/>
    <w:tmpl w:val="922C1670"/>
    <w:lvl w:ilvl="0" w:tplc="44468150">
      <w:start w:val="1"/>
      <w:numFmt w:val="decimal"/>
      <w:lvlText w:val="%1."/>
      <w:lvlJc w:val="left"/>
      <w:pPr>
        <w:ind w:left="720" w:hanging="360"/>
      </w:pPr>
      <w:rPr>
        <w:rFonts w:hint="default"/>
        <w:b/>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1" w15:restartNumberingAfterBreak="0">
    <w:nsid w:val="7EB424B0"/>
    <w:multiLevelType w:val="hybridMultilevel"/>
    <w:tmpl w:val="9ABCAA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6"/>
  </w:num>
  <w:num w:numId="4">
    <w:abstractNumId w:val="15"/>
  </w:num>
  <w:num w:numId="5">
    <w:abstractNumId w:val="10"/>
  </w:num>
  <w:num w:numId="6">
    <w:abstractNumId w:val="21"/>
  </w:num>
  <w:num w:numId="7">
    <w:abstractNumId w:val="19"/>
  </w:num>
  <w:num w:numId="8">
    <w:abstractNumId w:val="18"/>
  </w:num>
  <w:num w:numId="9">
    <w:abstractNumId w:val="16"/>
  </w:num>
  <w:num w:numId="10">
    <w:abstractNumId w:val="1"/>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0"/>
  </w:num>
  <w:num w:numId="14">
    <w:abstractNumId w:val="9"/>
  </w:num>
  <w:num w:numId="15">
    <w:abstractNumId w:val="11"/>
  </w:num>
  <w:num w:numId="16">
    <w:abstractNumId w:val="13"/>
  </w:num>
  <w:num w:numId="17">
    <w:abstractNumId w:val="0"/>
  </w:num>
  <w:num w:numId="18">
    <w:abstractNumId w:val="17"/>
  </w:num>
  <w:num w:numId="19">
    <w:abstractNumId w:val="5"/>
  </w:num>
  <w:num w:numId="20">
    <w:abstractNumId w:val="2"/>
  </w:num>
  <w:num w:numId="21">
    <w:abstractNumId w:val="12"/>
  </w:num>
  <w:num w:numId="22">
    <w:abstractNumId w:val="7"/>
  </w:num>
  <w:num w:numId="23">
    <w:abstractNumId w:val="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6F1"/>
    <w:rsid w:val="000003B0"/>
    <w:rsid w:val="00001966"/>
    <w:rsid w:val="00010A15"/>
    <w:rsid w:val="00013970"/>
    <w:rsid w:val="00013B3C"/>
    <w:rsid w:val="00024A1F"/>
    <w:rsid w:val="00024CD0"/>
    <w:rsid w:val="00025481"/>
    <w:rsid w:val="00026FCC"/>
    <w:rsid w:val="000366CE"/>
    <w:rsid w:val="00040421"/>
    <w:rsid w:val="0005042F"/>
    <w:rsid w:val="000540F9"/>
    <w:rsid w:val="000548E0"/>
    <w:rsid w:val="00060850"/>
    <w:rsid w:val="00061C52"/>
    <w:rsid w:val="00063DD3"/>
    <w:rsid w:val="00066512"/>
    <w:rsid w:val="00066DEC"/>
    <w:rsid w:val="0007004C"/>
    <w:rsid w:val="00071FF7"/>
    <w:rsid w:val="000752DC"/>
    <w:rsid w:val="00085298"/>
    <w:rsid w:val="000902B5"/>
    <w:rsid w:val="00090D90"/>
    <w:rsid w:val="00091804"/>
    <w:rsid w:val="00095FD4"/>
    <w:rsid w:val="000A183B"/>
    <w:rsid w:val="000A6DA7"/>
    <w:rsid w:val="000B01C8"/>
    <w:rsid w:val="000B0894"/>
    <w:rsid w:val="000B5EEB"/>
    <w:rsid w:val="000C0A71"/>
    <w:rsid w:val="000D00AC"/>
    <w:rsid w:val="000D0141"/>
    <w:rsid w:val="000D1BA0"/>
    <w:rsid w:val="000D1D5A"/>
    <w:rsid w:val="000E50AE"/>
    <w:rsid w:val="000F0E38"/>
    <w:rsid w:val="000F1743"/>
    <w:rsid w:val="000F6002"/>
    <w:rsid w:val="00105951"/>
    <w:rsid w:val="0011196E"/>
    <w:rsid w:val="00115CA1"/>
    <w:rsid w:val="0012446B"/>
    <w:rsid w:val="00125437"/>
    <w:rsid w:val="001340C3"/>
    <w:rsid w:val="00144225"/>
    <w:rsid w:val="001450A0"/>
    <w:rsid w:val="0015179A"/>
    <w:rsid w:val="00152E5F"/>
    <w:rsid w:val="00154553"/>
    <w:rsid w:val="001552A8"/>
    <w:rsid w:val="00155F12"/>
    <w:rsid w:val="00160E2E"/>
    <w:rsid w:val="001630CF"/>
    <w:rsid w:val="00180420"/>
    <w:rsid w:val="001909D8"/>
    <w:rsid w:val="00191CDA"/>
    <w:rsid w:val="00195929"/>
    <w:rsid w:val="001B52B6"/>
    <w:rsid w:val="001B6BBC"/>
    <w:rsid w:val="001D05C1"/>
    <w:rsid w:val="001D3AAA"/>
    <w:rsid w:val="001D52BF"/>
    <w:rsid w:val="001D709B"/>
    <w:rsid w:val="001E27C6"/>
    <w:rsid w:val="001F27EE"/>
    <w:rsid w:val="001F29A2"/>
    <w:rsid w:val="00203AFA"/>
    <w:rsid w:val="00211D64"/>
    <w:rsid w:val="002132B1"/>
    <w:rsid w:val="00220182"/>
    <w:rsid w:val="00220FA6"/>
    <w:rsid w:val="002246A7"/>
    <w:rsid w:val="00226914"/>
    <w:rsid w:val="00230AD4"/>
    <w:rsid w:val="00232EA7"/>
    <w:rsid w:val="00235CD1"/>
    <w:rsid w:val="002377A5"/>
    <w:rsid w:val="0025080D"/>
    <w:rsid w:val="00251E61"/>
    <w:rsid w:val="00260F50"/>
    <w:rsid w:val="00264E44"/>
    <w:rsid w:val="002704F6"/>
    <w:rsid w:val="00271A8E"/>
    <w:rsid w:val="00276DBE"/>
    <w:rsid w:val="00281A93"/>
    <w:rsid w:val="002821FF"/>
    <w:rsid w:val="002871A8"/>
    <w:rsid w:val="002A1B82"/>
    <w:rsid w:val="002A4863"/>
    <w:rsid w:val="002A65ED"/>
    <w:rsid w:val="002B6AF9"/>
    <w:rsid w:val="002C07F0"/>
    <w:rsid w:val="002C267F"/>
    <w:rsid w:val="002C6BD2"/>
    <w:rsid w:val="002D2136"/>
    <w:rsid w:val="002D402E"/>
    <w:rsid w:val="002E3D80"/>
    <w:rsid w:val="002F37AA"/>
    <w:rsid w:val="002F7335"/>
    <w:rsid w:val="003019FA"/>
    <w:rsid w:val="00305CF6"/>
    <w:rsid w:val="003165CE"/>
    <w:rsid w:val="003166CB"/>
    <w:rsid w:val="003243C2"/>
    <w:rsid w:val="00325A81"/>
    <w:rsid w:val="00325FBC"/>
    <w:rsid w:val="00330284"/>
    <w:rsid w:val="00342666"/>
    <w:rsid w:val="003433CF"/>
    <w:rsid w:val="00345B6F"/>
    <w:rsid w:val="00354C41"/>
    <w:rsid w:val="00356E46"/>
    <w:rsid w:val="00360063"/>
    <w:rsid w:val="00371831"/>
    <w:rsid w:val="00373A4E"/>
    <w:rsid w:val="00374CDB"/>
    <w:rsid w:val="00380770"/>
    <w:rsid w:val="00383927"/>
    <w:rsid w:val="003907E4"/>
    <w:rsid w:val="00392B00"/>
    <w:rsid w:val="00394C5A"/>
    <w:rsid w:val="0039647D"/>
    <w:rsid w:val="003A2464"/>
    <w:rsid w:val="003A2FDF"/>
    <w:rsid w:val="003A4074"/>
    <w:rsid w:val="003A549F"/>
    <w:rsid w:val="003A565B"/>
    <w:rsid w:val="003A7266"/>
    <w:rsid w:val="003C4FBC"/>
    <w:rsid w:val="003C7312"/>
    <w:rsid w:val="003D75A9"/>
    <w:rsid w:val="003E31E5"/>
    <w:rsid w:val="003E3498"/>
    <w:rsid w:val="003F2D43"/>
    <w:rsid w:val="003F3B67"/>
    <w:rsid w:val="00401FEA"/>
    <w:rsid w:val="00413B0E"/>
    <w:rsid w:val="00414F29"/>
    <w:rsid w:val="00415873"/>
    <w:rsid w:val="0041678A"/>
    <w:rsid w:val="00420F0B"/>
    <w:rsid w:val="00423E0E"/>
    <w:rsid w:val="00440364"/>
    <w:rsid w:val="00445494"/>
    <w:rsid w:val="00446915"/>
    <w:rsid w:val="00453A26"/>
    <w:rsid w:val="0046023D"/>
    <w:rsid w:val="00473BFA"/>
    <w:rsid w:val="00476E53"/>
    <w:rsid w:val="00492327"/>
    <w:rsid w:val="00493F25"/>
    <w:rsid w:val="004940BC"/>
    <w:rsid w:val="00494884"/>
    <w:rsid w:val="004A2075"/>
    <w:rsid w:val="004A3EB4"/>
    <w:rsid w:val="004A7A19"/>
    <w:rsid w:val="004B185F"/>
    <w:rsid w:val="004C0349"/>
    <w:rsid w:val="004C333C"/>
    <w:rsid w:val="004C6640"/>
    <w:rsid w:val="004D12DF"/>
    <w:rsid w:val="004D4B95"/>
    <w:rsid w:val="004E06E9"/>
    <w:rsid w:val="004E4123"/>
    <w:rsid w:val="004F41C6"/>
    <w:rsid w:val="004F4EB7"/>
    <w:rsid w:val="00500600"/>
    <w:rsid w:val="00503E2E"/>
    <w:rsid w:val="0051304F"/>
    <w:rsid w:val="00516C42"/>
    <w:rsid w:val="00524A18"/>
    <w:rsid w:val="005271D4"/>
    <w:rsid w:val="0053454E"/>
    <w:rsid w:val="00535A26"/>
    <w:rsid w:val="00536CFA"/>
    <w:rsid w:val="00546A2F"/>
    <w:rsid w:val="00550417"/>
    <w:rsid w:val="00550F5A"/>
    <w:rsid w:val="005513F8"/>
    <w:rsid w:val="00556BA3"/>
    <w:rsid w:val="00560195"/>
    <w:rsid w:val="00560A89"/>
    <w:rsid w:val="0056327E"/>
    <w:rsid w:val="005642D1"/>
    <w:rsid w:val="00576A19"/>
    <w:rsid w:val="005777C3"/>
    <w:rsid w:val="0058486A"/>
    <w:rsid w:val="005906BD"/>
    <w:rsid w:val="0059176A"/>
    <w:rsid w:val="00592FE1"/>
    <w:rsid w:val="005A04A7"/>
    <w:rsid w:val="005A1434"/>
    <w:rsid w:val="005A2A08"/>
    <w:rsid w:val="005A303B"/>
    <w:rsid w:val="005A4093"/>
    <w:rsid w:val="005A4BC2"/>
    <w:rsid w:val="005A6F39"/>
    <w:rsid w:val="005B7B12"/>
    <w:rsid w:val="005C6F59"/>
    <w:rsid w:val="005D105D"/>
    <w:rsid w:val="005D122C"/>
    <w:rsid w:val="005D16DB"/>
    <w:rsid w:val="005D2EF4"/>
    <w:rsid w:val="005D4CBF"/>
    <w:rsid w:val="005D5605"/>
    <w:rsid w:val="005D5D43"/>
    <w:rsid w:val="005E62BC"/>
    <w:rsid w:val="005F7C92"/>
    <w:rsid w:val="00601969"/>
    <w:rsid w:val="00604EBD"/>
    <w:rsid w:val="00607DA8"/>
    <w:rsid w:val="006167FB"/>
    <w:rsid w:val="00621F2C"/>
    <w:rsid w:val="00625991"/>
    <w:rsid w:val="006304CC"/>
    <w:rsid w:val="00631B1C"/>
    <w:rsid w:val="0063288D"/>
    <w:rsid w:val="006365DE"/>
    <w:rsid w:val="0064243C"/>
    <w:rsid w:val="006430AB"/>
    <w:rsid w:val="00647AB0"/>
    <w:rsid w:val="00652CB6"/>
    <w:rsid w:val="00654F18"/>
    <w:rsid w:val="006649C6"/>
    <w:rsid w:val="00666B58"/>
    <w:rsid w:val="006755EF"/>
    <w:rsid w:val="00676134"/>
    <w:rsid w:val="00677779"/>
    <w:rsid w:val="006814EF"/>
    <w:rsid w:val="00681F39"/>
    <w:rsid w:val="006927C8"/>
    <w:rsid w:val="00693176"/>
    <w:rsid w:val="006B5D73"/>
    <w:rsid w:val="006C13BD"/>
    <w:rsid w:val="006C20C2"/>
    <w:rsid w:val="006D0087"/>
    <w:rsid w:val="006D1CD2"/>
    <w:rsid w:val="006E0DCF"/>
    <w:rsid w:val="006E20EF"/>
    <w:rsid w:val="006E58FD"/>
    <w:rsid w:val="006E7AE1"/>
    <w:rsid w:val="007010E8"/>
    <w:rsid w:val="007041D2"/>
    <w:rsid w:val="007050BC"/>
    <w:rsid w:val="007159C9"/>
    <w:rsid w:val="00716467"/>
    <w:rsid w:val="00720675"/>
    <w:rsid w:val="0072110C"/>
    <w:rsid w:val="00726EF1"/>
    <w:rsid w:val="0072735C"/>
    <w:rsid w:val="00737B2C"/>
    <w:rsid w:val="00742E8B"/>
    <w:rsid w:val="00744E47"/>
    <w:rsid w:val="007455F4"/>
    <w:rsid w:val="00745BE4"/>
    <w:rsid w:val="00747B6F"/>
    <w:rsid w:val="00752D57"/>
    <w:rsid w:val="007616F9"/>
    <w:rsid w:val="0076230B"/>
    <w:rsid w:val="00765A08"/>
    <w:rsid w:val="007674AD"/>
    <w:rsid w:val="00773C78"/>
    <w:rsid w:val="00775C20"/>
    <w:rsid w:val="007826F1"/>
    <w:rsid w:val="007866BE"/>
    <w:rsid w:val="0079128E"/>
    <w:rsid w:val="00792868"/>
    <w:rsid w:val="00794C74"/>
    <w:rsid w:val="00795CAC"/>
    <w:rsid w:val="007A0C97"/>
    <w:rsid w:val="007A231C"/>
    <w:rsid w:val="007B0F62"/>
    <w:rsid w:val="007C1AAD"/>
    <w:rsid w:val="007E1904"/>
    <w:rsid w:val="007E4084"/>
    <w:rsid w:val="007F117A"/>
    <w:rsid w:val="007F320D"/>
    <w:rsid w:val="008127AE"/>
    <w:rsid w:val="00822B9F"/>
    <w:rsid w:val="008233D7"/>
    <w:rsid w:val="0082623F"/>
    <w:rsid w:val="00830C61"/>
    <w:rsid w:val="00832BDF"/>
    <w:rsid w:val="00833977"/>
    <w:rsid w:val="00835984"/>
    <w:rsid w:val="0084181E"/>
    <w:rsid w:val="00846038"/>
    <w:rsid w:val="00846B44"/>
    <w:rsid w:val="008473E2"/>
    <w:rsid w:val="00847AC0"/>
    <w:rsid w:val="008508A2"/>
    <w:rsid w:val="0085226B"/>
    <w:rsid w:val="008631F2"/>
    <w:rsid w:val="00866F82"/>
    <w:rsid w:val="008738C2"/>
    <w:rsid w:val="008757F6"/>
    <w:rsid w:val="00885D9F"/>
    <w:rsid w:val="008872DF"/>
    <w:rsid w:val="00890691"/>
    <w:rsid w:val="00892C41"/>
    <w:rsid w:val="008A0A15"/>
    <w:rsid w:val="008A2352"/>
    <w:rsid w:val="008A2EA2"/>
    <w:rsid w:val="008A4C37"/>
    <w:rsid w:val="008B00B5"/>
    <w:rsid w:val="008B0E62"/>
    <w:rsid w:val="008B6627"/>
    <w:rsid w:val="008D046C"/>
    <w:rsid w:val="008D6917"/>
    <w:rsid w:val="008D7662"/>
    <w:rsid w:val="008D7F87"/>
    <w:rsid w:val="008E3AC7"/>
    <w:rsid w:val="008F2C74"/>
    <w:rsid w:val="009000A4"/>
    <w:rsid w:val="00903211"/>
    <w:rsid w:val="00903837"/>
    <w:rsid w:val="00904342"/>
    <w:rsid w:val="00915E95"/>
    <w:rsid w:val="0092372B"/>
    <w:rsid w:val="0092403D"/>
    <w:rsid w:val="009251EF"/>
    <w:rsid w:val="00926D12"/>
    <w:rsid w:val="009300FC"/>
    <w:rsid w:val="009336DC"/>
    <w:rsid w:val="00943A9F"/>
    <w:rsid w:val="00947561"/>
    <w:rsid w:val="00951568"/>
    <w:rsid w:val="0095268D"/>
    <w:rsid w:val="00954111"/>
    <w:rsid w:val="00955A6D"/>
    <w:rsid w:val="00957CDC"/>
    <w:rsid w:val="0096182A"/>
    <w:rsid w:val="00961BE6"/>
    <w:rsid w:val="009644C8"/>
    <w:rsid w:val="00964649"/>
    <w:rsid w:val="0096679B"/>
    <w:rsid w:val="00972784"/>
    <w:rsid w:val="00974116"/>
    <w:rsid w:val="009760E1"/>
    <w:rsid w:val="00980810"/>
    <w:rsid w:val="00991960"/>
    <w:rsid w:val="009A3B24"/>
    <w:rsid w:val="009A3C56"/>
    <w:rsid w:val="009A5376"/>
    <w:rsid w:val="009A76A0"/>
    <w:rsid w:val="009A76FE"/>
    <w:rsid w:val="009B117A"/>
    <w:rsid w:val="009C0B8D"/>
    <w:rsid w:val="009C407B"/>
    <w:rsid w:val="009D119A"/>
    <w:rsid w:val="009D2BD5"/>
    <w:rsid w:val="009D31B9"/>
    <w:rsid w:val="009D4ED6"/>
    <w:rsid w:val="009D6D4C"/>
    <w:rsid w:val="009E0F60"/>
    <w:rsid w:val="009E244C"/>
    <w:rsid w:val="009E321B"/>
    <w:rsid w:val="009F29A9"/>
    <w:rsid w:val="009F5EC2"/>
    <w:rsid w:val="00A00267"/>
    <w:rsid w:val="00A0293F"/>
    <w:rsid w:val="00A03E5E"/>
    <w:rsid w:val="00A067D6"/>
    <w:rsid w:val="00A10126"/>
    <w:rsid w:val="00A112BE"/>
    <w:rsid w:val="00A11C3F"/>
    <w:rsid w:val="00A37885"/>
    <w:rsid w:val="00A42DA5"/>
    <w:rsid w:val="00A60AD5"/>
    <w:rsid w:val="00A72C84"/>
    <w:rsid w:val="00A76A37"/>
    <w:rsid w:val="00A8043B"/>
    <w:rsid w:val="00A9243B"/>
    <w:rsid w:val="00A925E9"/>
    <w:rsid w:val="00AA3FE6"/>
    <w:rsid w:val="00AB4B4F"/>
    <w:rsid w:val="00AC2E02"/>
    <w:rsid w:val="00AC5577"/>
    <w:rsid w:val="00AD583B"/>
    <w:rsid w:val="00AD7805"/>
    <w:rsid w:val="00AD7D44"/>
    <w:rsid w:val="00AE53E8"/>
    <w:rsid w:val="00AE5AAB"/>
    <w:rsid w:val="00AF4867"/>
    <w:rsid w:val="00AF6368"/>
    <w:rsid w:val="00B0037C"/>
    <w:rsid w:val="00B04DB3"/>
    <w:rsid w:val="00B2323C"/>
    <w:rsid w:val="00B4597E"/>
    <w:rsid w:val="00B5781B"/>
    <w:rsid w:val="00B57DDE"/>
    <w:rsid w:val="00B606C8"/>
    <w:rsid w:val="00B61C91"/>
    <w:rsid w:val="00B66E39"/>
    <w:rsid w:val="00B67B08"/>
    <w:rsid w:val="00B73890"/>
    <w:rsid w:val="00B75517"/>
    <w:rsid w:val="00B83C82"/>
    <w:rsid w:val="00B92391"/>
    <w:rsid w:val="00B95DB9"/>
    <w:rsid w:val="00BA124B"/>
    <w:rsid w:val="00BA6133"/>
    <w:rsid w:val="00BB26C0"/>
    <w:rsid w:val="00BB3B4B"/>
    <w:rsid w:val="00BC4737"/>
    <w:rsid w:val="00BD54A2"/>
    <w:rsid w:val="00BD5A10"/>
    <w:rsid w:val="00BD5D4F"/>
    <w:rsid w:val="00BD6F70"/>
    <w:rsid w:val="00BE42A4"/>
    <w:rsid w:val="00BE6DE2"/>
    <w:rsid w:val="00BF491F"/>
    <w:rsid w:val="00BF621F"/>
    <w:rsid w:val="00C02A7A"/>
    <w:rsid w:val="00C071F4"/>
    <w:rsid w:val="00C12A28"/>
    <w:rsid w:val="00C22CC4"/>
    <w:rsid w:val="00C26075"/>
    <w:rsid w:val="00C266AC"/>
    <w:rsid w:val="00C268CE"/>
    <w:rsid w:val="00C33716"/>
    <w:rsid w:val="00C37CA6"/>
    <w:rsid w:val="00C4126F"/>
    <w:rsid w:val="00C44344"/>
    <w:rsid w:val="00C45958"/>
    <w:rsid w:val="00C474DE"/>
    <w:rsid w:val="00C54918"/>
    <w:rsid w:val="00C600AC"/>
    <w:rsid w:val="00C604C7"/>
    <w:rsid w:val="00C61453"/>
    <w:rsid w:val="00C62A9D"/>
    <w:rsid w:val="00C70384"/>
    <w:rsid w:val="00C71C74"/>
    <w:rsid w:val="00C8016E"/>
    <w:rsid w:val="00C81B3F"/>
    <w:rsid w:val="00C85A10"/>
    <w:rsid w:val="00C92739"/>
    <w:rsid w:val="00C92B58"/>
    <w:rsid w:val="00C94975"/>
    <w:rsid w:val="00CA158D"/>
    <w:rsid w:val="00CA6432"/>
    <w:rsid w:val="00CA7270"/>
    <w:rsid w:val="00CB3995"/>
    <w:rsid w:val="00CB53F1"/>
    <w:rsid w:val="00CB5D75"/>
    <w:rsid w:val="00CC2A04"/>
    <w:rsid w:val="00CC6754"/>
    <w:rsid w:val="00CC678B"/>
    <w:rsid w:val="00CD1901"/>
    <w:rsid w:val="00CD53C4"/>
    <w:rsid w:val="00CD7A0A"/>
    <w:rsid w:val="00CE7E2C"/>
    <w:rsid w:val="00CF59D3"/>
    <w:rsid w:val="00CF5B96"/>
    <w:rsid w:val="00CF7C21"/>
    <w:rsid w:val="00D01B24"/>
    <w:rsid w:val="00D048FA"/>
    <w:rsid w:val="00D05620"/>
    <w:rsid w:val="00D116B3"/>
    <w:rsid w:val="00D126D9"/>
    <w:rsid w:val="00D12CD8"/>
    <w:rsid w:val="00D13E09"/>
    <w:rsid w:val="00D14A26"/>
    <w:rsid w:val="00D20700"/>
    <w:rsid w:val="00D20A18"/>
    <w:rsid w:val="00D31A3D"/>
    <w:rsid w:val="00D31ECE"/>
    <w:rsid w:val="00D37CCA"/>
    <w:rsid w:val="00D4285D"/>
    <w:rsid w:val="00D43550"/>
    <w:rsid w:val="00D435BC"/>
    <w:rsid w:val="00D50964"/>
    <w:rsid w:val="00D513F6"/>
    <w:rsid w:val="00D51B5D"/>
    <w:rsid w:val="00D521AC"/>
    <w:rsid w:val="00D574D4"/>
    <w:rsid w:val="00D65CD2"/>
    <w:rsid w:val="00D71C8A"/>
    <w:rsid w:val="00D74AB9"/>
    <w:rsid w:val="00D75EE9"/>
    <w:rsid w:val="00D9010D"/>
    <w:rsid w:val="00D90A26"/>
    <w:rsid w:val="00D95996"/>
    <w:rsid w:val="00DA4AD3"/>
    <w:rsid w:val="00DA642A"/>
    <w:rsid w:val="00DA79D4"/>
    <w:rsid w:val="00DB2AF6"/>
    <w:rsid w:val="00DC6725"/>
    <w:rsid w:val="00DD44BB"/>
    <w:rsid w:val="00DF5ABF"/>
    <w:rsid w:val="00E02153"/>
    <w:rsid w:val="00E02F03"/>
    <w:rsid w:val="00E031F0"/>
    <w:rsid w:val="00E06328"/>
    <w:rsid w:val="00E1040F"/>
    <w:rsid w:val="00E105D7"/>
    <w:rsid w:val="00E11C27"/>
    <w:rsid w:val="00E16A06"/>
    <w:rsid w:val="00E20637"/>
    <w:rsid w:val="00E20EDD"/>
    <w:rsid w:val="00E21B4C"/>
    <w:rsid w:val="00E233EF"/>
    <w:rsid w:val="00E32F3A"/>
    <w:rsid w:val="00E335D5"/>
    <w:rsid w:val="00E542D5"/>
    <w:rsid w:val="00E60ED1"/>
    <w:rsid w:val="00E67BE7"/>
    <w:rsid w:val="00E7343B"/>
    <w:rsid w:val="00E83DF4"/>
    <w:rsid w:val="00E85193"/>
    <w:rsid w:val="00E85300"/>
    <w:rsid w:val="00E95ACE"/>
    <w:rsid w:val="00EA3073"/>
    <w:rsid w:val="00EA6242"/>
    <w:rsid w:val="00EB052E"/>
    <w:rsid w:val="00EB4DC1"/>
    <w:rsid w:val="00EB6BE4"/>
    <w:rsid w:val="00EC1301"/>
    <w:rsid w:val="00ED4DD1"/>
    <w:rsid w:val="00ED5D85"/>
    <w:rsid w:val="00ED6593"/>
    <w:rsid w:val="00EE14BF"/>
    <w:rsid w:val="00EE3EEC"/>
    <w:rsid w:val="00EE3F94"/>
    <w:rsid w:val="00EF0E38"/>
    <w:rsid w:val="00EF4960"/>
    <w:rsid w:val="00F0628F"/>
    <w:rsid w:val="00F06551"/>
    <w:rsid w:val="00F068AD"/>
    <w:rsid w:val="00F132A6"/>
    <w:rsid w:val="00F1334D"/>
    <w:rsid w:val="00F14EFB"/>
    <w:rsid w:val="00F20CF9"/>
    <w:rsid w:val="00F27D6A"/>
    <w:rsid w:val="00F3535E"/>
    <w:rsid w:val="00F36419"/>
    <w:rsid w:val="00F426A4"/>
    <w:rsid w:val="00F43D4E"/>
    <w:rsid w:val="00F46567"/>
    <w:rsid w:val="00F46DC2"/>
    <w:rsid w:val="00F51659"/>
    <w:rsid w:val="00F53428"/>
    <w:rsid w:val="00F53FAE"/>
    <w:rsid w:val="00F543AA"/>
    <w:rsid w:val="00F60946"/>
    <w:rsid w:val="00F662C0"/>
    <w:rsid w:val="00F67E3F"/>
    <w:rsid w:val="00F70BD8"/>
    <w:rsid w:val="00F71688"/>
    <w:rsid w:val="00F86D27"/>
    <w:rsid w:val="00F91D78"/>
    <w:rsid w:val="00FA16A5"/>
    <w:rsid w:val="00FA392A"/>
    <w:rsid w:val="00FA3FF2"/>
    <w:rsid w:val="00FA71E5"/>
    <w:rsid w:val="00FB1C1E"/>
    <w:rsid w:val="00FB3FBD"/>
    <w:rsid w:val="00FB4420"/>
    <w:rsid w:val="00FC11DF"/>
    <w:rsid w:val="00FC5EDF"/>
    <w:rsid w:val="00FD1BCD"/>
    <w:rsid w:val="00FD4398"/>
    <w:rsid w:val="00FD4751"/>
    <w:rsid w:val="00FD74AD"/>
    <w:rsid w:val="00FD7FCA"/>
    <w:rsid w:val="00FE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0C0C5"/>
  <w15:chartTrackingRefBased/>
  <w15:docId w15:val="{40547990-BBC4-4EBF-8F30-17E1F6AA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13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676134"/>
    <w:pPr>
      <w:ind w:left="720"/>
      <w:contextualSpacing/>
    </w:p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676134"/>
    <w:rPr>
      <w:rFonts w:ascii="Calibri" w:eastAsia="Calibri" w:hAnsi="Calibri" w:cs="Times New Roman"/>
    </w:rPr>
  </w:style>
  <w:style w:type="paragraph" w:customStyle="1" w:styleId="mechtex">
    <w:name w:val="mechtex"/>
    <w:basedOn w:val="Normal"/>
    <w:link w:val="mechtexChar"/>
    <w:rsid w:val="00676134"/>
    <w:pPr>
      <w:spacing w:after="0" w:line="240" w:lineRule="auto"/>
      <w:jc w:val="center"/>
    </w:pPr>
    <w:rPr>
      <w:rFonts w:ascii="Arial Armenian" w:eastAsia="Times New Roman" w:hAnsi="Arial Armenian"/>
      <w:lang w:eastAsia="ru-RU"/>
    </w:rPr>
  </w:style>
  <w:style w:type="character" w:customStyle="1" w:styleId="mechtexChar">
    <w:name w:val="mechtex Char"/>
    <w:link w:val="mechtex"/>
    <w:locked/>
    <w:rsid w:val="00676134"/>
    <w:rPr>
      <w:rFonts w:ascii="Arial Armenian" w:eastAsia="Times New Roman" w:hAnsi="Arial Armenian" w:cs="Times New Roman"/>
      <w:lang w:eastAsia="ru-RU"/>
    </w:rPr>
  </w:style>
  <w:style w:type="paragraph" w:styleId="NormalWeb">
    <w:name w:val="Normal (Web)"/>
    <w:aliases w:val="webb"/>
    <w:basedOn w:val="Normal"/>
    <w:uiPriority w:val="99"/>
    <w:unhideWhenUsed/>
    <w:rsid w:val="00C71C74"/>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rsid w:val="00980810"/>
    <w:pPr>
      <w:spacing w:after="0" w:line="240" w:lineRule="auto"/>
      <w:jc w:val="both"/>
    </w:pPr>
    <w:rPr>
      <w:rFonts w:ascii="Times Armenian" w:eastAsia="Times New Roman" w:hAnsi="Times Armenian"/>
      <w:sz w:val="24"/>
      <w:szCs w:val="20"/>
      <w:lang w:val="x-none" w:eastAsia="x-none"/>
    </w:rPr>
  </w:style>
  <w:style w:type="character" w:customStyle="1" w:styleId="BodyTextChar">
    <w:name w:val="Body Text Char"/>
    <w:basedOn w:val="DefaultParagraphFont"/>
    <w:link w:val="BodyText"/>
    <w:rsid w:val="00980810"/>
    <w:rPr>
      <w:rFonts w:ascii="Times Armenian" w:eastAsia="Times New Roman" w:hAnsi="Times Armenian" w:cs="Times New Roman"/>
      <w:sz w:val="24"/>
      <w:szCs w:val="20"/>
      <w:lang w:val="x-none" w:eastAsia="x-none"/>
    </w:rPr>
  </w:style>
  <w:style w:type="paragraph" w:styleId="BalloonText">
    <w:name w:val="Balloon Text"/>
    <w:basedOn w:val="Normal"/>
    <w:link w:val="BalloonTextChar"/>
    <w:uiPriority w:val="99"/>
    <w:semiHidden/>
    <w:unhideWhenUsed/>
    <w:rsid w:val="00F36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419"/>
    <w:rPr>
      <w:rFonts w:ascii="Segoe UI" w:eastAsia="Calibri" w:hAnsi="Segoe UI" w:cs="Segoe UI"/>
      <w:sz w:val="18"/>
      <w:szCs w:val="18"/>
    </w:rPr>
  </w:style>
  <w:style w:type="paragraph" w:styleId="Header">
    <w:name w:val="header"/>
    <w:basedOn w:val="Normal"/>
    <w:link w:val="HeaderChar"/>
    <w:uiPriority w:val="99"/>
    <w:unhideWhenUsed/>
    <w:rsid w:val="00213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2B1"/>
    <w:rPr>
      <w:rFonts w:ascii="Calibri" w:eastAsia="Calibri" w:hAnsi="Calibri" w:cs="Times New Roman"/>
    </w:rPr>
  </w:style>
  <w:style w:type="paragraph" w:styleId="Footer">
    <w:name w:val="footer"/>
    <w:basedOn w:val="Normal"/>
    <w:link w:val="FooterChar"/>
    <w:uiPriority w:val="99"/>
    <w:unhideWhenUsed/>
    <w:rsid w:val="00213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2B1"/>
    <w:rPr>
      <w:rFonts w:ascii="Calibri" w:eastAsia="Calibri" w:hAnsi="Calibri" w:cs="Times New Roman"/>
    </w:rPr>
  </w:style>
  <w:style w:type="character" w:styleId="CommentReference">
    <w:name w:val="annotation reference"/>
    <w:basedOn w:val="DefaultParagraphFont"/>
    <w:uiPriority w:val="99"/>
    <w:semiHidden/>
    <w:unhideWhenUsed/>
    <w:rsid w:val="005D16DB"/>
    <w:rPr>
      <w:sz w:val="16"/>
      <w:szCs w:val="16"/>
    </w:rPr>
  </w:style>
  <w:style w:type="paragraph" w:styleId="CommentText">
    <w:name w:val="annotation text"/>
    <w:basedOn w:val="Normal"/>
    <w:link w:val="CommentTextChar"/>
    <w:uiPriority w:val="99"/>
    <w:semiHidden/>
    <w:unhideWhenUsed/>
    <w:rsid w:val="005D16DB"/>
    <w:pPr>
      <w:spacing w:line="240" w:lineRule="auto"/>
    </w:pPr>
    <w:rPr>
      <w:sz w:val="20"/>
      <w:szCs w:val="20"/>
    </w:rPr>
  </w:style>
  <w:style w:type="character" w:customStyle="1" w:styleId="CommentTextChar">
    <w:name w:val="Comment Text Char"/>
    <w:basedOn w:val="DefaultParagraphFont"/>
    <w:link w:val="CommentText"/>
    <w:uiPriority w:val="99"/>
    <w:semiHidden/>
    <w:rsid w:val="005D16D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D16DB"/>
    <w:rPr>
      <w:b/>
      <w:bCs/>
    </w:rPr>
  </w:style>
  <w:style w:type="character" w:customStyle="1" w:styleId="CommentSubjectChar">
    <w:name w:val="Comment Subject Char"/>
    <w:basedOn w:val="CommentTextChar"/>
    <w:link w:val="CommentSubject"/>
    <w:uiPriority w:val="99"/>
    <w:semiHidden/>
    <w:rsid w:val="005D16DB"/>
    <w:rPr>
      <w:rFonts w:ascii="Calibri" w:eastAsia="Calibri" w:hAnsi="Calibri" w:cs="Times New Roman"/>
      <w:b/>
      <w:bCs/>
      <w:sz w:val="20"/>
      <w:szCs w:val="20"/>
    </w:rPr>
  </w:style>
  <w:style w:type="character" w:customStyle="1" w:styleId="FontStyle12">
    <w:name w:val="Font Style12"/>
    <w:uiPriority w:val="99"/>
    <w:rsid w:val="009D6D4C"/>
    <w:rPr>
      <w:rFonts w:ascii="Times New Roman" w:hAnsi="Times New Roman" w:cs="Times New Roman" w:hint="default"/>
      <w:sz w:val="26"/>
      <w:szCs w:val="26"/>
    </w:rPr>
  </w:style>
  <w:style w:type="table" w:styleId="TableGrid">
    <w:name w:val="Table Grid"/>
    <w:basedOn w:val="TableNormal"/>
    <w:uiPriority w:val="39"/>
    <w:rsid w:val="000F1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333281">
      <w:bodyDiv w:val="1"/>
      <w:marLeft w:val="0"/>
      <w:marRight w:val="0"/>
      <w:marTop w:val="0"/>
      <w:marBottom w:val="0"/>
      <w:divBdr>
        <w:top w:val="none" w:sz="0" w:space="0" w:color="auto"/>
        <w:left w:val="none" w:sz="0" w:space="0" w:color="auto"/>
        <w:bottom w:val="none" w:sz="0" w:space="0" w:color="auto"/>
        <w:right w:val="none" w:sz="0" w:space="0" w:color="auto"/>
      </w:divBdr>
    </w:div>
    <w:div w:id="828406666">
      <w:bodyDiv w:val="1"/>
      <w:marLeft w:val="0"/>
      <w:marRight w:val="0"/>
      <w:marTop w:val="0"/>
      <w:marBottom w:val="0"/>
      <w:divBdr>
        <w:top w:val="none" w:sz="0" w:space="0" w:color="auto"/>
        <w:left w:val="none" w:sz="0" w:space="0" w:color="auto"/>
        <w:bottom w:val="none" w:sz="0" w:space="0" w:color="auto"/>
        <w:right w:val="none" w:sz="0" w:space="0" w:color="auto"/>
      </w:divBdr>
    </w:div>
    <w:div w:id="1480151209">
      <w:bodyDiv w:val="1"/>
      <w:marLeft w:val="0"/>
      <w:marRight w:val="0"/>
      <w:marTop w:val="0"/>
      <w:marBottom w:val="0"/>
      <w:divBdr>
        <w:top w:val="none" w:sz="0" w:space="0" w:color="auto"/>
        <w:left w:val="none" w:sz="0" w:space="0" w:color="auto"/>
        <w:bottom w:val="none" w:sz="0" w:space="0" w:color="auto"/>
        <w:right w:val="none" w:sz="0" w:space="0" w:color="auto"/>
      </w:divBdr>
    </w:div>
    <w:div w:id="1514152189">
      <w:bodyDiv w:val="1"/>
      <w:marLeft w:val="0"/>
      <w:marRight w:val="0"/>
      <w:marTop w:val="0"/>
      <w:marBottom w:val="0"/>
      <w:divBdr>
        <w:top w:val="none" w:sz="0" w:space="0" w:color="auto"/>
        <w:left w:val="none" w:sz="0" w:space="0" w:color="auto"/>
        <w:bottom w:val="none" w:sz="0" w:space="0" w:color="auto"/>
        <w:right w:val="none" w:sz="0" w:space="0" w:color="auto"/>
      </w:divBdr>
    </w:div>
    <w:div w:id="1616791597">
      <w:bodyDiv w:val="1"/>
      <w:marLeft w:val="0"/>
      <w:marRight w:val="0"/>
      <w:marTop w:val="0"/>
      <w:marBottom w:val="0"/>
      <w:divBdr>
        <w:top w:val="none" w:sz="0" w:space="0" w:color="auto"/>
        <w:left w:val="none" w:sz="0" w:space="0" w:color="auto"/>
        <w:bottom w:val="none" w:sz="0" w:space="0" w:color="auto"/>
        <w:right w:val="none" w:sz="0" w:space="0" w:color="auto"/>
      </w:divBdr>
    </w:div>
    <w:div w:id="187311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4F721-BDD0-4F71-AA51-8C05C3B8A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Gevorgyan</dc:creator>
  <cp:keywords/>
  <dc:description/>
  <cp:lastModifiedBy>Varsenik Yeghiazaryan</cp:lastModifiedBy>
  <cp:revision>6</cp:revision>
  <cp:lastPrinted>2026-03-02T10:39:00Z</cp:lastPrinted>
  <dcterms:created xsi:type="dcterms:W3CDTF">2026-03-02T12:49:00Z</dcterms:created>
  <dcterms:modified xsi:type="dcterms:W3CDTF">2026-03-26T07:14:00Z</dcterms:modified>
</cp:coreProperties>
</file>