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80A4A" w14:textId="77777777" w:rsidR="009D6D4C" w:rsidRPr="00C50DDD" w:rsidRDefault="009D6D4C" w:rsidP="00C50DDD">
      <w:pPr>
        <w:spacing w:after="0" w:line="360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C50DD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ՀԻՄՆԱՎՈՐՈՒՄ</w:t>
      </w:r>
    </w:p>
    <w:p w14:paraId="14DF9F9D" w14:textId="77835B8B" w:rsidR="00FB4420" w:rsidRPr="00C50DDD" w:rsidRDefault="00897962" w:rsidP="00C50DDD">
      <w:pPr>
        <w:pStyle w:val="ListParagraph"/>
        <w:tabs>
          <w:tab w:val="left" w:pos="-1530"/>
          <w:tab w:val="left" w:pos="-1440"/>
        </w:tabs>
        <w:spacing w:after="0" w:line="360" w:lineRule="auto"/>
        <w:ind w:left="567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«ՀԱՅԱՍՏԱՆԻ ՀԱՆՐԱՊԵՏՈՒԹՅԱՆ ՀԱՐԿԱՅԻՆ ՕՐԵՆՍԳՐՔՈՒՄ </w:t>
      </w:r>
      <w:r w:rsidR="004C61A0" w:rsidRPr="00C50DD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ԼՐԱՑՈՒՄՆԵՐ </w:t>
      </w:r>
      <w:r w:rsidR="00EE5D5F" w:rsidRPr="00C50DD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ԵՎ ՓՈՓՈԽՈՒԹՅՈՒՆՆԵՐ </w:t>
      </w:r>
      <w:r w:rsidRPr="00C50DDD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ԿԱՏԱՐԵԼՈՒ ՄԱՍԻՆ» ՀԱՅԱՍՏԱՆԻ ՀԱՆՐԱՊԵՏՈՒԹՅԱՆ ՕՐԵՆՔԻ ՆԱԽԱԳԾԻ ՎԵՐԱԲԵՐՅԱԼ</w:t>
      </w:r>
    </w:p>
    <w:p w14:paraId="61FAFEA2" w14:textId="77777777" w:rsidR="00897962" w:rsidRPr="00C50DDD" w:rsidRDefault="00897962" w:rsidP="00C50DDD">
      <w:pPr>
        <w:pStyle w:val="ListParagraph"/>
        <w:tabs>
          <w:tab w:val="left" w:pos="-1530"/>
          <w:tab w:val="left" w:pos="-1440"/>
        </w:tabs>
        <w:spacing w:after="0" w:line="360" w:lineRule="auto"/>
        <w:ind w:left="567"/>
        <w:jc w:val="center"/>
        <w:rPr>
          <w:rFonts w:ascii="GHEA Grapalat" w:eastAsia="Times New Roman" w:hAnsi="GHEA Grapalat"/>
          <w:b/>
          <w:bCs/>
          <w:iCs/>
          <w:noProof/>
          <w:color w:val="000000" w:themeColor="text1"/>
          <w:sz w:val="24"/>
          <w:szCs w:val="24"/>
          <w:lang w:val="hy-AM"/>
        </w:rPr>
      </w:pPr>
    </w:p>
    <w:p w14:paraId="05F5680F" w14:textId="77777777" w:rsidR="00C50DDD" w:rsidRDefault="00C50DDD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>1</w:t>
      </w:r>
      <w:r>
        <w:rPr>
          <w:rFonts w:ascii="Cambria Math" w:eastAsia="Times New Roman" w:hAnsi="Cambria Math" w:cs="Sylfaen"/>
          <w:b/>
          <w:bCs/>
          <w:iCs/>
          <w:noProof/>
          <w:color w:val="000000" w:themeColor="text1"/>
          <w:sz w:val="24"/>
          <w:szCs w:val="24"/>
          <w:lang w:val="hy-AM"/>
        </w:rPr>
        <w:t xml:space="preserve">․ </w:t>
      </w:r>
      <w:r w:rsidR="007D0071" w:rsidRPr="00C50DDD"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>Իրավական ակտի անհրաժեշտությունը (նպատակը).</w:t>
      </w:r>
      <w:r w:rsidR="007D0071" w:rsidRPr="00C50DDD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897962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Նախագծի ընդուն</w:t>
      </w:r>
      <w:r w:rsidR="007D0071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ման անհրաժեշտությունը </w:t>
      </w:r>
      <w:r w:rsidR="00897962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պայմանավորված է ՀՀ կառավարության կողմից որդեգրած՝ հարկային կամավոր կարգապահության խրախուսման, օրինապահ հարկ վճարողների համար գործունեության բարենպաստ պայմաններ ստեղծելու, ինչպես նա</w:t>
      </w:r>
      <w:r w:rsidR="00DB5C11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և</w:t>
      </w:r>
      <w:r w:rsidR="00897962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 հարկային մարմին</w:t>
      </w:r>
      <w:r w:rsidR="00D51467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="00897962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-</w:t>
      </w:r>
      <w:r w:rsidR="00D51467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="00897962" w:rsidRPr="00C50DDD"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հարկ վճարող գործընկերային հարաբերությունների առավել ամրապնդման համար անհրաժեշտ նորմատիվ հիմքերի ապահովմամբ:</w:t>
      </w:r>
    </w:p>
    <w:p w14:paraId="6F1E51CD" w14:textId="77777777" w:rsidR="00C50DDD" w:rsidRDefault="00C50DDD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2</w:t>
      </w:r>
      <w:r>
        <w:rPr>
          <w:rFonts w:ascii="Cambria Math" w:eastAsia="Times New Roman" w:hAnsi="Cambria Math"/>
          <w:bCs/>
          <w:iCs/>
          <w:noProof/>
          <w:color w:val="000000" w:themeColor="text1"/>
          <w:sz w:val="24"/>
          <w:szCs w:val="24"/>
          <w:lang w:val="hy-AM"/>
        </w:rPr>
        <w:t xml:space="preserve">․ </w:t>
      </w:r>
      <w:r w:rsidR="007D0071" w:rsidRPr="00C50DDD"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>Կարգավորման հարաբերությունների ներկա վիճակը, առկա խնդիրները և առաջարկվող լուծումները</w:t>
      </w:r>
      <w:r w:rsidR="00885D9F" w:rsidRPr="00C50DDD"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>.</w:t>
      </w:r>
      <w:r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="000C0D7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Հարկային կարգապահության խրախուսման, հարկերի վճարումը, որպես մշակույթ արմատավորելու, ինչպես նաև հարկային վարչարարության շարունակական բարելավման նպատակով՝ </w:t>
      </w:r>
      <w:r w:rsidR="005E565C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ՀՀ հարկային օրենսգրքում 2021թ, կատարված փոփոխություններով և </w:t>
      </w:r>
      <w:r w:rsidR="000C0D7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ՀՀ կառավարության </w:t>
      </w:r>
      <w:r w:rsidR="00EE5D5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2021թ</w:t>
      </w:r>
      <w:r w:rsidR="005E565C" w:rsidRPr="00C50DDD">
        <w:rPr>
          <w:rFonts w:ascii="Cambria Math" w:eastAsia="Times New Roman" w:hAnsi="Cambria Math" w:cs="Cambria Math"/>
          <w:bCs/>
          <w:iCs/>
          <w:noProof/>
          <w:color w:val="000000" w:themeColor="text1"/>
          <w:sz w:val="24"/>
          <w:szCs w:val="24"/>
          <w:lang w:val="hy-AM"/>
        </w:rPr>
        <w:t>․</w:t>
      </w:r>
      <w:r w:rsidR="005E565C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="00EE5D5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օգոստոսի 12-ի </w:t>
      </w:r>
      <w:r w:rsidR="000C0D7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N1324-Ն որոշմամբ</w:t>
      </w:r>
      <w:r w:rsidR="005E565C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ներդրվեց</w:t>
      </w:r>
      <w:r w:rsidR="000C0D7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օրինապահ հարկ վճարողի ինստիտուտ</w:t>
      </w:r>
      <w:r w:rsidR="005E565C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ը։</w:t>
      </w:r>
    </w:p>
    <w:p w14:paraId="72B12F26" w14:textId="7BDCC48D" w:rsidR="00C50DDD" w:rsidRDefault="00472D20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Օրինապահ հարկ վճարողին վերաբերող հիմնական կարգավորումները սահմանված են </w:t>
      </w:r>
      <w:r w:rsidRPr="005A6BEE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օրենսգրքի 293</w:t>
      </w:r>
      <w:r w:rsidRPr="005A6BEE">
        <w:rPr>
          <w:rFonts w:ascii="Cambria Math" w:eastAsia="Times New Roman" w:hAnsi="Cambria Math" w:cs="Cambria Math"/>
          <w:bCs/>
          <w:iCs/>
          <w:noProof/>
          <w:color w:val="000000" w:themeColor="text1"/>
          <w:sz w:val="24"/>
          <w:szCs w:val="24"/>
          <w:lang w:val="hy-AM"/>
        </w:rPr>
        <w:t>․</w:t>
      </w:r>
      <w:r w:rsidR="005A6BEE" w:rsidRPr="005A6BEE">
        <w:rPr>
          <w:rFonts w:ascii="GHEA Grapalat" w:eastAsia="Times New Roman" w:hAnsi="GHEA Grapalat" w:cs="Cambria Math"/>
          <w:bCs/>
          <w:iCs/>
          <w:noProof/>
          <w:color w:val="000000" w:themeColor="text1"/>
          <w:sz w:val="24"/>
          <w:szCs w:val="24"/>
          <w:lang w:val="hy-AM"/>
        </w:rPr>
        <w:t>1</w:t>
      </w:r>
      <w:r w:rsidRPr="005A6BEE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-</w:t>
      </w:r>
      <w:r w:rsidRPr="005A6BEE">
        <w:rPr>
          <w:rFonts w:ascii="GHEA Grapalat" w:eastAsia="Times New Roman" w:hAnsi="GHEA Grapalat" w:cs="GHEA Grapalat"/>
          <w:bCs/>
          <w:iCs/>
          <w:noProof/>
          <w:color w:val="000000" w:themeColor="text1"/>
          <w:sz w:val="24"/>
          <w:szCs w:val="24"/>
          <w:lang w:val="hy-AM"/>
        </w:rPr>
        <w:t>ին</w:t>
      </w:r>
      <w:r w:rsidRPr="005A6BEE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Pr="005A6BEE">
        <w:rPr>
          <w:rFonts w:ascii="GHEA Grapalat" w:eastAsia="Times New Roman" w:hAnsi="GHEA Grapalat" w:cs="GHEA Grapalat"/>
          <w:bCs/>
          <w:iCs/>
          <w:noProof/>
          <w:color w:val="000000" w:themeColor="text1"/>
          <w:sz w:val="24"/>
          <w:szCs w:val="24"/>
          <w:lang w:val="hy-AM"/>
        </w:rPr>
        <w:t>հոդվածով</w:t>
      </w: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։</w:t>
      </w:r>
      <w:r w:rsidR="00614B0B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Միաժամանակ, այդ հոդվածի 3-րդ մասով օրինապահ հարկ վճարողի հավաստագրի գործողության ժամկետը սահմանված է հավաստագրի տրամադրման օրվանից 12 ամիս։</w:t>
      </w:r>
    </w:p>
    <w:p w14:paraId="27C1B398" w14:textId="3C688AC2" w:rsidR="00C50DDD" w:rsidRDefault="00DE5235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Օրինապահ հարկ վճարողի </w:t>
      </w:r>
      <w:r w:rsidR="00342FC8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համակարգը </w:t>
      </w:r>
      <w:r w:rsidR="000D16EA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առավել գրավիչ դարձնելու համար,</w:t>
      </w:r>
      <w:r w:rsidR="00CB1C8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="00472D2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անհրաժեշտություն է առաջացել վերանայելու օրենսգրքով սահմանված կարգավորումները և նախատեսել համակարգի ներդրման համար </w:t>
      </w:r>
      <w:r w:rsidR="000D16EA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խրախուսման լրացուցիչ գործիքակազմ</w:t>
      </w:r>
      <w:r w:rsidR="00614B0B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, ինչպես նաև կատարելագործել </w:t>
      </w:r>
      <w:r w:rsidR="00404704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ու բարելավել </w:t>
      </w:r>
      <w:r w:rsidR="00614B0B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օրնապահ հարկ վճարողի հավաստագրի տրամադրմանը վերաբերող կարգավորումները</w:t>
      </w:r>
      <w:r w:rsidR="00472D2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։ Այդ նպատակով օրենքի նախագծով առաջարկվում է</w:t>
      </w:r>
      <w:r w:rsidR="009511D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սահմանել, որ</w:t>
      </w:r>
      <w:r w:rsidR="009511DF" w:rsidRPr="00C50DDD">
        <w:rPr>
          <w:rFonts w:ascii="Cambria Math" w:eastAsia="Times New Roman" w:hAnsi="Cambria Math" w:cs="Cambria Math"/>
          <w:bCs/>
          <w:iCs/>
          <w:noProof/>
          <w:color w:val="000000" w:themeColor="text1"/>
          <w:sz w:val="24"/>
          <w:szCs w:val="24"/>
          <w:lang w:val="hy-AM"/>
        </w:rPr>
        <w:t>․</w:t>
      </w:r>
      <w:r w:rsidR="00472D2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</w:p>
    <w:p w14:paraId="34878795" w14:textId="414C9209" w:rsidR="00C50DDD" w:rsidRDefault="00472D20" w:rsidP="00E7794B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1)</w:t>
      </w:r>
      <w:r w:rsidR="00614B0B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o</w:t>
      </w:r>
      <w:r w:rsidR="00D51467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րինապահ հարկ վճարողի հավաստագրի գործողության ժամանակահատվածում «Բացթողում՝ ներքին սպառման համար» մաքսային ընթացակարգով կամ ԵՏՄ անդամ </w:t>
      </w:r>
      <w:r w:rsidR="00D51467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պետություններից Հայաստանի Հանրապետություն ապրանք</w:t>
      </w:r>
      <w:r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ների </w:t>
      </w:r>
      <w:r w:rsidR="00D51467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ներմուծ</w:t>
      </w:r>
      <w:r w:rsidR="009511DF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ումը ազատվում է ԱԱՀ-ից</w:t>
      </w:r>
      <w:r w:rsidR="00E7794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: </w:t>
      </w:r>
      <w:r w:rsidR="00E7794B" w:rsidRPr="00B27CA9">
        <w:rPr>
          <w:rFonts w:ascii="GHEA Grapalat" w:eastAsia="Times New Roman" w:hAnsi="GHEA Grapalat" w:cs="GHEA Grapalat"/>
          <w:sz w:val="24"/>
          <w:szCs w:val="24"/>
          <w:lang w:val="hy-AM"/>
        </w:rPr>
        <w:t>Ընդ որում, առաջարկը ներկայացվել է հաշվի առնելով նաև Կառավարության ծրագրով նախատեսված՝ ԱԱՀ վճարողների համար ներմուծվող ապրանքների դիմաց ԱԱՀ գանձումը սահմանին աստիճանաբար չեղարկելու միջոցառումը</w:t>
      </w:r>
      <w:r w:rsidR="00A42A8A" w:rsidRPr="00B27CA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որը նպատակը տնտեսավարող սուբյեկտների կողմից </w:t>
      </w:r>
      <w:r w:rsidR="00A42A8A" w:rsidRPr="00B27CA9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/>
        </w:rPr>
        <w:t>ֆինանսական միջոցների արդյունավետ տնօրինումն է</w:t>
      </w:r>
      <w:r w:rsidR="00E7794B" w:rsidRPr="00B27CA9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/>
        </w:rPr>
        <w:t>,</w:t>
      </w:r>
    </w:p>
    <w:p w14:paraId="07959EE6" w14:textId="4668A9EA" w:rsidR="00C50DDD" w:rsidRDefault="00472D20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2) </w:t>
      </w:r>
      <w:r w:rsidR="00404704" w:rsidRPr="00C50DDD">
        <w:rPr>
          <w:rFonts w:ascii="GHEA Grapalat" w:eastAsia="Times New Roman" w:hAnsi="GHEA Grapalat"/>
          <w:color w:val="00000A"/>
          <w:sz w:val="24"/>
          <w:szCs w:val="24"/>
          <w:lang w:val="hy-AM"/>
        </w:rPr>
        <w:t>օ</w:t>
      </w:r>
      <w:r w:rsidR="00404704" w:rsidRPr="00C50DDD">
        <w:rPr>
          <w:rFonts w:ascii="GHEA Grapalat" w:hAnsi="GHEA Grapalat"/>
          <w:sz w:val="24"/>
          <w:szCs w:val="24"/>
          <w:lang w:val="hy-AM"/>
        </w:rPr>
        <w:t>րինապահ հարկ վճարողի հավաստագրի տրամադրման գործընթացը չի վերաբերի ներդրումային ֆոնդերին և ներդրումային ֆոնդերի կառավարչների</w:t>
      </w:r>
      <w:r w:rsidR="007D0071" w:rsidRPr="00C50DDD">
        <w:rPr>
          <w:rFonts w:ascii="GHEA Grapalat" w:hAnsi="GHEA Grapalat"/>
          <w:sz w:val="24"/>
          <w:szCs w:val="24"/>
          <w:lang w:val="hy-AM"/>
        </w:rPr>
        <w:t>ն</w:t>
      </w:r>
      <w:r w:rsidR="00404704" w:rsidRPr="00C50DDD">
        <w:rPr>
          <w:rFonts w:ascii="GHEA Grapalat" w:hAnsi="GHEA Grapalat"/>
          <w:sz w:val="24"/>
          <w:szCs w:val="24"/>
          <w:lang w:val="hy-AM"/>
        </w:rPr>
        <w:t>, հաշվի առնելով վերջիններիս մասով կիրառվող շահութահարկի նվազ</w:t>
      </w:r>
      <w:r w:rsidR="007D0071" w:rsidRPr="00C50DDD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04704" w:rsidRPr="00C50DDD">
        <w:rPr>
          <w:rFonts w:ascii="GHEA Grapalat" w:hAnsi="GHEA Grapalat"/>
          <w:sz w:val="24"/>
          <w:szCs w:val="24"/>
          <w:lang w:val="hy-AM"/>
        </w:rPr>
        <w:t>0.01%</w:t>
      </w:r>
      <w:r w:rsidR="007D0071" w:rsidRPr="00C50DDD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704" w:rsidRPr="00C50DDD">
        <w:rPr>
          <w:rFonts w:ascii="GHEA Grapalat" w:hAnsi="GHEA Grapalat"/>
          <w:sz w:val="24"/>
          <w:szCs w:val="24"/>
          <w:lang w:val="hy-AM"/>
        </w:rPr>
        <w:t>դրույքաչափը,</w:t>
      </w:r>
    </w:p>
    <w:p w14:paraId="77048500" w14:textId="77777777" w:rsidR="00C50DDD" w:rsidRDefault="00404704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hAnsi="GHEA Grapalat"/>
          <w:sz w:val="24"/>
          <w:szCs w:val="24"/>
          <w:lang w:val="hy-AM"/>
        </w:rPr>
        <w:t xml:space="preserve">3) </w:t>
      </w:r>
      <w:r w:rsidR="00472D2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o</w:t>
      </w:r>
      <w:r w:rsidR="00472D20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րինապահ հարկ վճարողի հավաստագ</w:t>
      </w:r>
      <w:r w:rsidR="009511DF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="00472D20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ր</w:t>
      </w:r>
      <w:r w:rsidR="009511DF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ը տրամադվ</w:t>
      </w:r>
      <w:r w:rsidR="007D0071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ելու </w:t>
      </w:r>
      <w:r w:rsidR="009511DF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է անժամկետ,</w:t>
      </w:r>
    </w:p>
    <w:p w14:paraId="13661591" w14:textId="77777777" w:rsidR="00C50DDD" w:rsidRPr="00EF63CC" w:rsidRDefault="00404704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 w:rsidR="009511DF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) հարկային մարմինը իրականացնելու է </w:t>
      </w:r>
      <w:r w:rsidR="009511D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o</w:t>
      </w:r>
      <w:r w:rsidR="009511DF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>րինապահ հարկ վճարողի հավաստագիր ունեցող հարկ վճարողների գործունեության մշտադիտարկում՝ եռամսյակային կտրվածքով,</w:t>
      </w:r>
      <w:r w:rsidR="007D0071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նպատակ ունենալով </w:t>
      </w:r>
      <w:r w:rsidR="007D0071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ապահովելու հարկ վճարողի շարունակական </w:t>
      </w:r>
      <w:r w:rsidR="007D0071" w:rsidRPr="00EF63CC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օրինապահ վարքագծի դրսևորումը,</w:t>
      </w:r>
    </w:p>
    <w:p w14:paraId="57AD560D" w14:textId="3CA7A4FA" w:rsidR="00C50DDD" w:rsidRPr="00EF63CC" w:rsidRDefault="007D0071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F63CC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9511DF" w:rsidRPr="00EF63CC">
        <w:rPr>
          <w:rFonts w:ascii="GHEA Grapalat" w:eastAsia="Times New Roman" w:hAnsi="GHEA Grapalat" w:cs="GHEA Grapalat"/>
          <w:sz w:val="24"/>
          <w:szCs w:val="24"/>
          <w:lang w:val="hy-AM"/>
        </w:rPr>
        <w:t>) Կառավարության կողմից կսահմանվի հավաստագրի գործողության դադարեցման կարգը,</w:t>
      </w:r>
      <w:r w:rsidR="00CE273F" w:rsidRPr="00EF63C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որտեղ կնշվեն այն դեպքերը, երբ իրականացվող մշտադիտարկման արդյունքներով օրինապահ հարկ վճարողի հավաստագրի գործողությունը կդադարեցվի։</w:t>
      </w:r>
    </w:p>
    <w:p w14:paraId="5531BF11" w14:textId="77777777" w:rsidR="00C50DDD" w:rsidRDefault="007D0071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F63CC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6</w:t>
      </w:r>
      <w:r w:rsidR="00472D20" w:rsidRPr="00EF63CC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) </w:t>
      </w:r>
      <w:r w:rsidR="009511DF" w:rsidRPr="00EF63CC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o</w:t>
      </w:r>
      <w:r w:rsidR="009511DF" w:rsidRPr="00EF63CC">
        <w:rPr>
          <w:rFonts w:ascii="GHEA Grapalat" w:eastAsia="Times New Roman" w:hAnsi="GHEA Grapalat" w:cs="GHEA Grapalat"/>
          <w:sz w:val="24"/>
          <w:szCs w:val="24"/>
          <w:lang w:val="hy-AM"/>
        </w:rPr>
        <w:t>րինապահ հարկ վճարողի հավաստագիր ունեցող հարկ վճարողների մասով</w:t>
      </w:r>
      <w:r w:rsidR="009511DF" w:rsidRPr="00C50DD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հարկային մարմինը օրենսգրքով սահմանված հարկ վճարողների սպասարկման գործառույթը կիրականացնի անհատական՝ հարկային մարմնի համապատասխան պաշտոնատար անձի միջոցով,</w:t>
      </w:r>
    </w:p>
    <w:p w14:paraId="1C18001D" w14:textId="77777777" w:rsidR="00C50DDD" w:rsidRPr="00537828" w:rsidRDefault="007D0071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7</w:t>
      </w:r>
      <w:r w:rsidR="009511D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) </w:t>
      </w:r>
      <w:r w:rsidR="004C61A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համալիր հարկային ստուգումների պլանավորման ընթացքում օրինապահ հարկ </w:t>
      </w:r>
      <w:r w:rsidR="009511D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վճարողի հավաստագիր ունեցող հարկ </w:t>
      </w:r>
      <w:r w:rsidR="004C61A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վճարողների </w:t>
      </w:r>
      <w:r w:rsidR="009511D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դեպքում </w:t>
      </w:r>
      <w:r w:rsidR="004C61A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ռիսկայնությունը որոշող չափանիշները գնահատելիս </w:t>
      </w:r>
      <w:r w:rsidR="009511D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կկկիրառվի </w:t>
      </w:r>
      <w:r w:rsidR="004C61A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0,</w:t>
      </w:r>
      <w:r w:rsidR="001B01E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8</w:t>
      </w:r>
      <w:r w:rsidR="004C61A0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գործակ</w:t>
      </w:r>
      <w:r w:rsidR="001B01E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ի</w:t>
      </w:r>
      <w:r w:rsidR="009511DF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ց։</w:t>
      </w:r>
    </w:p>
    <w:p w14:paraId="6A7A0C40" w14:textId="3A6C3D45" w:rsidR="00537828" w:rsidRPr="00537828" w:rsidRDefault="00537828" w:rsidP="00537828">
      <w:pPr>
        <w:spacing w:line="360" w:lineRule="auto"/>
        <w:ind w:firstLine="426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537828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Միաժամանակ, օրինապահ հարկ վճարողների համար վարչարարության բարենպաստ պայմանների ընդլայնման շրջանակներում նախատեսվում է հավաստագիր ունեցող օրինապահ հարկ </w:t>
      </w:r>
      <w:r w:rsidRPr="009D4371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վճարողների ԱԱՀ-ի գումարների փոխհատուցման մասով </w:t>
      </w:r>
      <w:r w:rsidRPr="00B27CA9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/>
        </w:rPr>
        <w:t>սահմանել առաջնահերթություն</w:t>
      </w:r>
      <w:r w:rsidR="009D4371" w:rsidRPr="00B27CA9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/>
        </w:rPr>
        <w:t>,</w:t>
      </w:r>
      <w:r w:rsidR="009D4371" w:rsidRPr="00B27CA9">
        <w:rPr>
          <w:rFonts w:ascii="GHEA Grapalat" w:eastAsia="Times New Roman" w:hAnsi="GHEA Grapalat"/>
          <w:sz w:val="24"/>
          <w:szCs w:val="24"/>
          <w:lang w:val="hy-AM"/>
        </w:rPr>
        <w:t xml:space="preserve"> մասնավորապես՝ վերանայելու ԱԱՀ-ի փոխհատուցվող գումարները ռիսկային համարվելու չափանիշները</w:t>
      </w:r>
      <w:r w:rsidRPr="00B27CA9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/>
        </w:rPr>
        <w:t>։</w:t>
      </w:r>
    </w:p>
    <w:p w14:paraId="5BF9EF1D" w14:textId="6734DED8" w:rsidR="00C50DDD" w:rsidRDefault="00537828" w:rsidP="00537828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 xml:space="preserve"> </w:t>
      </w:r>
      <w:r w:rsidR="00C50DD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3</w:t>
      </w:r>
      <w:r w:rsidR="00C50DDD">
        <w:rPr>
          <w:rFonts w:ascii="Cambria Math" w:hAnsi="Cambria Math" w:cs="Arial"/>
          <w:color w:val="333333"/>
          <w:sz w:val="24"/>
          <w:szCs w:val="24"/>
          <w:shd w:val="clear" w:color="auto" w:fill="FFFFFF"/>
          <w:lang w:val="hy-AM"/>
        </w:rPr>
        <w:t>․</w:t>
      </w:r>
      <w:r w:rsidR="007D0071" w:rsidRPr="00C50DD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7D0071" w:rsidRPr="00C50DDD">
        <w:rPr>
          <w:rFonts w:ascii="GHEA Grapalat" w:hAnsi="GHEA Grapalat" w:cs="Sylfaen"/>
          <w:b/>
          <w:sz w:val="24"/>
          <w:szCs w:val="24"/>
          <w:lang w:val="fr-FR"/>
        </w:rPr>
        <w:t>Կարգավորման</w:t>
      </w:r>
      <w:proofErr w:type="spellEnd"/>
      <w:r w:rsidR="007D0071" w:rsidRPr="00C50DD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7D0071" w:rsidRPr="00C50DDD">
        <w:rPr>
          <w:rFonts w:ascii="GHEA Grapalat" w:hAnsi="GHEA Grapalat" w:cs="Sylfaen"/>
          <w:b/>
          <w:sz w:val="24"/>
          <w:szCs w:val="24"/>
          <w:lang w:val="fr-FR"/>
        </w:rPr>
        <w:t>առարկան</w:t>
      </w:r>
      <w:proofErr w:type="spellEnd"/>
    </w:p>
    <w:p w14:paraId="02F9070C" w14:textId="6A9DAB82" w:rsidR="00A80A2E" w:rsidRPr="00A80A2E" w:rsidRDefault="00A80A2E" w:rsidP="00A80A2E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A80A2E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Նախագծով սահմանվում են </w:t>
      </w: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կարգավոր</w:t>
      </w:r>
      <w:r w:rsidR="00B6783C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ո</w:t>
      </w: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ւմներ </w:t>
      </w:r>
      <w:r w:rsidRPr="00A80A2E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օ</w:t>
      </w: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րինապահ հարկ վճարողների համար գործունեության բարենպաստ պայմաններ</w:t>
      </w:r>
      <w:r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ին վերաբերող, վերանայվում են օրինապահ հարկ վճարողի հավաստագրի տրամադրման, այդ հարկ վճարողերի գործունեության նկատմամբ մշտադիրակման իրականացման կարգավորումները, ինչպես նաև սահմանվում են հավաստագրի գործողության դադարեցման հետ կապված դրույթներ։</w:t>
      </w:r>
    </w:p>
    <w:p w14:paraId="3DD34D5C" w14:textId="77777777" w:rsidR="00C50DDD" w:rsidRDefault="00C50DDD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  <w:t>4</w:t>
      </w:r>
      <w:r>
        <w:rPr>
          <w:rFonts w:ascii="Cambria Math" w:eastAsia="Times New Roman" w:hAnsi="Cambria Math"/>
          <w:bCs/>
          <w:iCs/>
          <w:noProof/>
          <w:color w:val="000000" w:themeColor="text1"/>
          <w:sz w:val="24"/>
          <w:szCs w:val="24"/>
          <w:lang w:val="hy-AM"/>
        </w:rPr>
        <w:t xml:space="preserve">․ </w:t>
      </w:r>
      <w:r w:rsidR="007D0071" w:rsidRPr="00C50DDD">
        <w:rPr>
          <w:rFonts w:ascii="GHEA Grapalat" w:eastAsia="Times New Roman" w:hAnsi="GHEA Grapalat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6523EE9B" w14:textId="22588FC2" w:rsidR="00C50DDD" w:rsidRPr="00377B62" w:rsidRDefault="007D0071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Նախագծի ընդունումը բխում է «Հայաստանի Հանրապետության կառավարության 2021-2026 թվականների գործունեության միջոցառումների ծրագիրը հաստատելու մասին» թիվ 1902-Լ որոշման Հավելված N 1-ի «Պետական եկամուտների կոմիտե» բաժնի 2.3 կետից</w:t>
      </w:r>
      <w:r w:rsidR="005C2D22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, որով նախատեսվում է </w:t>
      </w:r>
      <w:r w:rsidR="005C2D2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իրականացնել օրինապահ հարկ վճարողի համակարգի կատարելագործում և հարկ վճարողի օրինապահ վարքագիծը խրախուսող միջոցառումներ, որպեսզի հարկային կարգապահությունը ընկալվի ոչ միայն որպես պարտավորություն, այն նաև գնահատվի, լինի շահավետ:</w:t>
      </w:r>
    </w:p>
    <w:p w14:paraId="6C237BBA" w14:textId="77777777" w:rsidR="00C50DDD" w:rsidRPr="005C2D22" w:rsidRDefault="00C50DDD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</w:pPr>
      <w:r w:rsidRPr="005C2D22">
        <w:rPr>
          <w:rFonts w:ascii="GHEA Grapalat" w:eastAsia="Times New Roman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Pr="005C2D22">
        <w:rPr>
          <w:rFonts w:ascii="Cambria Math" w:eastAsia="Times New Roman" w:hAnsi="Cambria Math" w:cs="Cambria Math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5C2D22">
        <w:rPr>
          <w:rFonts w:ascii="GHEA Grapalat" w:eastAsia="Times New Roman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D6D4C" w:rsidRPr="00C50DDD">
        <w:rPr>
          <w:rFonts w:ascii="GHEA Grapalat" w:eastAsia="Times New Roman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Նախագծերի</w:t>
      </w:r>
      <w:r w:rsidR="009D6D4C" w:rsidRPr="005C2D22">
        <w:rPr>
          <w:rFonts w:ascii="GHEA Grapalat" w:eastAsia="Times New Roman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մշակման գործընթացում ներգրավված ինստիտուտները և անձինք</w:t>
      </w:r>
      <w:r w:rsidR="00885D9F" w:rsidRPr="005C2D22">
        <w:rPr>
          <w:rFonts w:ascii="GHEA Grapalat" w:eastAsia="Times New Roman" w:hAnsi="GHEA Grapalat" w:cs="Sylfaen"/>
          <w:b/>
          <w:noProof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3173D974" w14:textId="77777777" w:rsidR="00C50DDD" w:rsidRDefault="009D6D4C" w:rsidP="00C50DDD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Նախագիծը</w:t>
      </w:r>
      <w:r w:rsidR="007E1904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մշակվել է ՀՀ պետական եկամուտների կոմիտե</w:t>
      </w:r>
      <w:r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ի կողմից</w:t>
      </w:r>
      <w:r w:rsidR="00666B58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:</w:t>
      </w:r>
    </w:p>
    <w:p w14:paraId="43502F00" w14:textId="77777777" w:rsidR="00A80A2E" w:rsidRDefault="00A80A2E" w:rsidP="00A80A2E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="007D0071" w:rsidRPr="00C50DDD">
        <w:rPr>
          <w:rFonts w:ascii="GHEA Grapalat" w:hAnsi="GHEA Grapalat"/>
          <w:b/>
          <w:sz w:val="24"/>
          <w:szCs w:val="24"/>
          <w:lang w:val="hy-AM"/>
        </w:rPr>
        <w:t>. 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0AE207B3" w14:textId="1CDFB3ED" w:rsidR="00A80A2E" w:rsidRDefault="007D0071" w:rsidP="00A80A2E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/>
          <w:bCs/>
          <w:iCs/>
          <w:noProof/>
          <w:color w:val="000000" w:themeColor="text1"/>
          <w:sz w:val="24"/>
          <w:szCs w:val="24"/>
          <w:lang w:val="hy-AM"/>
        </w:rPr>
      </w:pPr>
      <w:r w:rsidRPr="00C50DDD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«Հայաստանի Հանրապետության հարկային օրենսգրքում լրացումներ </w:t>
      </w:r>
      <w:r w:rsidR="009B0FA1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և փոփոխություններ </w:t>
      </w:r>
      <w:r w:rsidRPr="00C50DDD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կատարելու մասին» Հայաստանի Հանրապետության </w:t>
      </w:r>
      <w:r w:rsidRPr="00C50DDD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C50DDD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50DDD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C50DDD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</w:t>
      </w:r>
      <w:r w:rsidRPr="00C50DDD">
        <w:rPr>
          <w:rFonts w:ascii="GHEA Grapalat" w:hAnsi="GHEA Grapalat" w:cs="GHEA Grapalat"/>
          <w:sz w:val="24"/>
          <w:szCs w:val="24"/>
          <w:lang w:val="hy-AM"/>
        </w:rPr>
        <w:t xml:space="preserve">ընդունման կապակցությամբ </w:t>
      </w:r>
      <w:r w:rsidRPr="00C50D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լրացուցիչ ֆինանսական միջոցների անհրաժեշտություն, պետական բյուջեի եկամուտներում և ծախսերում էական փոփոխություններ </w:t>
      </w:r>
      <w:r w:rsidRPr="00C50DDD">
        <w:rPr>
          <w:rFonts w:ascii="GHEA Grapalat" w:hAnsi="GHEA Grapalat" w:cs="GHEA Grapalat"/>
          <w:sz w:val="24"/>
          <w:szCs w:val="24"/>
          <w:lang w:val="hy-AM"/>
        </w:rPr>
        <w:t>չի նախատեսվում։</w:t>
      </w:r>
    </w:p>
    <w:p w14:paraId="5708496C" w14:textId="42965AD4" w:rsidR="00897962" w:rsidRPr="00C50DDD" w:rsidRDefault="00A80A2E" w:rsidP="005C2D22">
      <w:pPr>
        <w:tabs>
          <w:tab w:val="left" w:pos="-1530"/>
          <w:tab w:val="left" w:pos="-1440"/>
          <w:tab w:val="left" w:pos="7371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6D0B2A">
        <w:rPr>
          <w:rFonts w:ascii="GHEA Grapalat" w:eastAsia="Times New Roman" w:hAnsi="GHEA Grapalat"/>
          <w:b/>
          <w:iCs/>
          <w:noProof/>
          <w:color w:val="000000" w:themeColor="text1"/>
          <w:sz w:val="24"/>
          <w:szCs w:val="24"/>
          <w:lang w:val="hy-AM"/>
        </w:rPr>
        <w:lastRenderedPageBreak/>
        <w:t>7</w:t>
      </w:r>
      <w:r w:rsidRPr="006D0B2A">
        <w:rPr>
          <w:rFonts w:ascii="Cambria Math" w:eastAsia="Times New Roman" w:hAnsi="Cambria Math"/>
          <w:b/>
          <w:iCs/>
          <w:noProof/>
          <w:color w:val="000000" w:themeColor="text1"/>
          <w:sz w:val="24"/>
          <w:szCs w:val="24"/>
          <w:lang w:val="hy-AM"/>
        </w:rPr>
        <w:t xml:space="preserve">․ </w:t>
      </w:r>
      <w:r w:rsidR="007D0071" w:rsidRPr="006D0B2A">
        <w:rPr>
          <w:rFonts w:ascii="GHEA Grapalat" w:eastAsia="Times New Roman" w:hAnsi="GHEA Grapalat" w:cs="Sylfaen"/>
          <w:b/>
          <w:iCs/>
          <w:noProof/>
          <w:color w:val="000000" w:themeColor="text1"/>
          <w:sz w:val="24"/>
          <w:szCs w:val="24"/>
          <w:lang w:val="hy-AM"/>
        </w:rPr>
        <w:t>Իրավական</w:t>
      </w:r>
      <w:r w:rsidR="007D0071" w:rsidRPr="00A80A2E">
        <w:rPr>
          <w:rFonts w:ascii="GHEA Grapalat" w:eastAsia="Times New Roman" w:hAnsi="GHEA Grapalat" w:cs="Sylfaen"/>
          <w:b/>
          <w:bCs/>
          <w:iCs/>
          <w:noProof/>
          <w:color w:val="000000" w:themeColor="text1"/>
          <w:sz w:val="24"/>
          <w:szCs w:val="24"/>
          <w:lang w:val="hy-AM"/>
        </w:rPr>
        <w:t xml:space="preserve"> ակտի ընդունման արդյունքում ակնկալվող արդյունքը.</w:t>
      </w:r>
      <w:r w:rsidR="007D0071" w:rsidRPr="00A80A2E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97962" w:rsidRPr="00A80A2E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Նախագծով նախատեսվող իրավակարգավորումների արդյունքում ակնկալվում է ներդնել օրինապահ հարկ վճարողների խրախուսման առավել գրավիչ համակարգ՝ ապահովելով hարկ վճարողների կողմից հարկային պարտավորությունների կամավորությամբ կատարելու սկզբունքի արմատավորում </w:t>
      </w:r>
      <w:r w:rsidR="00DB5C11" w:rsidRPr="00A80A2E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և</w:t>
      </w:r>
      <w:r w:rsidR="00897962" w:rsidRPr="00A80A2E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հարկային մարմին-հարկ վճարող գործընկերային հարաբերությունների առավել ամրապնդում:</w:t>
      </w:r>
      <w:r w:rsidR="005C2D22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</w:t>
      </w:r>
      <w:r w:rsidR="0089796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Միաժամանակ՝ այն կխթանի հարկ վճարողների ինքնագնահատման համակարգի զարգացմանը՝ ինչն էլ կհանգեցնի հարկային </w:t>
      </w:r>
      <w:r w:rsidR="00DB5C11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և</w:t>
      </w:r>
      <w:r w:rsidR="0089796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մաքսային կարգապահության, ինչպես նա</w:t>
      </w:r>
      <w:r w:rsidR="00DB5C11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և</w:t>
      </w:r>
      <w:r w:rsidR="0089796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հարկային </w:t>
      </w:r>
      <w:r w:rsidR="00DB5C11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և</w:t>
      </w:r>
      <w:r w:rsidR="0089796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մաքսային մարմինների գործունեության թափանցիկության բարձրացմանը, հարկային մարմնի հանդեպ վստահության մթնոլորտի ձ</w:t>
      </w:r>
      <w:r w:rsidR="00DB5C11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և</w:t>
      </w:r>
      <w:r w:rsidR="0089796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ավորմանը՝ նպաստելով տնտեսավարող սուբյեկտների կողմից հարկային պարտավորությունների պատշաճ կատարմանը </w:t>
      </w:r>
      <w:r w:rsidR="00DB5C11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և</w:t>
      </w:r>
      <w:r w:rsidR="0089796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հարկային եկամուտների ապահովմանը, ինչպես նա</w:t>
      </w:r>
      <w:r w:rsidR="00DB5C11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և</w:t>
      </w:r>
      <w:r w:rsidR="00897962" w:rsidRPr="00C50DDD">
        <w:rPr>
          <w:rFonts w:ascii="GHEA Grapalat" w:eastAsia="Times New Roman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 xml:space="preserve"> օրինապահ հարկ վճարողների ցանկի ընդլայնմանը:</w:t>
      </w:r>
    </w:p>
    <w:sectPr w:rsidR="00897962" w:rsidRPr="00C50DDD" w:rsidSect="00EE5D5F">
      <w:footerReference w:type="default" r:id="rId8"/>
      <w:pgSz w:w="11907" w:h="16839" w:code="9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28E4" w14:textId="77777777" w:rsidR="00E54377" w:rsidRDefault="00E54377" w:rsidP="002132B1">
      <w:pPr>
        <w:spacing w:after="0" w:line="240" w:lineRule="auto"/>
      </w:pPr>
      <w:r>
        <w:separator/>
      </w:r>
    </w:p>
  </w:endnote>
  <w:endnote w:type="continuationSeparator" w:id="0">
    <w:p w14:paraId="45F8E206" w14:textId="77777777" w:rsidR="00E54377" w:rsidRDefault="00E54377" w:rsidP="0021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542286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14:paraId="743A7836" w14:textId="2EA86C12" w:rsidR="000752DC" w:rsidRPr="000752DC" w:rsidRDefault="000752DC">
        <w:pPr>
          <w:pStyle w:val="Footer"/>
          <w:jc w:val="right"/>
          <w:rPr>
            <w:rFonts w:ascii="GHEA Grapalat" w:hAnsi="GHEA Grapalat"/>
          </w:rPr>
        </w:pPr>
        <w:r w:rsidRPr="000752DC">
          <w:rPr>
            <w:rFonts w:ascii="GHEA Grapalat" w:hAnsi="GHEA Grapalat"/>
          </w:rPr>
          <w:fldChar w:fldCharType="begin"/>
        </w:r>
        <w:r w:rsidRPr="000752DC">
          <w:rPr>
            <w:rFonts w:ascii="GHEA Grapalat" w:hAnsi="GHEA Grapalat"/>
          </w:rPr>
          <w:instrText xml:space="preserve"> PAGE   \* MERGEFORMAT </w:instrText>
        </w:r>
        <w:r w:rsidRPr="000752DC">
          <w:rPr>
            <w:rFonts w:ascii="GHEA Grapalat" w:hAnsi="GHEA Grapalat"/>
          </w:rPr>
          <w:fldChar w:fldCharType="separate"/>
        </w:r>
        <w:r w:rsidR="00EF63CC">
          <w:rPr>
            <w:rFonts w:ascii="GHEA Grapalat" w:hAnsi="GHEA Grapalat"/>
            <w:noProof/>
          </w:rPr>
          <w:t>4</w:t>
        </w:r>
        <w:r w:rsidRPr="000752DC">
          <w:rPr>
            <w:rFonts w:ascii="GHEA Grapalat" w:hAnsi="GHEA Grapalat"/>
            <w:noProof/>
          </w:rPr>
          <w:fldChar w:fldCharType="end"/>
        </w:r>
      </w:p>
    </w:sdtContent>
  </w:sdt>
  <w:p w14:paraId="02229E24" w14:textId="77777777" w:rsidR="000752DC" w:rsidRDefault="00075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E0E25" w14:textId="77777777" w:rsidR="00E54377" w:rsidRDefault="00E54377" w:rsidP="002132B1">
      <w:pPr>
        <w:spacing w:after="0" w:line="240" w:lineRule="auto"/>
      </w:pPr>
      <w:r>
        <w:separator/>
      </w:r>
    </w:p>
  </w:footnote>
  <w:footnote w:type="continuationSeparator" w:id="0">
    <w:p w14:paraId="6FAB5D81" w14:textId="77777777" w:rsidR="00E54377" w:rsidRDefault="00E54377" w:rsidP="0021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7F4"/>
    <w:multiLevelType w:val="hybridMultilevel"/>
    <w:tmpl w:val="EFDECCE6"/>
    <w:lvl w:ilvl="0" w:tplc="281ABF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D5F"/>
    <w:multiLevelType w:val="hybridMultilevel"/>
    <w:tmpl w:val="61463EEE"/>
    <w:lvl w:ilvl="0" w:tplc="2670F6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3E5665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8166C24"/>
    <w:multiLevelType w:val="hybridMultilevel"/>
    <w:tmpl w:val="A58C54E0"/>
    <w:lvl w:ilvl="0" w:tplc="2264C5BE">
      <w:start w:val="1"/>
      <w:numFmt w:val="decimal"/>
      <w:suff w:val="space"/>
      <w:lvlText w:val="%1)"/>
      <w:lvlJc w:val="left"/>
      <w:pPr>
        <w:ind w:left="248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0A86664F"/>
    <w:multiLevelType w:val="hybridMultilevel"/>
    <w:tmpl w:val="CB447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F2ED9"/>
    <w:multiLevelType w:val="hybridMultilevel"/>
    <w:tmpl w:val="297011BA"/>
    <w:lvl w:ilvl="0" w:tplc="697C343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3C810D9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B42733D"/>
    <w:multiLevelType w:val="hybridMultilevel"/>
    <w:tmpl w:val="B070270E"/>
    <w:lvl w:ilvl="0" w:tplc="367810F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1A5CFB"/>
    <w:multiLevelType w:val="hybridMultilevel"/>
    <w:tmpl w:val="A53A5182"/>
    <w:lvl w:ilvl="0" w:tplc="6562DB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E2E28"/>
    <w:multiLevelType w:val="hybridMultilevel"/>
    <w:tmpl w:val="F0021E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F309D7"/>
    <w:multiLevelType w:val="hybridMultilevel"/>
    <w:tmpl w:val="5C26AB58"/>
    <w:lvl w:ilvl="0" w:tplc="94923396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705A3C"/>
    <w:multiLevelType w:val="hybridMultilevel"/>
    <w:tmpl w:val="922C1670"/>
    <w:lvl w:ilvl="0" w:tplc="44468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385F424C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9C03E8B"/>
    <w:multiLevelType w:val="hybridMultilevel"/>
    <w:tmpl w:val="82EE79F8"/>
    <w:lvl w:ilvl="0" w:tplc="DB0618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D45C96"/>
    <w:multiLevelType w:val="hybridMultilevel"/>
    <w:tmpl w:val="2500C9F0"/>
    <w:lvl w:ilvl="0" w:tplc="BE30B2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01151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5F734A7"/>
    <w:multiLevelType w:val="hybridMultilevel"/>
    <w:tmpl w:val="6614882C"/>
    <w:lvl w:ilvl="0" w:tplc="9CACE8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8D2577"/>
    <w:multiLevelType w:val="hybridMultilevel"/>
    <w:tmpl w:val="1B62C3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78824B5"/>
    <w:multiLevelType w:val="hybridMultilevel"/>
    <w:tmpl w:val="F5FEC56A"/>
    <w:lvl w:ilvl="0" w:tplc="DEE8F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A8626E"/>
    <w:multiLevelType w:val="hybridMultilevel"/>
    <w:tmpl w:val="F5EC04CE"/>
    <w:lvl w:ilvl="0" w:tplc="A046201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B850A60"/>
    <w:multiLevelType w:val="hybridMultilevel"/>
    <w:tmpl w:val="38F0C24C"/>
    <w:lvl w:ilvl="0" w:tplc="532C2C0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FF5A6A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6D356617"/>
    <w:multiLevelType w:val="hybridMultilevel"/>
    <w:tmpl w:val="EC562AF6"/>
    <w:lvl w:ilvl="0" w:tplc="91ECB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101D5"/>
    <w:multiLevelType w:val="hybridMultilevel"/>
    <w:tmpl w:val="297011BA"/>
    <w:lvl w:ilvl="0" w:tplc="697C343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7AD51777"/>
    <w:multiLevelType w:val="hybridMultilevel"/>
    <w:tmpl w:val="922C1670"/>
    <w:lvl w:ilvl="0" w:tplc="44468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7D7F3ECC"/>
    <w:multiLevelType w:val="hybridMultilevel"/>
    <w:tmpl w:val="D94E0FE4"/>
    <w:lvl w:ilvl="0" w:tplc="258E0A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24B0"/>
    <w:multiLevelType w:val="hybridMultilevel"/>
    <w:tmpl w:val="9ABCA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8"/>
  </w:num>
  <w:num w:numId="5">
    <w:abstractNumId w:val="11"/>
  </w:num>
  <w:num w:numId="6">
    <w:abstractNumId w:val="26"/>
  </w:num>
  <w:num w:numId="7">
    <w:abstractNumId w:val="23"/>
  </w:num>
  <w:num w:numId="8">
    <w:abstractNumId w:val="22"/>
  </w:num>
  <w:num w:numId="9">
    <w:abstractNumId w:val="19"/>
  </w:num>
  <w:num w:numId="10">
    <w:abstractNumId w:val="2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4"/>
  </w:num>
  <w:num w:numId="14">
    <w:abstractNumId w:val="10"/>
  </w:num>
  <w:num w:numId="15">
    <w:abstractNumId w:val="12"/>
  </w:num>
  <w:num w:numId="16">
    <w:abstractNumId w:val="15"/>
  </w:num>
  <w:num w:numId="17">
    <w:abstractNumId w:val="0"/>
  </w:num>
  <w:num w:numId="18">
    <w:abstractNumId w:val="21"/>
  </w:num>
  <w:num w:numId="19">
    <w:abstractNumId w:val="6"/>
  </w:num>
  <w:num w:numId="20">
    <w:abstractNumId w:val="3"/>
  </w:num>
  <w:num w:numId="21">
    <w:abstractNumId w:val="14"/>
  </w:num>
  <w:num w:numId="22">
    <w:abstractNumId w:val="9"/>
  </w:num>
  <w:num w:numId="23">
    <w:abstractNumId w:val="20"/>
  </w:num>
  <w:num w:numId="24">
    <w:abstractNumId w:val="17"/>
  </w:num>
  <w:num w:numId="25">
    <w:abstractNumId w:val="7"/>
  </w:num>
  <w:num w:numId="26">
    <w:abstractNumId w:val="1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1"/>
    <w:rsid w:val="000003B0"/>
    <w:rsid w:val="00001966"/>
    <w:rsid w:val="00010A15"/>
    <w:rsid w:val="00013970"/>
    <w:rsid w:val="00013B3C"/>
    <w:rsid w:val="00024A1F"/>
    <w:rsid w:val="00024CD0"/>
    <w:rsid w:val="00025481"/>
    <w:rsid w:val="00026FCC"/>
    <w:rsid w:val="000366CE"/>
    <w:rsid w:val="00040421"/>
    <w:rsid w:val="0005042F"/>
    <w:rsid w:val="000540F9"/>
    <w:rsid w:val="000548E0"/>
    <w:rsid w:val="00060850"/>
    <w:rsid w:val="00061C52"/>
    <w:rsid w:val="00063DD3"/>
    <w:rsid w:val="00066512"/>
    <w:rsid w:val="00066DEC"/>
    <w:rsid w:val="0007004C"/>
    <w:rsid w:val="00071FF7"/>
    <w:rsid w:val="000752DC"/>
    <w:rsid w:val="00085298"/>
    <w:rsid w:val="000902B5"/>
    <w:rsid w:val="00091804"/>
    <w:rsid w:val="000942B8"/>
    <w:rsid w:val="00095FD4"/>
    <w:rsid w:val="000A183B"/>
    <w:rsid w:val="000A6DA7"/>
    <w:rsid w:val="000A6E3D"/>
    <w:rsid w:val="000B01C8"/>
    <w:rsid w:val="000B0894"/>
    <w:rsid w:val="000B5EEB"/>
    <w:rsid w:val="000C0A71"/>
    <w:rsid w:val="000C0D7F"/>
    <w:rsid w:val="000D00AC"/>
    <w:rsid w:val="000D16EA"/>
    <w:rsid w:val="000D1BA0"/>
    <w:rsid w:val="000D1D5A"/>
    <w:rsid w:val="000E50AE"/>
    <w:rsid w:val="000F0E38"/>
    <w:rsid w:val="000F1743"/>
    <w:rsid w:val="000F298E"/>
    <w:rsid w:val="000F6002"/>
    <w:rsid w:val="00105951"/>
    <w:rsid w:val="0011196E"/>
    <w:rsid w:val="00115CA1"/>
    <w:rsid w:val="001160E4"/>
    <w:rsid w:val="0012446B"/>
    <w:rsid w:val="00125437"/>
    <w:rsid w:val="001340C3"/>
    <w:rsid w:val="00144225"/>
    <w:rsid w:val="001450A0"/>
    <w:rsid w:val="00150FF7"/>
    <w:rsid w:val="0015179A"/>
    <w:rsid w:val="00152E5F"/>
    <w:rsid w:val="00154553"/>
    <w:rsid w:val="001552A8"/>
    <w:rsid w:val="00155F12"/>
    <w:rsid w:val="00160E2E"/>
    <w:rsid w:val="001630CF"/>
    <w:rsid w:val="00180420"/>
    <w:rsid w:val="001808C5"/>
    <w:rsid w:val="001826E7"/>
    <w:rsid w:val="001909D8"/>
    <w:rsid w:val="00191CDA"/>
    <w:rsid w:val="00195929"/>
    <w:rsid w:val="001B01E2"/>
    <w:rsid w:val="001B52B6"/>
    <w:rsid w:val="001B6BBC"/>
    <w:rsid w:val="001D028A"/>
    <w:rsid w:val="001D05C1"/>
    <w:rsid w:val="001D3AAA"/>
    <w:rsid w:val="001D52BF"/>
    <w:rsid w:val="001D709B"/>
    <w:rsid w:val="001E27C6"/>
    <w:rsid w:val="001E43C6"/>
    <w:rsid w:val="001F29A2"/>
    <w:rsid w:val="00203AFA"/>
    <w:rsid w:val="00205A23"/>
    <w:rsid w:val="00211D64"/>
    <w:rsid w:val="002132B1"/>
    <w:rsid w:val="00220182"/>
    <w:rsid w:val="00220FA6"/>
    <w:rsid w:val="002246A7"/>
    <w:rsid w:val="00226914"/>
    <w:rsid w:val="00230AD4"/>
    <w:rsid w:val="0023539E"/>
    <w:rsid w:val="00235CD1"/>
    <w:rsid w:val="002377A5"/>
    <w:rsid w:val="0025080D"/>
    <w:rsid w:val="00251E61"/>
    <w:rsid w:val="00264E44"/>
    <w:rsid w:val="002704F6"/>
    <w:rsid w:val="00271A8E"/>
    <w:rsid w:val="00276DBE"/>
    <w:rsid w:val="00281A93"/>
    <w:rsid w:val="002821FF"/>
    <w:rsid w:val="002871A8"/>
    <w:rsid w:val="0029661B"/>
    <w:rsid w:val="002A1B82"/>
    <w:rsid w:val="002A4863"/>
    <w:rsid w:val="002A65ED"/>
    <w:rsid w:val="002B6AF9"/>
    <w:rsid w:val="002C07F0"/>
    <w:rsid w:val="002C267F"/>
    <w:rsid w:val="002C6BD2"/>
    <w:rsid w:val="002D2136"/>
    <w:rsid w:val="002D402E"/>
    <w:rsid w:val="002E3D80"/>
    <w:rsid w:val="002F37AA"/>
    <w:rsid w:val="002F3EAA"/>
    <w:rsid w:val="002F5DB2"/>
    <w:rsid w:val="002F7335"/>
    <w:rsid w:val="003019FA"/>
    <w:rsid w:val="00305CF6"/>
    <w:rsid w:val="003165CE"/>
    <w:rsid w:val="003166CB"/>
    <w:rsid w:val="003243C2"/>
    <w:rsid w:val="00325A81"/>
    <w:rsid w:val="00325FBC"/>
    <w:rsid w:val="00326FC9"/>
    <w:rsid w:val="00330284"/>
    <w:rsid w:val="00332A00"/>
    <w:rsid w:val="0033341D"/>
    <w:rsid w:val="00342666"/>
    <w:rsid w:val="00342FC8"/>
    <w:rsid w:val="003433CF"/>
    <w:rsid w:val="00345B6F"/>
    <w:rsid w:val="00354C41"/>
    <w:rsid w:val="00356E46"/>
    <w:rsid w:val="00360063"/>
    <w:rsid w:val="00371831"/>
    <w:rsid w:val="00373A4E"/>
    <w:rsid w:val="00374CDB"/>
    <w:rsid w:val="00377B62"/>
    <w:rsid w:val="00380770"/>
    <w:rsid w:val="00383927"/>
    <w:rsid w:val="003907E4"/>
    <w:rsid w:val="00390EE0"/>
    <w:rsid w:val="00392B00"/>
    <w:rsid w:val="00394C5A"/>
    <w:rsid w:val="00395CC5"/>
    <w:rsid w:val="0039647D"/>
    <w:rsid w:val="003A2464"/>
    <w:rsid w:val="003A2FDF"/>
    <w:rsid w:val="003A4074"/>
    <w:rsid w:val="003A549F"/>
    <w:rsid w:val="003A565B"/>
    <w:rsid w:val="003A7266"/>
    <w:rsid w:val="003C1EE0"/>
    <w:rsid w:val="003C4FBC"/>
    <w:rsid w:val="003C7312"/>
    <w:rsid w:val="003E31E5"/>
    <w:rsid w:val="003E3498"/>
    <w:rsid w:val="003F2D43"/>
    <w:rsid w:val="00401FEA"/>
    <w:rsid w:val="00404704"/>
    <w:rsid w:val="00413B0E"/>
    <w:rsid w:val="00414F29"/>
    <w:rsid w:val="00415873"/>
    <w:rsid w:val="0041678A"/>
    <w:rsid w:val="00420F0B"/>
    <w:rsid w:val="00423E0E"/>
    <w:rsid w:val="00426087"/>
    <w:rsid w:val="00440364"/>
    <w:rsid w:val="00445494"/>
    <w:rsid w:val="00446915"/>
    <w:rsid w:val="00453A26"/>
    <w:rsid w:val="0046023D"/>
    <w:rsid w:val="00472D20"/>
    <w:rsid w:val="00473BFA"/>
    <w:rsid w:val="00492327"/>
    <w:rsid w:val="00493F25"/>
    <w:rsid w:val="004940BC"/>
    <w:rsid w:val="00494884"/>
    <w:rsid w:val="004A2075"/>
    <w:rsid w:val="004A3EB4"/>
    <w:rsid w:val="004A7A19"/>
    <w:rsid w:val="004B185F"/>
    <w:rsid w:val="004C0349"/>
    <w:rsid w:val="004C333C"/>
    <w:rsid w:val="004C61A0"/>
    <w:rsid w:val="004C6640"/>
    <w:rsid w:val="004D12DF"/>
    <w:rsid w:val="004D41E8"/>
    <w:rsid w:val="004D4B95"/>
    <w:rsid w:val="004E06E9"/>
    <w:rsid w:val="004E4123"/>
    <w:rsid w:val="004F41C6"/>
    <w:rsid w:val="004F4EB7"/>
    <w:rsid w:val="00500600"/>
    <w:rsid w:val="00503E2E"/>
    <w:rsid w:val="0051304F"/>
    <w:rsid w:val="00516C42"/>
    <w:rsid w:val="00524A18"/>
    <w:rsid w:val="005271D4"/>
    <w:rsid w:val="00535A26"/>
    <w:rsid w:val="00536CFA"/>
    <w:rsid w:val="00537828"/>
    <w:rsid w:val="00545557"/>
    <w:rsid w:val="00546A2F"/>
    <w:rsid w:val="00550417"/>
    <w:rsid w:val="00550F5A"/>
    <w:rsid w:val="005513F8"/>
    <w:rsid w:val="00556BA3"/>
    <w:rsid w:val="00560195"/>
    <w:rsid w:val="00560A89"/>
    <w:rsid w:val="0056327E"/>
    <w:rsid w:val="005642D1"/>
    <w:rsid w:val="0057422D"/>
    <w:rsid w:val="0057681B"/>
    <w:rsid w:val="00576A19"/>
    <w:rsid w:val="005777C3"/>
    <w:rsid w:val="00583291"/>
    <w:rsid w:val="0058486A"/>
    <w:rsid w:val="005906BD"/>
    <w:rsid w:val="0059176A"/>
    <w:rsid w:val="00592FE1"/>
    <w:rsid w:val="005A04A7"/>
    <w:rsid w:val="005A1434"/>
    <w:rsid w:val="005A2A08"/>
    <w:rsid w:val="005A303B"/>
    <w:rsid w:val="005A4093"/>
    <w:rsid w:val="005A4BC2"/>
    <w:rsid w:val="005A6BEE"/>
    <w:rsid w:val="005A6F39"/>
    <w:rsid w:val="005B7B12"/>
    <w:rsid w:val="005C2D22"/>
    <w:rsid w:val="005C6F59"/>
    <w:rsid w:val="005D122C"/>
    <w:rsid w:val="005D16DB"/>
    <w:rsid w:val="005D2EF4"/>
    <w:rsid w:val="005D4CBF"/>
    <w:rsid w:val="005D5605"/>
    <w:rsid w:val="005D5D43"/>
    <w:rsid w:val="005E565C"/>
    <w:rsid w:val="005F7C92"/>
    <w:rsid w:val="00601969"/>
    <w:rsid w:val="00604EBD"/>
    <w:rsid w:val="00607DA8"/>
    <w:rsid w:val="00614B0B"/>
    <w:rsid w:val="006167FB"/>
    <w:rsid w:val="00621F2C"/>
    <w:rsid w:val="00625991"/>
    <w:rsid w:val="006304CC"/>
    <w:rsid w:val="00631B1C"/>
    <w:rsid w:val="0063288D"/>
    <w:rsid w:val="006365DE"/>
    <w:rsid w:val="0064243C"/>
    <w:rsid w:val="006430AB"/>
    <w:rsid w:val="00647AB0"/>
    <w:rsid w:val="00652CB6"/>
    <w:rsid w:val="00654F18"/>
    <w:rsid w:val="006649C6"/>
    <w:rsid w:val="00666B58"/>
    <w:rsid w:val="00671603"/>
    <w:rsid w:val="006755EF"/>
    <w:rsid w:val="00676134"/>
    <w:rsid w:val="00677779"/>
    <w:rsid w:val="006814EF"/>
    <w:rsid w:val="00681F39"/>
    <w:rsid w:val="006927C8"/>
    <w:rsid w:val="00693176"/>
    <w:rsid w:val="006B5D73"/>
    <w:rsid w:val="006C13BD"/>
    <w:rsid w:val="006C20C2"/>
    <w:rsid w:val="006D0087"/>
    <w:rsid w:val="006D0B2A"/>
    <w:rsid w:val="006D1CD2"/>
    <w:rsid w:val="006E0DCF"/>
    <w:rsid w:val="006E58FD"/>
    <w:rsid w:val="006E7AE1"/>
    <w:rsid w:val="007010E8"/>
    <w:rsid w:val="007050BC"/>
    <w:rsid w:val="007159C9"/>
    <w:rsid w:val="00716467"/>
    <w:rsid w:val="00720675"/>
    <w:rsid w:val="0072110C"/>
    <w:rsid w:val="00726EF1"/>
    <w:rsid w:val="0072735C"/>
    <w:rsid w:val="00737B2C"/>
    <w:rsid w:val="00742E8B"/>
    <w:rsid w:val="00744E47"/>
    <w:rsid w:val="007455F4"/>
    <w:rsid w:val="00745BE4"/>
    <w:rsid w:val="00746572"/>
    <w:rsid w:val="00752D57"/>
    <w:rsid w:val="007616F9"/>
    <w:rsid w:val="0076230B"/>
    <w:rsid w:val="00765A08"/>
    <w:rsid w:val="007674AD"/>
    <w:rsid w:val="00773C78"/>
    <w:rsid w:val="00775C20"/>
    <w:rsid w:val="007826F1"/>
    <w:rsid w:val="007866BE"/>
    <w:rsid w:val="0079128E"/>
    <w:rsid w:val="00792868"/>
    <w:rsid w:val="00794C74"/>
    <w:rsid w:val="007A0C97"/>
    <w:rsid w:val="007A231C"/>
    <w:rsid w:val="007B0F62"/>
    <w:rsid w:val="007C1AAD"/>
    <w:rsid w:val="007D0071"/>
    <w:rsid w:val="007E1904"/>
    <w:rsid w:val="007E4084"/>
    <w:rsid w:val="007F117A"/>
    <w:rsid w:val="007F2ACE"/>
    <w:rsid w:val="007F320D"/>
    <w:rsid w:val="008054D7"/>
    <w:rsid w:val="008127AE"/>
    <w:rsid w:val="00822B9F"/>
    <w:rsid w:val="008233D7"/>
    <w:rsid w:val="0082623F"/>
    <w:rsid w:val="00830C61"/>
    <w:rsid w:val="00832BDF"/>
    <w:rsid w:val="00833977"/>
    <w:rsid w:val="00835984"/>
    <w:rsid w:val="0084181E"/>
    <w:rsid w:val="00846038"/>
    <w:rsid w:val="00846B44"/>
    <w:rsid w:val="008473E2"/>
    <w:rsid w:val="00847AC0"/>
    <w:rsid w:val="008508A2"/>
    <w:rsid w:val="0085226B"/>
    <w:rsid w:val="008631F2"/>
    <w:rsid w:val="00866F82"/>
    <w:rsid w:val="0087318C"/>
    <w:rsid w:val="008738C2"/>
    <w:rsid w:val="008757F6"/>
    <w:rsid w:val="00885D9F"/>
    <w:rsid w:val="008872DF"/>
    <w:rsid w:val="00890691"/>
    <w:rsid w:val="00892C41"/>
    <w:rsid w:val="00897962"/>
    <w:rsid w:val="008A0A15"/>
    <w:rsid w:val="008A2352"/>
    <w:rsid w:val="008A2EA2"/>
    <w:rsid w:val="008A4C37"/>
    <w:rsid w:val="008B0E62"/>
    <w:rsid w:val="008B6627"/>
    <w:rsid w:val="008C2323"/>
    <w:rsid w:val="008D046C"/>
    <w:rsid w:val="008D6917"/>
    <w:rsid w:val="008D7662"/>
    <w:rsid w:val="008D7F87"/>
    <w:rsid w:val="008E3AC7"/>
    <w:rsid w:val="008F2C74"/>
    <w:rsid w:val="009000A4"/>
    <w:rsid w:val="00903211"/>
    <w:rsid w:val="00903837"/>
    <w:rsid w:val="00904342"/>
    <w:rsid w:val="00915E95"/>
    <w:rsid w:val="0092372B"/>
    <w:rsid w:val="0092403D"/>
    <w:rsid w:val="00926D12"/>
    <w:rsid w:val="009300FC"/>
    <w:rsid w:val="009336DC"/>
    <w:rsid w:val="00947561"/>
    <w:rsid w:val="009511DF"/>
    <w:rsid w:val="00951568"/>
    <w:rsid w:val="0095268D"/>
    <w:rsid w:val="00954111"/>
    <w:rsid w:val="00955A6D"/>
    <w:rsid w:val="00957CDC"/>
    <w:rsid w:val="0096182A"/>
    <w:rsid w:val="00961BE6"/>
    <w:rsid w:val="009644C8"/>
    <w:rsid w:val="00964649"/>
    <w:rsid w:val="0096679B"/>
    <w:rsid w:val="00972784"/>
    <w:rsid w:val="00974116"/>
    <w:rsid w:val="009760E1"/>
    <w:rsid w:val="00980810"/>
    <w:rsid w:val="00983519"/>
    <w:rsid w:val="00984D1B"/>
    <w:rsid w:val="00991960"/>
    <w:rsid w:val="009A3B24"/>
    <w:rsid w:val="009A5376"/>
    <w:rsid w:val="009A76A0"/>
    <w:rsid w:val="009B0FA1"/>
    <w:rsid w:val="009C0B8D"/>
    <w:rsid w:val="009C407B"/>
    <w:rsid w:val="009D119A"/>
    <w:rsid w:val="009D2BD5"/>
    <w:rsid w:val="009D31B9"/>
    <w:rsid w:val="009D4371"/>
    <w:rsid w:val="009D4ED6"/>
    <w:rsid w:val="009D6D4C"/>
    <w:rsid w:val="009E0F60"/>
    <w:rsid w:val="009E244C"/>
    <w:rsid w:val="009E321B"/>
    <w:rsid w:val="009F29A9"/>
    <w:rsid w:val="009F5EC2"/>
    <w:rsid w:val="00A00267"/>
    <w:rsid w:val="00A0293F"/>
    <w:rsid w:val="00A0299E"/>
    <w:rsid w:val="00A03E5E"/>
    <w:rsid w:val="00A067D6"/>
    <w:rsid w:val="00A10126"/>
    <w:rsid w:val="00A112BE"/>
    <w:rsid w:val="00A11C3F"/>
    <w:rsid w:val="00A2487B"/>
    <w:rsid w:val="00A37885"/>
    <w:rsid w:val="00A42A8A"/>
    <w:rsid w:val="00A42DA5"/>
    <w:rsid w:val="00A60AD5"/>
    <w:rsid w:val="00A72C84"/>
    <w:rsid w:val="00A76656"/>
    <w:rsid w:val="00A76A37"/>
    <w:rsid w:val="00A8043B"/>
    <w:rsid w:val="00A80A2E"/>
    <w:rsid w:val="00A9243B"/>
    <w:rsid w:val="00A925E9"/>
    <w:rsid w:val="00AA3FE6"/>
    <w:rsid w:val="00AB4B4F"/>
    <w:rsid w:val="00AC2E02"/>
    <w:rsid w:val="00AC46DA"/>
    <w:rsid w:val="00AC5577"/>
    <w:rsid w:val="00AD7805"/>
    <w:rsid w:val="00AD7D44"/>
    <w:rsid w:val="00AE53E8"/>
    <w:rsid w:val="00AE5AAB"/>
    <w:rsid w:val="00AF4867"/>
    <w:rsid w:val="00AF6368"/>
    <w:rsid w:val="00B0037C"/>
    <w:rsid w:val="00B04DB3"/>
    <w:rsid w:val="00B2323C"/>
    <w:rsid w:val="00B27CA9"/>
    <w:rsid w:val="00B33CB4"/>
    <w:rsid w:val="00B4597E"/>
    <w:rsid w:val="00B5781B"/>
    <w:rsid w:val="00B57DDE"/>
    <w:rsid w:val="00B66E39"/>
    <w:rsid w:val="00B6783C"/>
    <w:rsid w:val="00B67B08"/>
    <w:rsid w:val="00B73890"/>
    <w:rsid w:val="00B74ED5"/>
    <w:rsid w:val="00B75517"/>
    <w:rsid w:val="00B83C82"/>
    <w:rsid w:val="00B91668"/>
    <w:rsid w:val="00B92391"/>
    <w:rsid w:val="00B95DB9"/>
    <w:rsid w:val="00BA124B"/>
    <w:rsid w:val="00BA6133"/>
    <w:rsid w:val="00BB26C0"/>
    <w:rsid w:val="00BB3B4B"/>
    <w:rsid w:val="00BC4737"/>
    <w:rsid w:val="00BD54A2"/>
    <w:rsid w:val="00BD5A10"/>
    <w:rsid w:val="00BD5D4F"/>
    <w:rsid w:val="00BD6F70"/>
    <w:rsid w:val="00BE42A4"/>
    <w:rsid w:val="00BE6DE2"/>
    <w:rsid w:val="00BF491F"/>
    <w:rsid w:val="00BF621F"/>
    <w:rsid w:val="00C02A7A"/>
    <w:rsid w:val="00C071F4"/>
    <w:rsid w:val="00C12A28"/>
    <w:rsid w:val="00C22CC4"/>
    <w:rsid w:val="00C26075"/>
    <w:rsid w:val="00C266AC"/>
    <w:rsid w:val="00C268CE"/>
    <w:rsid w:val="00C33716"/>
    <w:rsid w:val="00C37CA6"/>
    <w:rsid w:val="00C4126F"/>
    <w:rsid w:val="00C44344"/>
    <w:rsid w:val="00C45958"/>
    <w:rsid w:val="00C474DE"/>
    <w:rsid w:val="00C50DDD"/>
    <w:rsid w:val="00C54918"/>
    <w:rsid w:val="00C55DE8"/>
    <w:rsid w:val="00C600AC"/>
    <w:rsid w:val="00C604C7"/>
    <w:rsid w:val="00C61453"/>
    <w:rsid w:val="00C62A9D"/>
    <w:rsid w:val="00C71C74"/>
    <w:rsid w:val="00C752C0"/>
    <w:rsid w:val="00C8016E"/>
    <w:rsid w:val="00C81B3F"/>
    <w:rsid w:val="00C840C9"/>
    <w:rsid w:val="00C85A10"/>
    <w:rsid w:val="00C92739"/>
    <w:rsid w:val="00C92B58"/>
    <w:rsid w:val="00CA6432"/>
    <w:rsid w:val="00CA7270"/>
    <w:rsid w:val="00CB1C8D"/>
    <w:rsid w:val="00CB3995"/>
    <w:rsid w:val="00CB53F1"/>
    <w:rsid w:val="00CB5D75"/>
    <w:rsid w:val="00CC6754"/>
    <w:rsid w:val="00CC678B"/>
    <w:rsid w:val="00CD1901"/>
    <w:rsid w:val="00CD53C4"/>
    <w:rsid w:val="00CD7A0A"/>
    <w:rsid w:val="00CE00CB"/>
    <w:rsid w:val="00CE273F"/>
    <w:rsid w:val="00CE7E2C"/>
    <w:rsid w:val="00CF59D3"/>
    <w:rsid w:val="00CF5B96"/>
    <w:rsid w:val="00CF7C21"/>
    <w:rsid w:val="00D01B24"/>
    <w:rsid w:val="00D048FA"/>
    <w:rsid w:val="00D05620"/>
    <w:rsid w:val="00D116B3"/>
    <w:rsid w:val="00D11E48"/>
    <w:rsid w:val="00D126D9"/>
    <w:rsid w:val="00D12773"/>
    <w:rsid w:val="00D12CD8"/>
    <w:rsid w:val="00D13DF7"/>
    <w:rsid w:val="00D13E09"/>
    <w:rsid w:val="00D14A26"/>
    <w:rsid w:val="00D20700"/>
    <w:rsid w:val="00D20A18"/>
    <w:rsid w:val="00D26BE2"/>
    <w:rsid w:val="00D31A3D"/>
    <w:rsid w:val="00D36588"/>
    <w:rsid w:val="00D37CCA"/>
    <w:rsid w:val="00D4285D"/>
    <w:rsid w:val="00D43550"/>
    <w:rsid w:val="00D435BC"/>
    <w:rsid w:val="00D45C1F"/>
    <w:rsid w:val="00D50964"/>
    <w:rsid w:val="00D513F6"/>
    <w:rsid w:val="00D51467"/>
    <w:rsid w:val="00D51B5D"/>
    <w:rsid w:val="00D521AC"/>
    <w:rsid w:val="00D574D4"/>
    <w:rsid w:val="00D65CD2"/>
    <w:rsid w:val="00D661B0"/>
    <w:rsid w:val="00D71C8A"/>
    <w:rsid w:val="00D74AB9"/>
    <w:rsid w:val="00D74F5F"/>
    <w:rsid w:val="00D75EE9"/>
    <w:rsid w:val="00D9010D"/>
    <w:rsid w:val="00D90A26"/>
    <w:rsid w:val="00D95996"/>
    <w:rsid w:val="00DA4AD3"/>
    <w:rsid w:val="00DA642A"/>
    <w:rsid w:val="00DA6A1C"/>
    <w:rsid w:val="00DA79D4"/>
    <w:rsid w:val="00DB2AF6"/>
    <w:rsid w:val="00DB5C11"/>
    <w:rsid w:val="00DD44BB"/>
    <w:rsid w:val="00DE5235"/>
    <w:rsid w:val="00DF1DB7"/>
    <w:rsid w:val="00DF5ABF"/>
    <w:rsid w:val="00E019C3"/>
    <w:rsid w:val="00E02153"/>
    <w:rsid w:val="00E02F03"/>
    <w:rsid w:val="00E031F0"/>
    <w:rsid w:val="00E06328"/>
    <w:rsid w:val="00E1040F"/>
    <w:rsid w:val="00E105D7"/>
    <w:rsid w:val="00E11C27"/>
    <w:rsid w:val="00E16A06"/>
    <w:rsid w:val="00E20637"/>
    <w:rsid w:val="00E20EDD"/>
    <w:rsid w:val="00E21B4C"/>
    <w:rsid w:val="00E233EF"/>
    <w:rsid w:val="00E32F3A"/>
    <w:rsid w:val="00E335D5"/>
    <w:rsid w:val="00E42ED1"/>
    <w:rsid w:val="00E542D5"/>
    <w:rsid w:val="00E54377"/>
    <w:rsid w:val="00E60ED1"/>
    <w:rsid w:val="00E67BE7"/>
    <w:rsid w:val="00E7343B"/>
    <w:rsid w:val="00E7794B"/>
    <w:rsid w:val="00E83DF4"/>
    <w:rsid w:val="00E85193"/>
    <w:rsid w:val="00E85300"/>
    <w:rsid w:val="00E95ACE"/>
    <w:rsid w:val="00EA3073"/>
    <w:rsid w:val="00EA6242"/>
    <w:rsid w:val="00EB052E"/>
    <w:rsid w:val="00EB4DC1"/>
    <w:rsid w:val="00EB6BE4"/>
    <w:rsid w:val="00ED4DD1"/>
    <w:rsid w:val="00ED5D85"/>
    <w:rsid w:val="00ED6593"/>
    <w:rsid w:val="00EE14BF"/>
    <w:rsid w:val="00EE3F94"/>
    <w:rsid w:val="00EE5D5F"/>
    <w:rsid w:val="00EF0E38"/>
    <w:rsid w:val="00EF4960"/>
    <w:rsid w:val="00EF63CC"/>
    <w:rsid w:val="00F0628F"/>
    <w:rsid w:val="00F06551"/>
    <w:rsid w:val="00F068AD"/>
    <w:rsid w:val="00F132A6"/>
    <w:rsid w:val="00F1334D"/>
    <w:rsid w:val="00F14EFB"/>
    <w:rsid w:val="00F20CF9"/>
    <w:rsid w:val="00F27D6A"/>
    <w:rsid w:val="00F3535E"/>
    <w:rsid w:val="00F36419"/>
    <w:rsid w:val="00F426A4"/>
    <w:rsid w:val="00F43D4E"/>
    <w:rsid w:val="00F46567"/>
    <w:rsid w:val="00F46DC2"/>
    <w:rsid w:val="00F51659"/>
    <w:rsid w:val="00F53428"/>
    <w:rsid w:val="00F53FAE"/>
    <w:rsid w:val="00F543AA"/>
    <w:rsid w:val="00F60946"/>
    <w:rsid w:val="00F65CFD"/>
    <w:rsid w:val="00F662C0"/>
    <w:rsid w:val="00F67E3F"/>
    <w:rsid w:val="00F70BD8"/>
    <w:rsid w:val="00F71688"/>
    <w:rsid w:val="00F76004"/>
    <w:rsid w:val="00F86D27"/>
    <w:rsid w:val="00F91D78"/>
    <w:rsid w:val="00FA16A5"/>
    <w:rsid w:val="00FA392A"/>
    <w:rsid w:val="00FA3FF2"/>
    <w:rsid w:val="00FA71E5"/>
    <w:rsid w:val="00FB1C1E"/>
    <w:rsid w:val="00FB3FBD"/>
    <w:rsid w:val="00FB4420"/>
    <w:rsid w:val="00FC5EDF"/>
    <w:rsid w:val="00FD1BCD"/>
    <w:rsid w:val="00FD4398"/>
    <w:rsid w:val="00FD4751"/>
    <w:rsid w:val="00FD7FCA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388C"/>
  <w15:chartTrackingRefBased/>
  <w15:docId w15:val="{40547990-BBC4-4EBF-8F30-17E1F6A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1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76134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676134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676134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676134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webb"/>
    <w:basedOn w:val="Normal"/>
    <w:uiPriority w:val="99"/>
    <w:unhideWhenUsed/>
    <w:rsid w:val="00C71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80810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0810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1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B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1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6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D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9D6D4C"/>
    <w:rPr>
      <w:rFonts w:ascii="Times New Roman" w:hAnsi="Times New Roman" w:cs="Times New Roman" w:hint="default"/>
      <w:sz w:val="26"/>
      <w:szCs w:val="26"/>
    </w:rPr>
  </w:style>
  <w:style w:type="table" w:styleId="TableGrid">
    <w:name w:val="Table Grid"/>
    <w:basedOn w:val="TableNormal"/>
    <w:uiPriority w:val="39"/>
    <w:rsid w:val="000F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ontent">
    <w:name w:val="text-content"/>
    <w:basedOn w:val="DefaultParagraphFont"/>
    <w:rsid w:val="0032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8750-4156-4934-97BB-63E484FA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Gevorgyan</dc:creator>
  <cp:keywords/>
  <dc:description/>
  <cp:lastModifiedBy>Varsenik Yeghiazaryan</cp:lastModifiedBy>
  <cp:revision>33</cp:revision>
  <cp:lastPrinted>2023-08-15T11:58:00Z</cp:lastPrinted>
  <dcterms:created xsi:type="dcterms:W3CDTF">2026-02-27T09:57:00Z</dcterms:created>
  <dcterms:modified xsi:type="dcterms:W3CDTF">2026-03-30T05:51:00Z</dcterms:modified>
</cp:coreProperties>
</file>