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F721A" w14:textId="77777777" w:rsidR="00C44D68" w:rsidRDefault="0028236F" w:rsidP="00085363">
      <w:pPr>
        <w:spacing w:after="0" w:line="276" w:lineRule="auto"/>
        <w:jc w:val="center"/>
        <w:rPr>
          <w:rFonts w:ascii="GHEA Grapalat" w:hAnsi="GHEA Grapalat"/>
          <w:b/>
          <w:sz w:val="24"/>
          <w:lang w:val="hy-AM"/>
        </w:rPr>
      </w:pPr>
      <w:r>
        <w:rPr>
          <w:rFonts w:ascii="GHEA Grapalat" w:hAnsi="GHEA Grapalat"/>
          <w:b/>
          <w:sz w:val="24"/>
          <w:lang w:val="hy-AM"/>
        </w:rPr>
        <w:t>ՀԻՄՆԱՎՈՐՈՒՄ</w:t>
      </w:r>
    </w:p>
    <w:p w14:paraId="28FC81FE" w14:textId="7F2624B2" w:rsidR="00801C8A" w:rsidRPr="00801C8A" w:rsidRDefault="00801C8A" w:rsidP="00801C8A">
      <w:pPr>
        <w:pStyle w:val="ListParagraph"/>
        <w:spacing w:after="0" w:line="240" w:lineRule="auto"/>
        <w:jc w:val="center"/>
        <w:rPr>
          <w:rFonts w:ascii="GHEA Grapalat" w:eastAsia="Times New Roman" w:hAnsi="GHEA Grapalat" w:cs="Times New Roman"/>
          <w:sz w:val="24"/>
          <w:szCs w:val="24"/>
          <w:lang w:val="hy-AM"/>
        </w:rPr>
      </w:pPr>
      <w:r w:rsidRPr="00801C8A">
        <w:rPr>
          <w:rFonts w:ascii="GHEA Grapalat" w:hAnsi="GHEA Grapalat" w:cs="Times New Roman"/>
          <w:sz w:val="24"/>
          <w:szCs w:val="24"/>
          <w:lang w:val="hy-AM"/>
        </w:rPr>
        <w:t>«</w:t>
      </w:r>
      <w:r w:rsidR="009B4348" w:rsidRPr="009B4348">
        <w:rPr>
          <w:rFonts w:ascii="GHEA Grapalat" w:hAnsi="GHEA Grapalat" w:cs="Times New Roman"/>
          <w:sz w:val="24"/>
          <w:szCs w:val="24"/>
          <w:lang w:val="hy-AM"/>
        </w:rPr>
        <w:t>ԻՆՏԵՐՆԵՏ ՇԱՀՈՒՄՈՎ ԽԱՂԻ ԿԱԶՄԱԿԵՐՊԻՉԻ ԿՈՂՄԻՑ ՀԱՏՈՒԿ ԽԱՂԱՅԻՆ ՀԱՇԻՎԸ ՀԱՄԱԼՐԵԼՈՒ ՀԱՄԱՐ ՕԳՏԱԳՈՐԾՎՈՂ ԲԱՆԿԱՅԻՆ ՀԱՇԻՎԸ ԿԱՄ ՔԱՐՏԸ ՏՎՅԱԼ՝ ՀԱՏՈՒԿ ԽԱՂԱՅԻՆ ՀԱՇՎԻ ԻՐԱՎԱՏԵՐ ԽԱՂԱՑՈՂԻՆ ՊԱՏԿԱՆԵԼՈՒ ՀԱՆԳԱՄԱՆՔԻ</w:t>
      </w:r>
      <w:r w:rsidR="009B4348" w:rsidRPr="009B4348">
        <w:rPr>
          <w:rFonts w:ascii="Calibri" w:hAnsi="Calibri" w:cs="Calibri"/>
          <w:sz w:val="24"/>
          <w:szCs w:val="24"/>
          <w:lang w:val="hy-AM"/>
        </w:rPr>
        <w:t> </w:t>
      </w:r>
      <w:r w:rsidR="009B4348" w:rsidRPr="009B4348">
        <w:rPr>
          <w:rFonts w:ascii="GHEA Grapalat" w:hAnsi="GHEA Grapalat" w:cs="Times New Roman"/>
          <w:sz w:val="24"/>
          <w:szCs w:val="24"/>
          <w:lang w:val="hy-AM"/>
        </w:rPr>
        <w:t>ՍՏՈՒԳՄԱՆ</w:t>
      </w:r>
      <w:r w:rsidR="009B4348" w:rsidRPr="009B4348">
        <w:rPr>
          <w:rFonts w:ascii="Calibri" w:hAnsi="Calibri" w:cs="Calibri"/>
          <w:sz w:val="24"/>
          <w:szCs w:val="24"/>
          <w:lang w:val="hy-AM"/>
        </w:rPr>
        <w:t> </w:t>
      </w:r>
      <w:r w:rsidR="009B4348" w:rsidRPr="009B4348">
        <w:rPr>
          <w:rFonts w:ascii="GHEA Grapalat" w:hAnsi="GHEA Grapalat" w:cs="Times New Roman"/>
          <w:sz w:val="24"/>
          <w:szCs w:val="24"/>
          <w:lang w:val="hy-AM"/>
        </w:rPr>
        <w:t>ԿԱՐԳԸ ՍԱՀՄԱՆԵԼՈՒ</w:t>
      </w:r>
      <w:r w:rsidRPr="00801C8A">
        <w:rPr>
          <w:rFonts w:ascii="GHEA Grapalat" w:hAnsi="GHEA Grapalat" w:cs="Times New Roman"/>
          <w:sz w:val="24"/>
          <w:szCs w:val="24"/>
          <w:lang w:val="hy-AM"/>
        </w:rPr>
        <w:t xml:space="preserve">» </w:t>
      </w:r>
      <w:r w:rsidR="00BE5F04" w:rsidRPr="00BE5F04">
        <w:rPr>
          <w:rFonts w:ascii="GHEA Grapalat" w:hAnsi="GHEA Grapalat" w:cs="Times New Roman"/>
          <w:sz w:val="24"/>
          <w:szCs w:val="24"/>
          <w:lang w:val="hy-AM"/>
        </w:rPr>
        <w:t xml:space="preserve">ՀԱՅԱՍՏԱՆԻ ՀԱՆՐԱՊԵՏՈՒԹՅԱՆ </w:t>
      </w:r>
      <w:r w:rsidRPr="00801C8A">
        <w:rPr>
          <w:rFonts w:ascii="GHEA Grapalat" w:hAnsi="GHEA Grapalat" w:cs="Times New Roman"/>
          <w:sz w:val="24"/>
          <w:szCs w:val="24"/>
          <w:lang w:val="hy-AM"/>
        </w:rPr>
        <w:t>ԷԿՈՆՈՄԻԿՅԱԻ ՆԱԽԱՐԱՐԻ ՀՐԱՄԱՆԻ ՆԱԽԱԳԾԻ ԸՆԴՈՒՆՄԱՆ</w:t>
      </w:r>
    </w:p>
    <w:p w14:paraId="2EAD2415" w14:textId="7A13BF9E" w:rsidR="00094D8F" w:rsidRDefault="00094D8F" w:rsidP="00094D8F">
      <w:pPr>
        <w:pStyle w:val="ListParagraph"/>
        <w:spacing w:after="0" w:line="240" w:lineRule="auto"/>
        <w:jc w:val="center"/>
        <w:rPr>
          <w:rFonts w:ascii="GHEA Grapalat" w:eastAsia="Times New Roman" w:hAnsi="GHEA Grapalat" w:cs="Times New Roman"/>
          <w:b/>
          <w:bCs/>
          <w:sz w:val="24"/>
          <w:szCs w:val="24"/>
          <w:lang w:val="hy-AM"/>
        </w:rPr>
      </w:pPr>
    </w:p>
    <w:p w14:paraId="189FE571" w14:textId="77777777" w:rsidR="009334B0" w:rsidRPr="009334B0" w:rsidRDefault="009334B0" w:rsidP="00A10B6C">
      <w:pPr>
        <w:pStyle w:val="ListParagraph"/>
        <w:numPr>
          <w:ilvl w:val="0"/>
          <w:numId w:val="1"/>
        </w:numPr>
        <w:spacing w:after="0" w:line="360" w:lineRule="auto"/>
        <w:ind w:left="0" w:firstLine="634"/>
        <w:jc w:val="both"/>
        <w:rPr>
          <w:rFonts w:ascii="GHEA Grapalat" w:hAnsi="GHEA Grapalat"/>
          <w:b/>
          <w:sz w:val="24"/>
        </w:rPr>
      </w:pPr>
      <w:r w:rsidRPr="009334B0">
        <w:rPr>
          <w:rFonts w:ascii="GHEA Grapalat" w:hAnsi="GHEA Grapalat"/>
          <w:b/>
          <w:sz w:val="24"/>
          <w:lang w:val="hy-AM"/>
        </w:rPr>
        <w:t>Կարգավորման ենթակա խնդիրը</w:t>
      </w:r>
    </w:p>
    <w:p w14:paraId="3650AAF0" w14:textId="70867A22" w:rsidR="00607F79" w:rsidRPr="00A30A37" w:rsidRDefault="00687D2B" w:rsidP="00607F79">
      <w:pPr>
        <w:tabs>
          <w:tab w:val="left" w:pos="851"/>
        </w:tabs>
        <w:overflowPunct w:val="0"/>
        <w:autoSpaceDE w:val="0"/>
        <w:autoSpaceDN w:val="0"/>
        <w:adjustRightInd w:val="0"/>
        <w:spacing w:after="0" w:line="360" w:lineRule="auto"/>
        <w:ind w:firstLine="540"/>
        <w:jc w:val="both"/>
        <w:textAlignment w:val="baseline"/>
        <w:rPr>
          <w:rFonts w:ascii="GHEA Grapalat" w:hAnsi="GHEA Grapalat" w:cs="Times New Roman"/>
          <w:sz w:val="24"/>
          <w:szCs w:val="24"/>
          <w:lang w:val="hy-AM"/>
        </w:rPr>
      </w:pPr>
      <w:r>
        <w:rPr>
          <w:rFonts w:ascii="GHEA Grapalat" w:hAnsi="GHEA Grapalat"/>
          <w:sz w:val="24"/>
          <w:lang w:val="hy-AM"/>
        </w:rPr>
        <w:t xml:space="preserve">Նախագծի ընդունումը պայմանավորված է </w:t>
      </w:r>
      <w:bookmarkStart w:id="0" w:name="_Hlk214972378"/>
      <w:r w:rsidR="00607F79" w:rsidRPr="00A30A37">
        <w:rPr>
          <w:rFonts w:ascii="GHEA Grapalat" w:hAnsi="GHEA Grapalat" w:cs="Times New Roman"/>
          <w:sz w:val="24"/>
          <w:szCs w:val="24"/>
          <w:lang w:val="hy-AM"/>
        </w:rPr>
        <w:t>«Կառավարության կառուցվածքի և գործունեության մասին» օրենքում փոփոխություններ և լրացում կատարելու մասին» 2025 թվականի մարտի 26-ի ՀՕ-46-Ն, «Վիճակախաղերի մասին» օրենքում փոփոխություններ կատարելու մասին» 2025 թվականի</w:t>
      </w:r>
      <w:r w:rsidR="00607F79" w:rsidRPr="00A30A37">
        <w:rPr>
          <w:rFonts w:cs="Times New Roman"/>
          <w:sz w:val="24"/>
          <w:szCs w:val="24"/>
          <w:lang w:val="hy-AM"/>
        </w:rPr>
        <w:t xml:space="preserve"> </w:t>
      </w:r>
      <w:r w:rsidR="00607F79" w:rsidRPr="00A30A37">
        <w:rPr>
          <w:rFonts w:ascii="GHEA Grapalat" w:hAnsi="GHEA Grapalat" w:cs="Times New Roman"/>
          <w:sz w:val="24"/>
          <w:szCs w:val="24"/>
          <w:lang w:val="hy-AM"/>
        </w:rPr>
        <w:t>մարտի 26-ի ՀՕ-49-Ն, «Շահումով խաղերի, ինտերնետ շահումով խաղերի և խաղատների մասին» օրենքում փոփոխություն կատարելու մասին» 2025 թվականի մարտի 26-ի ՀՕ-50-Ն օրենքներով</w:t>
      </w:r>
      <w:bookmarkEnd w:id="0"/>
      <w:r w:rsidR="00607F79" w:rsidRPr="00A30A37">
        <w:rPr>
          <w:rFonts w:ascii="GHEA Grapalat" w:hAnsi="GHEA Grapalat" w:cs="Times New Roman"/>
          <w:sz w:val="24"/>
          <w:szCs w:val="24"/>
          <w:lang w:val="hy-AM"/>
        </w:rPr>
        <w:t xml:space="preserve"> և «Հայաստանի հանրապետության վարչապետի 2019 թվականի հունիսի 1-ի թիվ 658-Լ որոշման մեջ փոփոխություններ և լրացումներ կատարելու մասին» Հայաստանի Հանրապետության վարչապետի 2025 թվականի սեպտեմբերի 4-ի թիվ 778-Լ որոշումով, որոնց համաձայն խաղային բնագավառի գործունեության կարգավորման ոլորտում՝ խաղային բնագավառի գործունեությանը վերաբերող իրավական ակտերի մշակումը, ինչպես նաև այդ բնագավառում նոր գործիքների ու տեխնոլոգիաների ուսումնասիրությունն ու ներդրումը, խաղային գործունեության կարգավորման ապահովումը, լիցենզավորման ենթակա գործունեություն իրականացնող անձանց լիցենզավորումը, լիցենզիայի պահանջների կատարման մասով վարչարարության իրականացումը վերապահված է ՀՀ էկոնոմիկայի նախարարությանը:</w:t>
      </w:r>
    </w:p>
    <w:p w14:paraId="1747B6D2" w14:textId="77777777" w:rsidR="00D83D18" w:rsidRPr="00D83D18" w:rsidRDefault="00D83D18" w:rsidP="00D83D18">
      <w:pPr>
        <w:pStyle w:val="ListParagraph"/>
        <w:numPr>
          <w:ilvl w:val="0"/>
          <w:numId w:val="1"/>
        </w:numPr>
        <w:spacing w:line="360" w:lineRule="auto"/>
        <w:ind w:left="0" w:firstLine="630"/>
        <w:jc w:val="both"/>
        <w:rPr>
          <w:rFonts w:ascii="GHEA Grapalat" w:hAnsi="GHEA Grapalat"/>
          <w:b/>
          <w:sz w:val="24"/>
          <w:lang w:val="hy-AM"/>
        </w:rPr>
      </w:pPr>
      <w:r w:rsidRPr="00890870">
        <w:rPr>
          <w:rFonts w:ascii="GHEA Grapalat" w:hAnsi="GHEA Grapalat"/>
          <w:b/>
          <w:sz w:val="24"/>
          <w:lang w:val="hy-AM"/>
        </w:rPr>
        <w:t xml:space="preserve">Ընթացիկ իրավիճակը և իրավական ակտերի ընդունման </w:t>
      </w:r>
      <w:r w:rsidRPr="00D83D18">
        <w:rPr>
          <w:rFonts w:ascii="GHEA Grapalat" w:hAnsi="GHEA Grapalat"/>
          <w:b/>
          <w:sz w:val="24"/>
          <w:lang w:val="hy-AM"/>
        </w:rPr>
        <w:t>անհրաժեշտությունը</w:t>
      </w:r>
    </w:p>
    <w:p w14:paraId="2C349C1B" w14:textId="2ACE8512" w:rsidR="00522624" w:rsidRDefault="009B4348" w:rsidP="009A104A">
      <w:pPr>
        <w:pStyle w:val="1"/>
        <w:spacing w:after="0" w:line="360" w:lineRule="auto"/>
        <w:ind w:firstLine="720"/>
        <w:jc w:val="both"/>
        <w:rPr>
          <w:rFonts w:ascii="Cambria Math" w:eastAsia="Times New Roman" w:hAnsi="Cambria Math" w:cs="Times New Roman"/>
          <w:sz w:val="24"/>
          <w:szCs w:val="24"/>
          <w:lang w:val="hy-AM"/>
        </w:rPr>
      </w:pPr>
      <w:r w:rsidRPr="009B4348">
        <w:rPr>
          <w:rFonts w:ascii="GHEA Grapalat" w:eastAsia="Times New Roman" w:hAnsi="GHEA Grapalat" w:cs="Times New Roman"/>
          <w:sz w:val="24"/>
          <w:szCs w:val="24"/>
          <w:lang w:val="hy-AM"/>
        </w:rPr>
        <w:t>«Շահումով խաղերի, ինտերնետ շահումով խաղերի և խաղատների մասին» 2003 թվականի դեկտեմբերի 13-ի ՀՕ-1-Ն օրենքի 6-րդ հոդվածի 2.1-րդ մասի «դ» կետ</w:t>
      </w:r>
      <w:r>
        <w:rPr>
          <w:rFonts w:ascii="GHEA Grapalat" w:eastAsia="Times New Roman" w:hAnsi="GHEA Grapalat" w:cs="Times New Roman"/>
          <w:sz w:val="24"/>
          <w:szCs w:val="24"/>
          <w:lang w:val="hy-AM"/>
        </w:rPr>
        <w:t>ի համաձայն</w:t>
      </w:r>
      <w:r>
        <w:rPr>
          <w:rFonts w:ascii="Cambria Math" w:eastAsia="Times New Roman" w:hAnsi="Cambria Math" w:cs="Times New Roman"/>
          <w:sz w:val="24"/>
          <w:szCs w:val="24"/>
          <w:lang w:val="hy-AM"/>
        </w:rPr>
        <w:t>․</w:t>
      </w:r>
    </w:p>
    <w:p w14:paraId="4FD3DAAE" w14:textId="7554C1CB" w:rsidR="004F6BFA" w:rsidRPr="004F6BFA" w:rsidRDefault="004F6BFA" w:rsidP="009A104A">
      <w:pPr>
        <w:pStyle w:val="1"/>
        <w:spacing w:after="0" w:line="360" w:lineRule="auto"/>
        <w:ind w:firstLine="720"/>
        <w:jc w:val="both"/>
        <w:rPr>
          <w:rFonts w:ascii="GHEA Grapalat" w:hAnsi="GHEA Grapalat"/>
          <w:sz w:val="24"/>
          <w:szCs w:val="24"/>
          <w:lang w:val="hy-AM"/>
        </w:rPr>
      </w:pPr>
      <w:r w:rsidRPr="004F6BFA">
        <w:rPr>
          <w:rFonts w:ascii="GHEA Grapalat" w:hAnsi="GHEA Grapalat"/>
          <w:color w:val="000000"/>
          <w:sz w:val="24"/>
          <w:szCs w:val="24"/>
          <w:shd w:val="clear" w:color="auto" w:fill="FFFFFF"/>
          <w:lang w:val="hy-AM"/>
        </w:rPr>
        <w:t>ինտերնետ</w:t>
      </w:r>
      <w:r w:rsidRPr="004F6BFA">
        <w:rPr>
          <w:rFonts w:cs="Calibri"/>
          <w:color w:val="000000"/>
          <w:sz w:val="24"/>
          <w:szCs w:val="24"/>
          <w:shd w:val="clear" w:color="auto" w:fill="FFFFFF"/>
          <w:lang w:val="hy-AM"/>
        </w:rPr>
        <w:t> </w:t>
      </w:r>
      <w:r w:rsidRPr="004F6BFA">
        <w:rPr>
          <w:rFonts w:ascii="GHEA Grapalat" w:hAnsi="GHEA Grapalat"/>
          <w:color w:val="000000"/>
          <w:sz w:val="24"/>
          <w:szCs w:val="24"/>
          <w:shd w:val="clear" w:color="auto" w:fill="FFFFFF"/>
          <w:lang w:val="hy-AM"/>
        </w:rPr>
        <w:t>շահումով</w:t>
      </w:r>
      <w:r w:rsidRPr="004F6BFA">
        <w:rPr>
          <w:rFonts w:cs="Calibri"/>
          <w:color w:val="000000"/>
          <w:sz w:val="24"/>
          <w:szCs w:val="24"/>
          <w:shd w:val="clear" w:color="auto" w:fill="FFFFFF"/>
          <w:lang w:val="hy-AM"/>
        </w:rPr>
        <w:t> </w:t>
      </w:r>
      <w:r w:rsidRPr="004F6BFA">
        <w:rPr>
          <w:rFonts w:ascii="GHEA Grapalat" w:hAnsi="GHEA Grapalat"/>
          <w:color w:val="000000"/>
          <w:sz w:val="24"/>
          <w:szCs w:val="24"/>
          <w:shd w:val="clear" w:color="auto" w:fill="FFFFFF"/>
          <w:lang w:val="hy-AM"/>
        </w:rPr>
        <w:t>խաղի կազմակերպչի սերվերում ստեղծում է յուրաքանչյուր խաղացողի համար հատուկ խաղային հաշիվ, որը կարող է համալրվել բացառապես տվյալ խաղացողին պատկանող բանկային հաշիվների կամ քարտերի միջոցով։ Ինտերնետ</w:t>
      </w:r>
      <w:r w:rsidRPr="004F6BFA">
        <w:rPr>
          <w:rFonts w:cs="Calibri"/>
          <w:color w:val="000000"/>
          <w:sz w:val="24"/>
          <w:szCs w:val="24"/>
          <w:shd w:val="clear" w:color="auto" w:fill="FFFFFF"/>
          <w:lang w:val="hy-AM"/>
        </w:rPr>
        <w:t> </w:t>
      </w:r>
      <w:r w:rsidRPr="004F6BFA">
        <w:rPr>
          <w:rFonts w:ascii="GHEA Grapalat" w:hAnsi="GHEA Grapalat"/>
          <w:color w:val="000000"/>
          <w:sz w:val="24"/>
          <w:szCs w:val="24"/>
          <w:shd w:val="clear" w:color="auto" w:fill="FFFFFF"/>
          <w:lang w:val="hy-AM"/>
        </w:rPr>
        <w:t>շահումով</w:t>
      </w:r>
      <w:r w:rsidRPr="004F6BFA">
        <w:rPr>
          <w:rFonts w:cs="Calibri"/>
          <w:color w:val="000000"/>
          <w:sz w:val="24"/>
          <w:szCs w:val="24"/>
          <w:shd w:val="clear" w:color="auto" w:fill="FFFFFF"/>
          <w:lang w:val="hy-AM"/>
        </w:rPr>
        <w:t> </w:t>
      </w:r>
      <w:r w:rsidRPr="004F6BFA">
        <w:rPr>
          <w:rFonts w:ascii="GHEA Grapalat" w:hAnsi="GHEA Grapalat"/>
          <w:color w:val="000000"/>
          <w:sz w:val="24"/>
          <w:szCs w:val="24"/>
          <w:shd w:val="clear" w:color="auto" w:fill="FFFFFF"/>
          <w:lang w:val="hy-AM"/>
        </w:rPr>
        <w:t xml:space="preserve">խաղի կազմակերպիչը հատուկ խաղային հաշիվը համալրելու համար օգտագործվող բանկային հաշիվը կամ քարտը տվյալ՝ հատուկ խաղային հաշվի իրավատեր խաղացողին պատկանելու հանգամանքն ստուգում է բացառապես խաղացողի </w:t>
      </w:r>
      <w:r w:rsidRPr="004F6BFA">
        <w:rPr>
          <w:rFonts w:ascii="GHEA Grapalat" w:hAnsi="GHEA Grapalat"/>
          <w:color w:val="000000"/>
          <w:sz w:val="24"/>
          <w:szCs w:val="24"/>
          <w:shd w:val="clear" w:color="auto" w:fill="FFFFFF"/>
          <w:lang w:val="hy-AM"/>
        </w:rPr>
        <w:lastRenderedPageBreak/>
        <w:t>համաձայնությամբ՝ լիազոր մարմնի սահմանած կարգով, իսկ անհրաժեշտության դեպքում՝ լիազոր մարմնի և Կենտրոնական բանկի համատեղ սահմանած կարգով։ Սույն կետով սահմանված պահանջները չեն տարածվում Հայաստանի Հանրապետության քաղաքացի չհանդիսացող խաղացողների կողմից օգտագործվող և օտարերկրյա բանկերի թողարկած բանկային հաշիվների և քարտերի վրա</w:t>
      </w:r>
      <w:r>
        <w:rPr>
          <w:rFonts w:ascii="GHEA Grapalat" w:hAnsi="GHEA Grapalat"/>
          <w:color w:val="000000"/>
          <w:sz w:val="24"/>
          <w:szCs w:val="24"/>
          <w:shd w:val="clear" w:color="auto" w:fill="FFFFFF"/>
          <w:lang w:val="hy-AM"/>
        </w:rPr>
        <w:t>։</w:t>
      </w:r>
    </w:p>
    <w:p w14:paraId="1454FA67" w14:textId="59440E74" w:rsidR="009A104A" w:rsidRPr="004F6BFA" w:rsidRDefault="00522624" w:rsidP="009A104A">
      <w:pPr>
        <w:pStyle w:val="1"/>
        <w:spacing w:after="0" w:line="360" w:lineRule="auto"/>
        <w:ind w:firstLine="720"/>
        <w:jc w:val="both"/>
        <w:rPr>
          <w:rFonts w:ascii="GHEA Grapalat" w:hAnsi="GHEA Grapalat" w:cs="Times New Roman"/>
          <w:sz w:val="24"/>
          <w:szCs w:val="24"/>
          <w:lang w:val="hy-AM"/>
        </w:rPr>
      </w:pPr>
      <w:r>
        <w:rPr>
          <w:rFonts w:ascii="GHEA Grapalat" w:hAnsi="GHEA Grapalat"/>
          <w:sz w:val="24"/>
          <w:szCs w:val="24"/>
          <w:lang w:val="hy-AM"/>
        </w:rPr>
        <w:t xml:space="preserve">Մինչև </w:t>
      </w:r>
      <w:r w:rsidRPr="00A30A37">
        <w:rPr>
          <w:rFonts w:ascii="GHEA Grapalat" w:hAnsi="GHEA Grapalat" w:cs="Times New Roman"/>
          <w:sz w:val="24"/>
          <w:szCs w:val="24"/>
          <w:lang w:val="hy-AM"/>
        </w:rPr>
        <w:t>«Կառավարության կառուցվածքի և գործունեության մասին» օրենքում փոփոխություններ և լրացում կատարելու մասին» 2025 թվականի մարտի 26-ի ՀՕ-46-Ն, «Վիճակախաղերի մասին» օրենքում փոփոխություններ կատարելու մասին» 2025 թվականի</w:t>
      </w:r>
      <w:r w:rsidRPr="00A30A37">
        <w:rPr>
          <w:rFonts w:cs="Times New Roman"/>
          <w:sz w:val="24"/>
          <w:szCs w:val="24"/>
          <w:lang w:val="hy-AM"/>
        </w:rPr>
        <w:t xml:space="preserve"> </w:t>
      </w:r>
      <w:r w:rsidRPr="00A30A37">
        <w:rPr>
          <w:rFonts w:ascii="GHEA Grapalat" w:hAnsi="GHEA Grapalat" w:cs="Times New Roman"/>
          <w:sz w:val="24"/>
          <w:szCs w:val="24"/>
          <w:lang w:val="hy-AM"/>
        </w:rPr>
        <w:t>մարտի 26-ի ՀՕ-49-Ն, «Շահումով խաղերի, ինտերնետ շահումով խաղերի և խաղատների մասին» օրենքում փոփոխություն կատարելու մասին» 2025 թվականի մարտի 26-ի ՀՕ-50-Ն օրենքներ</w:t>
      </w:r>
      <w:r>
        <w:rPr>
          <w:rFonts w:ascii="GHEA Grapalat" w:hAnsi="GHEA Grapalat" w:cs="Times New Roman"/>
          <w:sz w:val="24"/>
          <w:szCs w:val="24"/>
          <w:lang w:val="hy-AM"/>
        </w:rPr>
        <w:t>ի</w:t>
      </w:r>
      <w:r w:rsidR="00523E69">
        <w:rPr>
          <w:rFonts w:ascii="GHEA Grapalat" w:hAnsi="GHEA Grapalat" w:cs="Times New Roman"/>
          <w:sz w:val="24"/>
          <w:szCs w:val="24"/>
          <w:lang w:val="hy-AM"/>
        </w:rPr>
        <w:t xml:space="preserve"> </w:t>
      </w:r>
      <w:r w:rsidR="00523E69" w:rsidRPr="00523E69">
        <w:rPr>
          <w:rFonts w:ascii="GHEA Grapalat" w:eastAsia="Times New Roman" w:hAnsi="GHEA Grapalat" w:cs="Times New Roman"/>
          <w:sz w:val="24"/>
          <w:szCs w:val="24"/>
          <w:lang w:val="hy-AM"/>
        </w:rPr>
        <w:t>(</w:t>
      </w:r>
      <w:r w:rsidR="00523E69" w:rsidRPr="00523E69">
        <w:rPr>
          <w:rFonts w:ascii="GHEA Grapalat" w:eastAsia="Times New Roman" w:hAnsi="GHEA Grapalat" w:cs="GHEA Grapalat"/>
          <w:sz w:val="24"/>
          <w:szCs w:val="24"/>
          <w:lang w:val="hy-AM"/>
        </w:rPr>
        <w:t>այսուհետ</w:t>
      </w:r>
      <w:r w:rsidR="00523E69" w:rsidRPr="00523E69">
        <w:rPr>
          <w:rFonts w:ascii="GHEA Grapalat" w:eastAsia="Times New Roman" w:hAnsi="GHEA Grapalat" w:cs="Times New Roman"/>
          <w:sz w:val="24"/>
          <w:szCs w:val="24"/>
          <w:lang w:val="hy-AM"/>
        </w:rPr>
        <w:t xml:space="preserve">` </w:t>
      </w:r>
      <w:r w:rsidR="00523E69">
        <w:rPr>
          <w:rFonts w:ascii="GHEA Grapalat" w:eastAsia="Times New Roman" w:hAnsi="GHEA Grapalat" w:cs="Times New Roman"/>
          <w:sz w:val="24"/>
          <w:szCs w:val="24"/>
          <w:lang w:val="hy-AM"/>
        </w:rPr>
        <w:t>Օրենքներ</w:t>
      </w:r>
      <w:r w:rsidR="00523E69" w:rsidRPr="00523E69">
        <w:rPr>
          <w:rFonts w:ascii="GHEA Grapalat" w:eastAsia="Times New Roman" w:hAnsi="GHEA Grapalat" w:cs="Times New Roman"/>
          <w:sz w:val="24"/>
          <w:szCs w:val="24"/>
          <w:lang w:val="hy-AM"/>
        </w:rPr>
        <w:t>)</w:t>
      </w:r>
      <w:r w:rsidRPr="00A30A37">
        <w:rPr>
          <w:rFonts w:ascii="GHEA Grapalat" w:hAnsi="GHEA Grapalat" w:cs="Times New Roman"/>
          <w:sz w:val="24"/>
          <w:szCs w:val="24"/>
          <w:lang w:val="hy-AM"/>
        </w:rPr>
        <w:t xml:space="preserve"> և «Հայաստանի հանրապետության վարչապետի 2019 թվականի հունիսի 1-ի թիվ 658-Լ որոշման մեջ փոփոխություններ և լրացումներ կատարելու մասին» Հայաստանի Հանրապետության վարչապետի 2025 թվականի սեպտեմբերի 4-ի թիվ 778-Լ որոշ</w:t>
      </w:r>
      <w:r>
        <w:rPr>
          <w:rFonts w:ascii="GHEA Grapalat" w:hAnsi="GHEA Grapalat" w:cs="Times New Roman"/>
          <w:sz w:val="24"/>
          <w:szCs w:val="24"/>
          <w:lang w:val="hy-AM"/>
        </w:rPr>
        <w:t>ման ընդունումը,</w:t>
      </w:r>
      <w:r w:rsidRPr="006C0B2D">
        <w:rPr>
          <w:rFonts w:ascii="GHEA Grapalat" w:hAnsi="GHEA Grapalat"/>
          <w:sz w:val="24"/>
          <w:szCs w:val="24"/>
          <w:lang w:val="hy-AM"/>
        </w:rPr>
        <w:t xml:space="preserve"> </w:t>
      </w:r>
      <w:r>
        <w:rPr>
          <w:rFonts w:ascii="GHEA Grapalat" w:hAnsi="GHEA Grapalat"/>
          <w:sz w:val="24"/>
          <w:szCs w:val="24"/>
          <w:lang w:val="hy-AM"/>
        </w:rPr>
        <w:t xml:space="preserve"> </w:t>
      </w:r>
      <w:r w:rsidRPr="00A30A37">
        <w:rPr>
          <w:rFonts w:ascii="GHEA Grapalat" w:hAnsi="GHEA Grapalat" w:cs="Times New Roman"/>
          <w:sz w:val="24"/>
          <w:szCs w:val="24"/>
          <w:lang w:val="hy-AM"/>
        </w:rPr>
        <w:t>խաղային բնագավառի գործունեության կարգավորման ոլորտում՝ խաղային բնագավառի գործունեությանը վերաբերող իրավական ակտերի մշակումը, խաղային գործունեության կարգավորման ապահովումը, լիցենզավորման ենթակա գործունեություն իրականացնող անձանց լիցենզավորումը, լիցենզիայի պահանջների կատարման մասով վարչարարության իրականացումը վերապահված է</w:t>
      </w:r>
      <w:r>
        <w:rPr>
          <w:rFonts w:ascii="GHEA Grapalat" w:hAnsi="GHEA Grapalat" w:cs="Times New Roman"/>
          <w:sz w:val="24"/>
          <w:szCs w:val="24"/>
          <w:lang w:val="hy-AM"/>
        </w:rPr>
        <w:t xml:space="preserve">ր </w:t>
      </w:r>
      <w:r w:rsidRPr="004F6BFA">
        <w:rPr>
          <w:rFonts w:ascii="GHEA Grapalat" w:hAnsi="GHEA Grapalat" w:cs="Times New Roman"/>
          <w:sz w:val="24"/>
          <w:szCs w:val="24"/>
          <w:lang w:val="hy-AM"/>
        </w:rPr>
        <w:t>Հայաստանի Հանրապետության ֆինանսների նախարարությանը և</w:t>
      </w:r>
      <w:r>
        <w:rPr>
          <w:rFonts w:ascii="GHEA Grapalat" w:hAnsi="GHEA Grapalat" w:cs="Times New Roman"/>
          <w:sz w:val="24"/>
          <w:szCs w:val="24"/>
          <w:lang w:val="hy-AM"/>
        </w:rPr>
        <w:t xml:space="preserve"> </w:t>
      </w:r>
      <w:r w:rsidR="004F6BFA" w:rsidRPr="004F6BFA">
        <w:rPr>
          <w:rFonts w:ascii="GHEA Grapalat" w:hAnsi="GHEA Grapalat" w:cs="Times New Roman"/>
          <w:sz w:val="24"/>
          <w:szCs w:val="24"/>
          <w:lang w:val="hy-AM"/>
        </w:rPr>
        <w:t xml:space="preserve">2024 թվականի հոկտեմբերի 2-ի </w:t>
      </w:r>
      <w:r w:rsidR="009A104A" w:rsidRPr="004F6BFA">
        <w:rPr>
          <w:rFonts w:ascii="GHEA Grapalat" w:hAnsi="GHEA Grapalat" w:cs="Times New Roman"/>
          <w:sz w:val="24"/>
          <w:szCs w:val="24"/>
          <w:lang w:val="hy-AM"/>
        </w:rPr>
        <w:t xml:space="preserve">Հայաստանի Հանրապետության ֆինանսների նախարարի </w:t>
      </w:r>
      <w:r w:rsidR="004F6BFA" w:rsidRPr="004F6BFA">
        <w:rPr>
          <w:rFonts w:ascii="GHEA Grapalat" w:hAnsi="GHEA Grapalat" w:cs="Times New Roman"/>
          <w:sz w:val="24"/>
          <w:szCs w:val="24"/>
          <w:lang w:val="hy-AM"/>
        </w:rPr>
        <w:t>315-Ն հրամանով սահմանվել է Ինտերնետ շահումով խաղի կազմակերպչի կողմից հատուկ խաղային հաշիվը համալրելու համար օգտագործվող բանկային հաշիվը կամ քարտը տվյալ՝ հատուկ խաղային հաշվի իրավատեր խաղացողին պատկանելու հանգամանքի ստուգման կարգը</w:t>
      </w:r>
      <w:r w:rsidR="009A104A" w:rsidRPr="004F6BFA">
        <w:rPr>
          <w:rFonts w:ascii="GHEA Grapalat" w:hAnsi="GHEA Grapalat" w:cs="Times New Roman"/>
          <w:sz w:val="24"/>
          <w:szCs w:val="24"/>
          <w:lang w:val="hy-AM"/>
        </w:rPr>
        <w:t>:</w:t>
      </w:r>
    </w:p>
    <w:p w14:paraId="1B17090D" w14:textId="7F20B6DD" w:rsidR="00B632CE" w:rsidRDefault="00B632CE" w:rsidP="00B632CE">
      <w:pPr>
        <w:spacing w:after="0" w:line="360" w:lineRule="auto"/>
        <w:ind w:firstLine="374"/>
        <w:jc w:val="both"/>
        <w:rPr>
          <w:rFonts w:ascii="GHEA Grapalat" w:eastAsia="Times New Roman" w:hAnsi="GHEA Grapalat" w:cs="Times New Roman"/>
          <w:sz w:val="24"/>
          <w:szCs w:val="24"/>
          <w:lang w:val="hy-AM"/>
        </w:rPr>
      </w:pPr>
      <w:r w:rsidRPr="000542CE">
        <w:rPr>
          <w:rFonts w:ascii="GHEA Grapalat" w:eastAsia="Times New Roman" w:hAnsi="GHEA Grapalat" w:cs="Times New Roman"/>
          <w:sz w:val="24"/>
          <w:szCs w:val="24"/>
          <w:lang w:val="hy-AM"/>
        </w:rPr>
        <w:t>Հաշվի առնելով վերը նշվածը, անհրաժեշտություն է առաջացել</w:t>
      </w:r>
      <w:r w:rsidR="00523E69">
        <w:rPr>
          <w:rFonts w:ascii="GHEA Grapalat" w:eastAsia="Times New Roman" w:hAnsi="GHEA Grapalat" w:cs="Times New Roman"/>
          <w:sz w:val="24"/>
          <w:szCs w:val="24"/>
          <w:lang w:val="hy-AM"/>
        </w:rPr>
        <w:t xml:space="preserve"> Օրենքներով  սահմանված կարգավորումներին </w:t>
      </w:r>
      <w:r w:rsidR="00523E69">
        <w:rPr>
          <w:rFonts w:ascii="GHEA Grapalat" w:hAnsi="GHEA Grapalat"/>
          <w:sz w:val="24"/>
          <w:lang w:val="hy-AM"/>
        </w:rPr>
        <w:t>համատասխանեցնելու նպատակով</w:t>
      </w:r>
      <w:r w:rsidR="00523E69">
        <w:rPr>
          <w:rFonts w:ascii="GHEA Grapalat" w:eastAsia="Times New Roman" w:hAnsi="GHEA Grapalat" w:cs="Times New Roman"/>
          <w:sz w:val="24"/>
          <w:szCs w:val="24"/>
          <w:lang w:val="hy-AM"/>
        </w:rPr>
        <w:t xml:space="preserve">՝ </w:t>
      </w:r>
      <w:r w:rsidR="00522624" w:rsidRPr="006C0B2D">
        <w:rPr>
          <w:rFonts w:ascii="GHEA Grapalat" w:hAnsi="GHEA Grapalat"/>
          <w:sz w:val="24"/>
          <w:szCs w:val="24"/>
          <w:lang w:val="hy-AM"/>
        </w:rPr>
        <w:t>Հայաստանի Հանրապետության</w:t>
      </w:r>
      <w:r w:rsidR="00522624">
        <w:rPr>
          <w:rFonts w:ascii="GHEA Grapalat" w:hAnsi="GHEA Grapalat"/>
          <w:sz w:val="24"/>
          <w:szCs w:val="24"/>
          <w:lang w:val="hy-AM"/>
        </w:rPr>
        <w:t xml:space="preserve"> </w:t>
      </w:r>
      <w:r w:rsidR="00522624">
        <w:rPr>
          <w:rFonts w:ascii="GHEA Grapalat" w:hAnsi="GHEA Grapalat"/>
          <w:color w:val="000000"/>
          <w:sz w:val="24"/>
          <w:szCs w:val="24"/>
          <w:lang w:val="hy-AM"/>
        </w:rPr>
        <w:t xml:space="preserve">էկոնոմիկայի </w:t>
      </w:r>
      <w:r w:rsidR="004F6BFA">
        <w:rPr>
          <w:rFonts w:ascii="GHEA Grapalat" w:hAnsi="GHEA Grapalat"/>
          <w:color w:val="000000"/>
          <w:sz w:val="24"/>
          <w:szCs w:val="24"/>
          <w:lang w:val="hy-AM"/>
        </w:rPr>
        <w:t>նախարարի  հրամանով սահմանել ի</w:t>
      </w:r>
      <w:r w:rsidR="004F6BFA" w:rsidRPr="004F6BFA">
        <w:rPr>
          <w:rFonts w:ascii="GHEA Grapalat" w:eastAsia="Calibri" w:hAnsi="GHEA Grapalat" w:cs="Times New Roman"/>
          <w:sz w:val="24"/>
          <w:szCs w:val="24"/>
          <w:lang w:val="hy-AM"/>
        </w:rPr>
        <w:t>նտերնետ շահումով խաղի կազմակերպչի կողմից հատուկ խաղային հաշիվը համալրելու համար օգտագործվող բանկային հաշիվը կամ քարտը տվյալ՝ հատուկ խաղային հաշվի իրավատեր խաղացողին պատկանելու հանգամանքի ստուգման կարգը</w:t>
      </w:r>
      <w:r>
        <w:rPr>
          <w:rFonts w:ascii="GHEA Grapalat" w:eastAsia="Times New Roman" w:hAnsi="GHEA Grapalat" w:cs="Times New Roman"/>
          <w:sz w:val="24"/>
          <w:szCs w:val="24"/>
          <w:lang w:val="hy-AM"/>
        </w:rPr>
        <w:t>:</w:t>
      </w:r>
    </w:p>
    <w:p w14:paraId="5DC30413" w14:textId="77777777" w:rsidR="006F71DF" w:rsidRPr="00230AF6" w:rsidRDefault="006F71DF" w:rsidP="00B632CE">
      <w:pPr>
        <w:pStyle w:val="ListParagraph"/>
        <w:numPr>
          <w:ilvl w:val="0"/>
          <w:numId w:val="1"/>
        </w:numPr>
        <w:spacing w:line="360" w:lineRule="auto"/>
        <w:ind w:left="0" w:firstLine="630"/>
        <w:jc w:val="both"/>
        <w:rPr>
          <w:rFonts w:ascii="GHEA Grapalat" w:hAnsi="GHEA Grapalat"/>
          <w:b/>
          <w:sz w:val="24"/>
          <w:lang w:val="hy-AM"/>
        </w:rPr>
      </w:pPr>
      <w:r w:rsidRPr="00230AF6">
        <w:rPr>
          <w:rFonts w:ascii="GHEA Grapalat" w:hAnsi="GHEA Grapalat"/>
          <w:b/>
          <w:sz w:val="24"/>
          <w:lang w:val="hy-AM"/>
        </w:rPr>
        <w:t>Առաջարկվող կարգավորման բնույթը</w:t>
      </w:r>
    </w:p>
    <w:p w14:paraId="1D802A44" w14:textId="72ED0BF8" w:rsidR="006F71DF" w:rsidRDefault="002C3883" w:rsidP="006F71DF">
      <w:pPr>
        <w:pStyle w:val="ListParagraph"/>
        <w:spacing w:line="360" w:lineRule="auto"/>
        <w:ind w:left="0" w:firstLine="720"/>
        <w:jc w:val="both"/>
        <w:rPr>
          <w:rFonts w:ascii="GHEA Grapalat" w:eastAsia="Times New Roman" w:hAnsi="GHEA Grapalat" w:cs="Times New Roman"/>
          <w:sz w:val="24"/>
          <w:szCs w:val="24"/>
          <w:lang w:val="hy-AM"/>
        </w:rPr>
      </w:pPr>
      <w:r>
        <w:rPr>
          <w:rFonts w:ascii="GHEA Grapalat" w:hAnsi="GHEA Grapalat"/>
          <w:sz w:val="24"/>
          <w:lang w:val="hy-AM"/>
        </w:rPr>
        <w:lastRenderedPageBreak/>
        <w:t xml:space="preserve"> Նախագծով ն</w:t>
      </w:r>
      <w:r w:rsidRPr="004368B3">
        <w:rPr>
          <w:rFonts w:ascii="GHEA Grapalat" w:hAnsi="GHEA Grapalat"/>
          <w:sz w:val="24"/>
          <w:lang w:val="hy-AM"/>
        </w:rPr>
        <w:t>ախատեսվում է</w:t>
      </w:r>
      <w:r w:rsidR="004F6BFA" w:rsidRPr="004F6BFA">
        <w:rPr>
          <w:rFonts w:ascii="GHEA Grapalat" w:hAnsi="GHEA Grapalat"/>
          <w:sz w:val="24"/>
          <w:szCs w:val="24"/>
          <w:lang w:val="hy-AM"/>
        </w:rPr>
        <w:t xml:space="preserve"> </w:t>
      </w:r>
      <w:r w:rsidR="004F6BFA" w:rsidRPr="006C0B2D">
        <w:rPr>
          <w:rFonts w:ascii="GHEA Grapalat" w:hAnsi="GHEA Grapalat"/>
          <w:sz w:val="24"/>
          <w:szCs w:val="24"/>
          <w:lang w:val="hy-AM"/>
        </w:rPr>
        <w:t>Հայաստանի Հանրապետության</w:t>
      </w:r>
      <w:r w:rsidR="004F6BFA">
        <w:rPr>
          <w:rFonts w:ascii="GHEA Grapalat" w:hAnsi="GHEA Grapalat"/>
          <w:sz w:val="24"/>
          <w:szCs w:val="24"/>
          <w:lang w:val="hy-AM"/>
        </w:rPr>
        <w:t xml:space="preserve"> </w:t>
      </w:r>
      <w:r w:rsidR="004F6BFA">
        <w:rPr>
          <w:rFonts w:ascii="GHEA Grapalat" w:hAnsi="GHEA Grapalat"/>
          <w:color w:val="000000"/>
          <w:sz w:val="24"/>
          <w:szCs w:val="24"/>
          <w:lang w:val="hy-AM"/>
        </w:rPr>
        <w:t>էկոնոմիկայի նախարարի  հրամանով սահմանել ի</w:t>
      </w:r>
      <w:r w:rsidR="004F6BFA" w:rsidRPr="004F6BFA">
        <w:rPr>
          <w:rFonts w:ascii="GHEA Grapalat" w:eastAsia="Calibri" w:hAnsi="GHEA Grapalat" w:cs="Times New Roman"/>
          <w:sz w:val="24"/>
          <w:szCs w:val="24"/>
          <w:lang w:val="hy-AM"/>
        </w:rPr>
        <w:t>նտերնետ շահումով խաղի կազմակերպչի կողմից հատուկ խաղային հաշիվը համալրելու համար օգտագործվող բանկային հաշիվը կամ քարտը տվյալ՝ հատուկ խաղային հաշվի իրավատեր խաղացողին պատկանելու հանգամանքի ստուգման կարգը</w:t>
      </w:r>
      <w:r w:rsidR="004F6BFA">
        <w:rPr>
          <w:rFonts w:ascii="GHEA Grapalat" w:eastAsia="Times New Roman" w:hAnsi="GHEA Grapalat" w:cs="Times New Roman"/>
          <w:sz w:val="24"/>
          <w:szCs w:val="24"/>
          <w:lang w:val="hy-AM"/>
        </w:rPr>
        <w:t>:</w:t>
      </w:r>
    </w:p>
    <w:p w14:paraId="58E2329E" w14:textId="77777777" w:rsidR="001D05E7" w:rsidRDefault="001D05E7" w:rsidP="00540C99">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Նախագծերի մշակման գործընթացում ներգրավված ինստիտուտները և անձինք</w:t>
      </w:r>
    </w:p>
    <w:p w14:paraId="78BCAEE9" w14:textId="10DA842C" w:rsidR="005F4F91" w:rsidRPr="005F4F91" w:rsidRDefault="005F4F91" w:rsidP="005F4F91">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 xml:space="preserve">Նախագիծը մշակվել է Հայաստանի Հանրապետության </w:t>
      </w:r>
      <w:r w:rsidR="005A7879">
        <w:rPr>
          <w:rFonts w:ascii="GHEA Grapalat" w:hAnsi="GHEA Grapalat"/>
          <w:sz w:val="24"/>
          <w:lang w:val="hy-AM"/>
        </w:rPr>
        <w:t xml:space="preserve">էկոնոմիկայի </w:t>
      </w:r>
      <w:r w:rsidR="004B6CE7">
        <w:rPr>
          <w:rFonts w:ascii="GHEA Grapalat" w:hAnsi="GHEA Grapalat"/>
          <w:sz w:val="24"/>
          <w:lang w:val="hy-AM"/>
        </w:rPr>
        <w:t xml:space="preserve">նախարարության </w:t>
      </w:r>
      <w:r>
        <w:rPr>
          <w:rFonts w:ascii="GHEA Grapalat" w:hAnsi="GHEA Grapalat"/>
          <w:sz w:val="24"/>
          <w:lang w:val="hy-AM"/>
        </w:rPr>
        <w:t>կողմից։</w:t>
      </w:r>
    </w:p>
    <w:p w14:paraId="03D1EC3D" w14:textId="5A5C7B17" w:rsidR="00A10B6C" w:rsidRPr="007E4796" w:rsidRDefault="001D05E7" w:rsidP="00966D23">
      <w:pPr>
        <w:pStyle w:val="ListParagraph"/>
        <w:numPr>
          <w:ilvl w:val="0"/>
          <w:numId w:val="1"/>
        </w:numPr>
        <w:spacing w:line="360" w:lineRule="auto"/>
        <w:ind w:left="0" w:firstLine="720"/>
        <w:jc w:val="both"/>
        <w:rPr>
          <w:rFonts w:ascii="GHEA Grapalat" w:hAnsi="GHEA Grapalat"/>
          <w:sz w:val="24"/>
          <w:lang w:val="hy-AM"/>
        </w:rPr>
      </w:pPr>
      <w:r w:rsidRPr="005A7879">
        <w:rPr>
          <w:rFonts w:ascii="GHEA Grapalat" w:hAnsi="GHEA Grapalat"/>
          <w:b/>
          <w:sz w:val="24"/>
          <w:lang w:val="hy-AM"/>
        </w:rPr>
        <w:t>Կապը ռազմավարական փաստաթղթերի հետ</w:t>
      </w:r>
      <w:r w:rsidR="00A10B6C" w:rsidRPr="005A7879">
        <w:rPr>
          <w:rFonts w:ascii="GHEA Grapalat" w:eastAsia="GHEA Grapalat" w:hAnsi="GHEA Grapalat" w:cs="Calibri Light"/>
          <w:sz w:val="24"/>
          <w:lang w:val="hy-AM"/>
        </w:rPr>
        <w:t>:</w:t>
      </w:r>
    </w:p>
    <w:p w14:paraId="5A014707" w14:textId="77777777" w:rsidR="004F6BFA" w:rsidRPr="004F6BFA" w:rsidRDefault="004F6BFA" w:rsidP="004F6BFA">
      <w:pPr>
        <w:pStyle w:val="ListParagraph"/>
        <w:shd w:val="clear" w:color="auto" w:fill="FFFFFF"/>
        <w:tabs>
          <w:tab w:val="left" w:pos="993"/>
        </w:tabs>
        <w:spacing w:after="0" w:line="360" w:lineRule="auto"/>
        <w:jc w:val="both"/>
        <w:rPr>
          <w:rFonts w:ascii="GHEA Grapalat" w:hAnsi="GHEA Grapalat"/>
          <w:color w:val="000000"/>
          <w:sz w:val="24"/>
          <w:szCs w:val="24"/>
          <w:lang w:val="hy-AM" w:eastAsia="hy-AM"/>
        </w:rPr>
      </w:pPr>
      <w:r w:rsidRPr="004F6BFA">
        <w:rPr>
          <w:rFonts w:ascii="GHEA Grapalat" w:hAnsi="GHEA Grapalat"/>
          <w:color w:val="000000"/>
          <w:sz w:val="24"/>
          <w:szCs w:val="24"/>
          <w:lang w:val="hy-AM" w:eastAsia="hy-AM"/>
        </w:rPr>
        <w:t>Նախագիծն ուղղակիորեն չի բխում ռազմավարական փաստաթղթերից։</w:t>
      </w:r>
    </w:p>
    <w:p w14:paraId="27608374" w14:textId="77777777" w:rsidR="001D05E7" w:rsidRDefault="001D05E7" w:rsidP="00540C99">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Նպատակը և ակնկալվող արդյունքը</w:t>
      </w:r>
    </w:p>
    <w:p w14:paraId="3C9FC1D2" w14:textId="6946DEBC" w:rsidR="00375394" w:rsidRPr="000542CE" w:rsidRDefault="004368B3" w:rsidP="00375394">
      <w:pPr>
        <w:spacing w:after="0" w:line="360" w:lineRule="auto"/>
        <w:ind w:firstLine="374"/>
        <w:jc w:val="both"/>
        <w:rPr>
          <w:rFonts w:ascii="GHEA Grapalat" w:eastAsia="Times New Roman" w:hAnsi="GHEA Grapalat" w:cs="Times New Roman"/>
          <w:sz w:val="24"/>
          <w:szCs w:val="24"/>
          <w:lang w:val="hy-AM"/>
        </w:rPr>
      </w:pPr>
      <w:r w:rsidRPr="004368B3">
        <w:rPr>
          <w:rFonts w:ascii="GHEA Grapalat" w:hAnsi="GHEA Grapalat"/>
          <w:sz w:val="24"/>
          <w:lang w:val="hy-AM"/>
        </w:rPr>
        <w:t>Նախագծի ընդունմամբ</w:t>
      </w:r>
      <w:r w:rsidR="00BE5F04">
        <w:rPr>
          <w:rFonts w:ascii="GHEA Grapalat" w:hAnsi="GHEA Grapalat"/>
          <w:sz w:val="24"/>
          <w:lang w:val="hy-AM"/>
        </w:rPr>
        <w:t xml:space="preserve"> </w:t>
      </w:r>
      <w:r w:rsidR="00BE5F04">
        <w:rPr>
          <w:rFonts w:ascii="GHEA Grapalat" w:eastAsia="Times New Roman" w:hAnsi="GHEA Grapalat" w:cs="Times New Roman"/>
          <w:sz w:val="24"/>
          <w:szCs w:val="24"/>
          <w:lang w:val="hy-AM"/>
        </w:rPr>
        <w:t>Օրենքներով  սահմանված կարգավորումներին</w:t>
      </w:r>
      <w:r w:rsidR="00BE5F04">
        <w:rPr>
          <w:rFonts w:ascii="GHEA Grapalat" w:hAnsi="GHEA Grapalat"/>
          <w:sz w:val="24"/>
          <w:lang w:val="hy-AM"/>
        </w:rPr>
        <w:t xml:space="preserve"> համապատասխ</w:t>
      </w:r>
      <w:r w:rsidR="00FA4C6B">
        <w:rPr>
          <w:rFonts w:ascii="GHEA Grapalat" w:hAnsi="GHEA Grapalat"/>
          <w:sz w:val="24"/>
          <w:lang w:val="hy-AM"/>
        </w:rPr>
        <w:t>ա</w:t>
      </w:r>
      <w:r w:rsidR="00BE5F04">
        <w:rPr>
          <w:rFonts w:ascii="GHEA Grapalat" w:hAnsi="GHEA Grapalat"/>
          <w:sz w:val="24"/>
          <w:lang w:val="hy-AM"/>
        </w:rPr>
        <w:t>ն</w:t>
      </w:r>
      <w:r w:rsidR="00F812F6">
        <w:rPr>
          <w:rFonts w:ascii="GHEA Grapalat" w:hAnsi="GHEA Grapalat"/>
          <w:sz w:val="24"/>
          <w:lang w:val="hy-AM"/>
        </w:rPr>
        <w:t>՝</w:t>
      </w:r>
      <w:r w:rsidR="00F812F6" w:rsidRPr="00F812F6">
        <w:rPr>
          <w:rFonts w:ascii="GHEA Grapalat" w:hAnsi="GHEA Grapalat"/>
          <w:sz w:val="24"/>
          <w:lang w:val="hy-AM"/>
        </w:rPr>
        <w:t xml:space="preserve"> </w:t>
      </w:r>
      <w:r w:rsidR="00F812F6">
        <w:rPr>
          <w:rFonts w:ascii="GHEA Grapalat" w:hAnsi="GHEA Grapalat"/>
          <w:sz w:val="24"/>
          <w:lang w:val="hy-AM"/>
        </w:rPr>
        <w:t>Հայաստանի Հանրապետության էկոնոմիկայի նախարարի հրամանով</w:t>
      </w:r>
      <w:r w:rsidR="00BE5F04">
        <w:rPr>
          <w:rFonts w:ascii="GHEA Grapalat" w:hAnsi="GHEA Grapalat"/>
          <w:sz w:val="24"/>
          <w:lang w:val="hy-AM"/>
        </w:rPr>
        <w:t xml:space="preserve"> </w:t>
      </w:r>
      <w:r w:rsidR="00FA4C6B">
        <w:rPr>
          <w:rFonts w:ascii="GHEA Grapalat" w:hAnsi="GHEA Grapalat"/>
          <w:sz w:val="24"/>
          <w:lang w:val="hy-AM"/>
        </w:rPr>
        <w:t xml:space="preserve">կսահմանվի </w:t>
      </w:r>
      <w:r w:rsidR="00FA4C6B">
        <w:rPr>
          <w:rFonts w:ascii="GHEA Grapalat" w:hAnsi="GHEA Grapalat"/>
          <w:color w:val="000000"/>
          <w:sz w:val="24"/>
          <w:szCs w:val="24"/>
          <w:lang w:val="hy-AM"/>
        </w:rPr>
        <w:t>ի</w:t>
      </w:r>
      <w:r w:rsidR="00FA4C6B" w:rsidRPr="004F6BFA">
        <w:rPr>
          <w:rFonts w:ascii="GHEA Grapalat" w:eastAsia="Calibri" w:hAnsi="GHEA Grapalat" w:cs="Times New Roman"/>
          <w:sz w:val="24"/>
          <w:szCs w:val="24"/>
          <w:lang w:val="hy-AM"/>
        </w:rPr>
        <w:t>նտերնետ շահումով խաղի կազմակերպչի կողմից հատուկ խաղային հաշիվը համալրելու համար օգտագործվող բանկային հաշիվը կամ քարտը տվյալ՝ հատուկ խաղային հաշվի իրավատեր խաղացողին պատկանելու հանգամանքի ստուգման կարգը</w:t>
      </w:r>
      <w:r w:rsidR="00FA4C6B">
        <w:rPr>
          <w:rFonts w:ascii="GHEA Grapalat" w:eastAsia="Times New Roman" w:hAnsi="GHEA Grapalat" w:cs="Times New Roman"/>
          <w:sz w:val="24"/>
          <w:szCs w:val="24"/>
          <w:lang w:val="hy-AM"/>
        </w:rPr>
        <w:t>:</w:t>
      </w:r>
    </w:p>
    <w:p w14:paraId="57DB7678" w14:textId="77777777" w:rsidR="00151BA6" w:rsidRDefault="00151BA6" w:rsidP="00540C99">
      <w:pPr>
        <w:pStyle w:val="ListParagraph"/>
        <w:numPr>
          <w:ilvl w:val="0"/>
          <w:numId w:val="1"/>
        </w:numPr>
        <w:spacing w:line="360" w:lineRule="auto"/>
        <w:ind w:left="0" w:firstLine="630"/>
        <w:jc w:val="both"/>
        <w:rPr>
          <w:rFonts w:ascii="GHEA Grapalat" w:hAnsi="GHEA Grapalat"/>
          <w:b/>
          <w:sz w:val="24"/>
          <w:lang w:val="hy-AM"/>
        </w:rPr>
      </w:pPr>
      <w:r w:rsidRPr="00151BA6">
        <w:rPr>
          <w:rFonts w:ascii="GHEA Grapalat" w:hAnsi="GHEA Grapalat"/>
          <w:b/>
          <w:sz w:val="24"/>
          <w:lang w:val="hy-AM"/>
        </w:rPr>
        <w:t>Այլ տեղեկություններ</w:t>
      </w:r>
    </w:p>
    <w:p w14:paraId="195CC9FD" w14:textId="77777777" w:rsidR="0015330C" w:rsidRDefault="00151BA6" w:rsidP="00D516EE">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 xml:space="preserve">Նախագծի ընդունման </w:t>
      </w:r>
      <w:r w:rsidRPr="00151BA6">
        <w:rPr>
          <w:rFonts w:ascii="GHEA Grapalat" w:hAnsi="GHEA Grapalat"/>
          <w:sz w:val="24"/>
          <w:lang w:val="hy-AM"/>
        </w:rPr>
        <w:t>կապակցությամբ պետական կամ տեղական ինքնակառավարման մարմնի բյուջեում եկամուտների և ծախսերի ավելացում կամ նվազեցում չի նախատեսվում</w:t>
      </w:r>
      <w:r w:rsidR="00D516EE">
        <w:rPr>
          <w:rFonts w:ascii="GHEA Grapalat" w:hAnsi="GHEA Grapalat"/>
          <w:sz w:val="24"/>
          <w:lang w:val="hy-AM"/>
        </w:rPr>
        <w:t>:</w:t>
      </w:r>
    </w:p>
    <w:sectPr w:rsidR="0015330C" w:rsidSect="00BE5F04">
      <w:pgSz w:w="12240" w:h="15840"/>
      <w:pgMar w:top="450" w:right="630" w:bottom="27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21A9D" w14:textId="77777777" w:rsidR="003E4F64" w:rsidRDefault="003E4F64" w:rsidP="00BA1942">
      <w:pPr>
        <w:spacing w:after="0" w:line="240" w:lineRule="auto"/>
      </w:pPr>
      <w:r>
        <w:separator/>
      </w:r>
    </w:p>
  </w:endnote>
  <w:endnote w:type="continuationSeparator" w:id="0">
    <w:p w14:paraId="2BA0E3F0" w14:textId="77777777" w:rsidR="003E4F64" w:rsidRDefault="003E4F64" w:rsidP="00BA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12E1F" w14:textId="77777777" w:rsidR="003E4F64" w:rsidRDefault="003E4F64" w:rsidP="00BA1942">
      <w:pPr>
        <w:spacing w:after="0" w:line="240" w:lineRule="auto"/>
      </w:pPr>
      <w:r>
        <w:separator/>
      </w:r>
    </w:p>
  </w:footnote>
  <w:footnote w:type="continuationSeparator" w:id="0">
    <w:p w14:paraId="36F6122C" w14:textId="77777777" w:rsidR="003E4F64" w:rsidRDefault="003E4F64" w:rsidP="00BA1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61BD4"/>
    <w:multiLevelType w:val="hybridMultilevel"/>
    <w:tmpl w:val="5A226810"/>
    <w:lvl w:ilvl="0" w:tplc="FF6EC4B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545959"/>
    <w:multiLevelType w:val="hybridMultilevel"/>
    <w:tmpl w:val="0A445422"/>
    <w:lvl w:ilvl="0" w:tplc="FCB2F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16885"/>
    <w:multiLevelType w:val="hybridMultilevel"/>
    <w:tmpl w:val="EFDEAD0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15:restartNumberingAfterBreak="0">
    <w:nsid w:val="77F42CE3"/>
    <w:multiLevelType w:val="hybridMultilevel"/>
    <w:tmpl w:val="5E88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88419A"/>
    <w:multiLevelType w:val="hybridMultilevel"/>
    <w:tmpl w:val="5E88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57"/>
    <w:rsid w:val="000152C2"/>
    <w:rsid w:val="000542CE"/>
    <w:rsid w:val="00062105"/>
    <w:rsid w:val="000627A1"/>
    <w:rsid w:val="00067A35"/>
    <w:rsid w:val="00085363"/>
    <w:rsid w:val="00094D8F"/>
    <w:rsid w:val="000950FE"/>
    <w:rsid w:val="000F1271"/>
    <w:rsid w:val="000F3A8E"/>
    <w:rsid w:val="0010041D"/>
    <w:rsid w:val="00117FA8"/>
    <w:rsid w:val="00125499"/>
    <w:rsid w:val="00130802"/>
    <w:rsid w:val="00151BA6"/>
    <w:rsid w:val="001530BB"/>
    <w:rsid w:val="0015330C"/>
    <w:rsid w:val="00174171"/>
    <w:rsid w:val="001B2E7C"/>
    <w:rsid w:val="001D05E7"/>
    <w:rsid w:val="0020363D"/>
    <w:rsid w:val="002151AF"/>
    <w:rsid w:val="002271E6"/>
    <w:rsid w:val="00230AF6"/>
    <w:rsid w:val="00267831"/>
    <w:rsid w:val="0028236F"/>
    <w:rsid w:val="00296652"/>
    <w:rsid w:val="002C3883"/>
    <w:rsid w:val="002C4842"/>
    <w:rsid w:val="002D1329"/>
    <w:rsid w:val="002E58A7"/>
    <w:rsid w:val="002E5914"/>
    <w:rsid w:val="002F2A00"/>
    <w:rsid w:val="00301857"/>
    <w:rsid w:val="00301D44"/>
    <w:rsid w:val="00375394"/>
    <w:rsid w:val="003B528B"/>
    <w:rsid w:val="003C014E"/>
    <w:rsid w:val="003E4812"/>
    <w:rsid w:val="003E4F64"/>
    <w:rsid w:val="003F1420"/>
    <w:rsid w:val="004138CC"/>
    <w:rsid w:val="004368B3"/>
    <w:rsid w:val="00442A69"/>
    <w:rsid w:val="00484FBB"/>
    <w:rsid w:val="004A27D3"/>
    <w:rsid w:val="004B6CE7"/>
    <w:rsid w:val="004F6BFA"/>
    <w:rsid w:val="0050669D"/>
    <w:rsid w:val="00515860"/>
    <w:rsid w:val="00522624"/>
    <w:rsid w:val="00523E69"/>
    <w:rsid w:val="005265D0"/>
    <w:rsid w:val="005379D8"/>
    <w:rsid w:val="00540C99"/>
    <w:rsid w:val="00543044"/>
    <w:rsid w:val="005640C5"/>
    <w:rsid w:val="005A7879"/>
    <w:rsid w:val="005E3BAD"/>
    <w:rsid w:val="005F4F91"/>
    <w:rsid w:val="0060078D"/>
    <w:rsid w:val="00605EC5"/>
    <w:rsid w:val="00607F79"/>
    <w:rsid w:val="00615007"/>
    <w:rsid w:val="0064190B"/>
    <w:rsid w:val="00655BA7"/>
    <w:rsid w:val="00656C63"/>
    <w:rsid w:val="00660CF2"/>
    <w:rsid w:val="00665720"/>
    <w:rsid w:val="006772D0"/>
    <w:rsid w:val="00687D2B"/>
    <w:rsid w:val="00687FE8"/>
    <w:rsid w:val="006A1780"/>
    <w:rsid w:val="006C0CA7"/>
    <w:rsid w:val="006C471D"/>
    <w:rsid w:val="006D3075"/>
    <w:rsid w:val="006F58D5"/>
    <w:rsid w:val="006F71DF"/>
    <w:rsid w:val="00725CB4"/>
    <w:rsid w:val="00742358"/>
    <w:rsid w:val="00753B7C"/>
    <w:rsid w:val="00760E37"/>
    <w:rsid w:val="00786BEC"/>
    <w:rsid w:val="00787493"/>
    <w:rsid w:val="007A15F2"/>
    <w:rsid w:val="007A772B"/>
    <w:rsid w:val="007C3893"/>
    <w:rsid w:val="007C3AEF"/>
    <w:rsid w:val="007D4727"/>
    <w:rsid w:val="007E4796"/>
    <w:rsid w:val="007E4F4F"/>
    <w:rsid w:val="00801C8A"/>
    <w:rsid w:val="00820FA3"/>
    <w:rsid w:val="00821D97"/>
    <w:rsid w:val="0083476B"/>
    <w:rsid w:val="00846668"/>
    <w:rsid w:val="00865FC5"/>
    <w:rsid w:val="00886C8C"/>
    <w:rsid w:val="00890870"/>
    <w:rsid w:val="00897616"/>
    <w:rsid w:val="008E029C"/>
    <w:rsid w:val="00911DD8"/>
    <w:rsid w:val="009334B0"/>
    <w:rsid w:val="00940602"/>
    <w:rsid w:val="00941CBD"/>
    <w:rsid w:val="009435F8"/>
    <w:rsid w:val="00975CA1"/>
    <w:rsid w:val="00975D1F"/>
    <w:rsid w:val="009A104A"/>
    <w:rsid w:val="009B4348"/>
    <w:rsid w:val="009C43CC"/>
    <w:rsid w:val="009D65B9"/>
    <w:rsid w:val="009F4D07"/>
    <w:rsid w:val="009F5DB5"/>
    <w:rsid w:val="00A10B6C"/>
    <w:rsid w:val="00A56583"/>
    <w:rsid w:val="00A77C5A"/>
    <w:rsid w:val="00A837AF"/>
    <w:rsid w:val="00A8724B"/>
    <w:rsid w:val="00A940E5"/>
    <w:rsid w:val="00AA20AB"/>
    <w:rsid w:val="00AB37BC"/>
    <w:rsid w:val="00AB5BF1"/>
    <w:rsid w:val="00AC77A2"/>
    <w:rsid w:val="00AD2664"/>
    <w:rsid w:val="00AF3C7F"/>
    <w:rsid w:val="00B11513"/>
    <w:rsid w:val="00B25389"/>
    <w:rsid w:val="00B53DF6"/>
    <w:rsid w:val="00B632CE"/>
    <w:rsid w:val="00B94D57"/>
    <w:rsid w:val="00BA1942"/>
    <w:rsid w:val="00BB0A7B"/>
    <w:rsid w:val="00BB65B1"/>
    <w:rsid w:val="00BC6C61"/>
    <w:rsid w:val="00BE5F04"/>
    <w:rsid w:val="00C267B5"/>
    <w:rsid w:val="00C44D68"/>
    <w:rsid w:val="00CD4258"/>
    <w:rsid w:val="00CD44E0"/>
    <w:rsid w:val="00CE0E9D"/>
    <w:rsid w:val="00CE1D45"/>
    <w:rsid w:val="00CF455F"/>
    <w:rsid w:val="00D01360"/>
    <w:rsid w:val="00D35841"/>
    <w:rsid w:val="00D42AB9"/>
    <w:rsid w:val="00D516EE"/>
    <w:rsid w:val="00D647EE"/>
    <w:rsid w:val="00D83D18"/>
    <w:rsid w:val="00DB06C2"/>
    <w:rsid w:val="00E02CAF"/>
    <w:rsid w:val="00E20894"/>
    <w:rsid w:val="00E21CF6"/>
    <w:rsid w:val="00E37F18"/>
    <w:rsid w:val="00E648CB"/>
    <w:rsid w:val="00ED4ED2"/>
    <w:rsid w:val="00F249B1"/>
    <w:rsid w:val="00F52727"/>
    <w:rsid w:val="00F70FE5"/>
    <w:rsid w:val="00F77DBF"/>
    <w:rsid w:val="00F812F6"/>
    <w:rsid w:val="00FA4C6B"/>
    <w:rsid w:val="00FB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2ECC"/>
  <w15:docId w15:val="{B32D54CE-3785-440A-ABC3-41C2A20B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B0"/>
    <w:pPr>
      <w:ind w:left="720"/>
      <w:contextualSpacing/>
    </w:pPr>
  </w:style>
  <w:style w:type="paragraph" w:styleId="FootnoteText">
    <w:name w:val="footnote text"/>
    <w:basedOn w:val="Normal"/>
    <w:link w:val="FootnoteTextChar"/>
    <w:uiPriority w:val="99"/>
    <w:semiHidden/>
    <w:unhideWhenUsed/>
    <w:rsid w:val="00BA19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942"/>
    <w:rPr>
      <w:sz w:val="20"/>
      <w:szCs w:val="20"/>
    </w:rPr>
  </w:style>
  <w:style w:type="character" w:styleId="FootnoteReference">
    <w:name w:val="footnote reference"/>
    <w:basedOn w:val="DefaultParagraphFont"/>
    <w:uiPriority w:val="99"/>
    <w:semiHidden/>
    <w:unhideWhenUsed/>
    <w:rsid w:val="00BA1942"/>
    <w:rPr>
      <w:vertAlign w:val="superscript"/>
    </w:rPr>
  </w:style>
  <w:style w:type="character" w:styleId="Strong">
    <w:name w:val="Strong"/>
    <w:basedOn w:val="DefaultParagraphFont"/>
    <w:uiPriority w:val="22"/>
    <w:qFormat/>
    <w:rsid w:val="004B6CE7"/>
    <w:rPr>
      <w:b/>
      <w:bCs/>
    </w:rPr>
  </w:style>
  <w:style w:type="paragraph" w:styleId="NormalWeb">
    <w:name w:val="Normal (Web)"/>
    <w:aliases w:val="webb"/>
    <w:basedOn w:val="Normal"/>
    <w:link w:val="NormalWebChar"/>
    <w:uiPriority w:val="99"/>
    <w:unhideWhenUsed/>
    <w:qFormat/>
    <w:rsid w:val="004B6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uiPriority w:val="99"/>
    <w:locked/>
    <w:rsid w:val="00E648CB"/>
    <w:rPr>
      <w:rFonts w:ascii="Times New Roman" w:eastAsia="Times New Roman" w:hAnsi="Times New Roman" w:cs="Times New Roman"/>
      <w:sz w:val="24"/>
      <w:szCs w:val="24"/>
    </w:rPr>
  </w:style>
  <w:style w:type="paragraph" w:customStyle="1" w:styleId="1">
    <w:name w:val="Указатель1"/>
    <w:basedOn w:val="Normal"/>
    <w:qFormat/>
    <w:rsid w:val="00975CA1"/>
    <w:pPr>
      <w:suppressLineNumbers/>
      <w:suppressAutoHyphens/>
    </w:pPr>
    <w:rPr>
      <w:rFonts w:ascii="Calibri" w:eastAsia="Calibri" w:hAnsi="Calibri" w:cs="Arial Unicode MS"/>
      <w:color w:val="00000A"/>
    </w:rPr>
  </w:style>
  <w:style w:type="character" w:customStyle="1" w:styleId="showhide">
    <w:name w:val="showhide"/>
    <w:basedOn w:val="DefaultParagraphFont"/>
    <w:rsid w:val="009A1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409803">
      <w:bodyDiv w:val="1"/>
      <w:marLeft w:val="0"/>
      <w:marRight w:val="0"/>
      <w:marTop w:val="0"/>
      <w:marBottom w:val="0"/>
      <w:divBdr>
        <w:top w:val="none" w:sz="0" w:space="0" w:color="auto"/>
        <w:left w:val="none" w:sz="0" w:space="0" w:color="auto"/>
        <w:bottom w:val="none" w:sz="0" w:space="0" w:color="auto"/>
        <w:right w:val="none" w:sz="0" w:space="0" w:color="auto"/>
      </w:divBdr>
    </w:div>
    <w:div w:id="15506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C8E9E-29F6-4217-BC33-EBD55595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Nerses Zeynalyan</dc:creator>
  <cp:keywords/>
  <dc:description/>
  <cp:lastModifiedBy>Lia Zh. Avetisyan</cp:lastModifiedBy>
  <cp:revision>5</cp:revision>
  <dcterms:created xsi:type="dcterms:W3CDTF">2025-12-01T06:04:00Z</dcterms:created>
  <dcterms:modified xsi:type="dcterms:W3CDTF">2025-12-01T11:03:00Z</dcterms:modified>
</cp:coreProperties>
</file>