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9804" w14:textId="77777777" w:rsidR="007268A3" w:rsidRPr="00A865E3" w:rsidRDefault="007268A3" w:rsidP="007268A3">
      <w:pPr>
        <w:pStyle w:val="NormalWeb"/>
        <w:spacing w:before="0" w:beforeAutospacing="0" w:after="0" w:afterAutospacing="0"/>
        <w:ind w:firstLine="0"/>
        <w:jc w:val="right"/>
        <w:rPr>
          <w:rStyle w:val="Strong"/>
          <w:b w:val="0"/>
          <w:caps/>
          <w:lang w:val="en-US"/>
        </w:rPr>
      </w:pPr>
      <w:r w:rsidRPr="00A865E3">
        <w:rPr>
          <w:rStyle w:val="Strong"/>
          <w:b w:val="0"/>
          <w:caps/>
          <w:lang w:val="en-US"/>
        </w:rPr>
        <w:t>Նախագիծ</w:t>
      </w:r>
    </w:p>
    <w:p w14:paraId="21EF7F63" w14:textId="77777777" w:rsidR="007268A3" w:rsidRPr="00A865E3" w:rsidRDefault="007268A3" w:rsidP="007268A3">
      <w:pPr>
        <w:pStyle w:val="NormalWeb"/>
        <w:spacing w:before="0" w:beforeAutospacing="0" w:after="0" w:afterAutospacing="0"/>
        <w:ind w:firstLine="0"/>
        <w:jc w:val="center"/>
        <w:rPr>
          <w:rStyle w:val="Strong"/>
          <w:rFonts w:eastAsiaTheme="majorEastAsia"/>
          <w:b w:val="0"/>
        </w:rPr>
      </w:pPr>
    </w:p>
    <w:p w14:paraId="7BF6B9B3" w14:textId="77777777" w:rsidR="007268A3" w:rsidRPr="00A865E3" w:rsidRDefault="007268A3" w:rsidP="007268A3">
      <w:pPr>
        <w:pStyle w:val="NormalWeb"/>
        <w:spacing w:before="0" w:beforeAutospacing="0" w:after="0" w:afterAutospacing="0"/>
        <w:ind w:firstLine="0"/>
        <w:jc w:val="center"/>
        <w:rPr>
          <w:rFonts w:ascii="GHEA Grapalat" w:hAnsi="GHEA Grapalat"/>
        </w:rPr>
      </w:pPr>
      <w:r w:rsidRPr="00A865E3">
        <w:rPr>
          <w:rStyle w:val="Strong"/>
          <w:rFonts w:eastAsiaTheme="majorEastAsia"/>
          <w:b w:val="0"/>
        </w:rPr>
        <w:t>ՀԱՅԱՍՏԱՆԻ ՀԱՆՐԱՊԵՏՈՒԹՅԱՆ</w:t>
      </w:r>
    </w:p>
    <w:p w14:paraId="433F05D5" w14:textId="77777777" w:rsidR="007268A3" w:rsidRPr="00A865E3" w:rsidRDefault="007268A3" w:rsidP="007268A3">
      <w:pPr>
        <w:pStyle w:val="NormalWeb"/>
        <w:spacing w:before="0" w:beforeAutospacing="0" w:after="0" w:afterAutospacing="0"/>
        <w:ind w:firstLine="0"/>
        <w:jc w:val="center"/>
        <w:rPr>
          <w:rStyle w:val="Strong"/>
          <w:rFonts w:eastAsiaTheme="majorEastAsia"/>
          <w:b w:val="0"/>
        </w:rPr>
      </w:pPr>
      <w:r w:rsidRPr="00A865E3">
        <w:rPr>
          <w:rStyle w:val="Strong"/>
          <w:rFonts w:eastAsiaTheme="majorEastAsia"/>
          <w:b w:val="0"/>
        </w:rPr>
        <w:t>ՕՐԵՆՔԸ</w:t>
      </w:r>
    </w:p>
    <w:p w14:paraId="63CF9551" w14:textId="77777777" w:rsidR="007268A3" w:rsidRPr="00A865E3" w:rsidRDefault="007268A3" w:rsidP="007268A3">
      <w:pPr>
        <w:pStyle w:val="NormalWeb"/>
        <w:spacing w:before="0" w:beforeAutospacing="0" w:after="0" w:afterAutospacing="0"/>
        <w:ind w:firstLine="0"/>
        <w:jc w:val="center"/>
        <w:rPr>
          <w:rFonts w:ascii="GHEA Grapalat" w:hAnsi="GHEA Grapalat"/>
        </w:rPr>
      </w:pPr>
    </w:p>
    <w:p w14:paraId="2DA03592" w14:textId="5EFA0770" w:rsidR="007268A3" w:rsidRPr="00A865E3" w:rsidRDefault="007268A3" w:rsidP="007268A3">
      <w:pPr>
        <w:pStyle w:val="NormalWeb"/>
        <w:spacing w:before="0" w:beforeAutospacing="0" w:after="0" w:afterAutospacing="0"/>
        <w:ind w:firstLine="0"/>
        <w:jc w:val="center"/>
        <w:rPr>
          <w:rStyle w:val="Strong"/>
          <w:rFonts w:eastAsiaTheme="majorEastAsia" w:cs="Sylfaen"/>
          <w:b w:val="0"/>
        </w:rPr>
      </w:pPr>
      <w:r w:rsidRPr="00A865E3">
        <w:rPr>
          <w:rStyle w:val="Strong"/>
          <w:rFonts w:eastAsiaTheme="majorEastAsia"/>
          <w:b w:val="0"/>
        </w:rPr>
        <w:t xml:space="preserve">ՀԱՅԱՍՏԱՆԻ ՀԱՆՐԱՊԵՏՈՒԹՅԱՆ ՀԱՐԿԱՅԻՆ ՕՐԵՆՍԳՐՔՈՒՄ </w:t>
      </w:r>
      <w:r w:rsidR="00370230">
        <w:rPr>
          <w:rStyle w:val="Strong"/>
          <w:rFonts w:eastAsiaTheme="majorEastAsia"/>
          <w:b w:val="0"/>
        </w:rPr>
        <w:t xml:space="preserve">ՓՈՓՈԽՈՒԹՅՈՒՆՆԵՐ ԵՎ </w:t>
      </w:r>
      <w:r w:rsidRPr="00A865E3">
        <w:rPr>
          <w:rStyle w:val="Strong"/>
          <w:rFonts w:eastAsiaTheme="majorEastAsia"/>
          <w:b w:val="0"/>
        </w:rPr>
        <w:t>ԼՐԱՑՈՒՄՆԵՐ ԿԱՏԱՐԵԼՈՒ ՄԱՍԻՆ</w:t>
      </w:r>
    </w:p>
    <w:p w14:paraId="7633E027" w14:textId="72BD9915" w:rsidR="007268A3" w:rsidRDefault="007268A3" w:rsidP="007268A3">
      <w:pPr>
        <w:pStyle w:val="NormalWeb"/>
        <w:spacing w:before="0" w:beforeAutospacing="0" w:after="0" w:afterAutospacing="0"/>
        <w:ind w:firstLine="0"/>
        <w:jc w:val="center"/>
        <w:rPr>
          <w:rStyle w:val="Strong"/>
          <w:rFonts w:eastAsiaTheme="majorEastAsia" w:cs="Sylfaen"/>
          <w:b w:val="0"/>
        </w:rPr>
      </w:pPr>
    </w:p>
    <w:p w14:paraId="6EA6AE17" w14:textId="77777777" w:rsidR="0065442B" w:rsidRDefault="0065442B" w:rsidP="007268A3">
      <w:pPr>
        <w:pStyle w:val="NormalWeb"/>
        <w:spacing w:before="0" w:beforeAutospacing="0" w:after="0" w:afterAutospacing="0"/>
        <w:ind w:firstLine="0"/>
        <w:jc w:val="center"/>
        <w:rPr>
          <w:rStyle w:val="Strong"/>
          <w:rFonts w:eastAsiaTheme="majorEastAsia" w:cs="Sylfaen"/>
          <w:b w:val="0"/>
        </w:rPr>
      </w:pPr>
    </w:p>
    <w:p w14:paraId="3F2B2843" w14:textId="77777777" w:rsidR="00A865E3" w:rsidRPr="0071450E" w:rsidRDefault="00A865E3" w:rsidP="007268A3">
      <w:pPr>
        <w:pStyle w:val="NormalWeb"/>
        <w:spacing w:before="0" w:beforeAutospacing="0" w:after="0" w:afterAutospacing="0"/>
        <w:ind w:firstLine="0"/>
        <w:jc w:val="center"/>
        <w:rPr>
          <w:rStyle w:val="Strong"/>
          <w:rFonts w:eastAsiaTheme="majorEastAsia" w:cs="Sylfaen"/>
          <w:b w:val="0"/>
        </w:rPr>
      </w:pPr>
    </w:p>
    <w:p w14:paraId="7B35CDD4" w14:textId="77777777" w:rsidR="00CA51F1" w:rsidRDefault="007268A3" w:rsidP="00B26E1D">
      <w:pPr>
        <w:pStyle w:val="ListParagraph"/>
        <w:tabs>
          <w:tab w:val="left" w:pos="1800"/>
        </w:tabs>
        <w:ind w:left="0" w:firstLine="540"/>
        <w:rPr>
          <w:szCs w:val="24"/>
          <w:lang w:val="hy-AM"/>
        </w:rPr>
      </w:pPr>
      <w:bookmarkStart w:id="0" w:name="_Ref792965"/>
      <w:r w:rsidRPr="00CA51F1">
        <w:rPr>
          <w:szCs w:val="24"/>
        </w:rPr>
        <w:t>2016 թվա</w:t>
      </w:r>
      <w:r w:rsidRPr="00CA51F1">
        <w:rPr>
          <w:szCs w:val="24"/>
        </w:rPr>
        <w:softHyphen/>
        <w:t>կանի հոկ</w:t>
      </w:r>
      <w:r w:rsidRPr="00CA51F1">
        <w:rPr>
          <w:szCs w:val="24"/>
        </w:rPr>
        <w:softHyphen/>
      </w:r>
      <w:r w:rsidRPr="00CA51F1">
        <w:rPr>
          <w:szCs w:val="24"/>
        </w:rPr>
        <w:softHyphen/>
        <w:t>տեմբերի 4-ի Հայաստանի Հանրապետության հար</w:t>
      </w:r>
      <w:r w:rsidRPr="00CA51F1">
        <w:rPr>
          <w:szCs w:val="24"/>
        </w:rPr>
        <w:softHyphen/>
        <w:t>կա</w:t>
      </w:r>
      <w:r w:rsidRPr="00CA51F1">
        <w:rPr>
          <w:szCs w:val="24"/>
        </w:rPr>
        <w:softHyphen/>
      </w:r>
      <w:r w:rsidRPr="00CA51F1">
        <w:rPr>
          <w:szCs w:val="24"/>
        </w:rPr>
        <w:softHyphen/>
        <w:t>յին օրենս</w:t>
      </w:r>
      <w:r w:rsidRPr="00CA51F1">
        <w:rPr>
          <w:szCs w:val="24"/>
        </w:rPr>
        <w:softHyphen/>
      </w:r>
      <w:r w:rsidRPr="00CA51F1">
        <w:rPr>
          <w:szCs w:val="24"/>
        </w:rPr>
        <w:softHyphen/>
        <w:t>գրք</w:t>
      </w:r>
      <w:bookmarkEnd w:id="0"/>
      <w:r w:rsidRPr="00CA51F1">
        <w:rPr>
          <w:szCs w:val="24"/>
        </w:rPr>
        <w:t>ի</w:t>
      </w:r>
      <w:r w:rsidRPr="00CA51F1">
        <w:rPr>
          <w:szCs w:val="24"/>
          <w:lang w:val="hy-AM"/>
        </w:rPr>
        <w:t xml:space="preserve"> </w:t>
      </w:r>
      <w:r w:rsidR="001C4C6E" w:rsidRPr="00CA51F1">
        <w:rPr>
          <w:szCs w:val="24"/>
          <w:lang w:val="hy-AM"/>
        </w:rPr>
        <w:t xml:space="preserve">(այսուհետ՝ Օրենսգիրք) </w:t>
      </w:r>
      <w:r w:rsidRPr="00CA51F1">
        <w:rPr>
          <w:szCs w:val="24"/>
          <w:lang w:val="hy-AM"/>
        </w:rPr>
        <w:t>62-րդ հոդված</w:t>
      </w:r>
      <w:r w:rsidR="00797EE5" w:rsidRPr="00CA51F1">
        <w:rPr>
          <w:szCs w:val="24"/>
          <w:lang w:val="hy-AM"/>
        </w:rPr>
        <w:t>ում</w:t>
      </w:r>
      <w:r w:rsidR="00996EDB" w:rsidRPr="00CA51F1">
        <w:rPr>
          <w:szCs w:val="24"/>
          <w:lang w:val="hy-AM"/>
        </w:rPr>
        <w:t>՝</w:t>
      </w:r>
    </w:p>
    <w:p w14:paraId="01F66345" w14:textId="713C5EAE" w:rsidR="00CA51F1" w:rsidRDefault="00797EE5" w:rsidP="00B26E1D">
      <w:pPr>
        <w:pStyle w:val="ListParagraph"/>
        <w:numPr>
          <w:ilvl w:val="0"/>
          <w:numId w:val="5"/>
        </w:numPr>
        <w:tabs>
          <w:tab w:val="left" w:pos="851"/>
        </w:tabs>
        <w:ind w:left="0" w:firstLine="540"/>
        <w:rPr>
          <w:szCs w:val="24"/>
          <w:lang w:val="hy-AM"/>
        </w:rPr>
      </w:pPr>
      <w:r w:rsidRPr="00CA51F1">
        <w:rPr>
          <w:szCs w:val="24"/>
          <w:lang w:val="hy-AM"/>
        </w:rPr>
        <w:t>6-րդ մասում</w:t>
      </w:r>
      <w:r w:rsidRPr="00CA51F1">
        <w:rPr>
          <w:rFonts w:ascii="Calibri" w:hAnsi="Calibri" w:cs="Calibri"/>
          <w:szCs w:val="24"/>
          <w:lang w:val="hy-AM"/>
        </w:rPr>
        <w:t> </w:t>
      </w:r>
      <w:r w:rsidRPr="00CA51F1">
        <w:rPr>
          <w:szCs w:val="24"/>
          <w:lang w:val="hy-AM"/>
        </w:rPr>
        <w:t>«7-րդ մասով» բառերը փոխարինել «7-րդ</w:t>
      </w:r>
      <w:r w:rsidR="00370230" w:rsidRPr="00370230">
        <w:rPr>
          <w:szCs w:val="24"/>
          <w:lang w:val="hy-AM"/>
        </w:rPr>
        <w:t>, 21</w:t>
      </w:r>
      <w:r w:rsidR="00370230">
        <w:rPr>
          <w:szCs w:val="24"/>
          <w:lang w:val="hy-AM"/>
        </w:rPr>
        <w:t>-րդ</w:t>
      </w:r>
      <w:r w:rsidRPr="00CA51F1">
        <w:rPr>
          <w:szCs w:val="24"/>
          <w:lang w:val="hy-AM"/>
        </w:rPr>
        <w:t xml:space="preserve"> և 22-րդ մասերով» բառե</w:t>
      </w:r>
      <w:r w:rsidR="00B26E1D">
        <w:rPr>
          <w:szCs w:val="24"/>
          <w:lang w:val="hy-AM"/>
        </w:rPr>
        <w:softHyphen/>
      </w:r>
      <w:r w:rsidRPr="00CA51F1">
        <w:rPr>
          <w:szCs w:val="24"/>
          <w:lang w:val="hy-AM"/>
        </w:rPr>
        <w:t>րով.</w:t>
      </w:r>
    </w:p>
    <w:p w14:paraId="3CA6D49E" w14:textId="77777777" w:rsidR="00B26E1D" w:rsidRDefault="00421828" w:rsidP="00B26E1D">
      <w:pPr>
        <w:pStyle w:val="ListParagraph"/>
        <w:numPr>
          <w:ilvl w:val="0"/>
          <w:numId w:val="5"/>
        </w:numPr>
        <w:tabs>
          <w:tab w:val="left" w:pos="851"/>
        </w:tabs>
        <w:ind w:left="0" w:firstLine="540"/>
        <w:rPr>
          <w:szCs w:val="24"/>
          <w:lang w:val="hy-AM"/>
        </w:rPr>
      </w:pPr>
      <w:r w:rsidRPr="004014F2">
        <w:rPr>
          <w:szCs w:val="24"/>
          <w:lang w:val="hy-AM"/>
        </w:rPr>
        <w:t>21-րդ մասում</w:t>
      </w:r>
      <w:r w:rsidR="00B26E1D">
        <w:rPr>
          <w:szCs w:val="24"/>
          <w:lang w:val="hy-AM"/>
        </w:rPr>
        <w:t>՝</w:t>
      </w:r>
    </w:p>
    <w:p w14:paraId="3EA13DD5" w14:textId="07BB22D9" w:rsidR="004014F2" w:rsidRDefault="00B26E1D" w:rsidP="00B26E1D">
      <w:pPr>
        <w:pStyle w:val="ListParagraph"/>
        <w:numPr>
          <w:ilvl w:val="0"/>
          <w:numId w:val="0"/>
        </w:numPr>
        <w:tabs>
          <w:tab w:val="left" w:pos="851"/>
        </w:tabs>
        <w:ind w:firstLine="540"/>
        <w:rPr>
          <w:szCs w:val="24"/>
          <w:lang w:val="hy-AM"/>
        </w:rPr>
      </w:pPr>
      <w:r>
        <w:rPr>
          <w:szCs w:val="24"/>
          <w:lang w:val="hy-AM"/>
        </w:rPr>
        <w:t>ա</w:t>
      </w:r>
      <w:r w:rsidRPr="00B26E1D">
        <w:rPr>
          <w:szCs w:val="24"/>
          <w:lang w:val="hy-AM"/>
        </w:rPr>
        <w:t>)</w:t>
      </w:r>
      <w:r w:rsidR="004014F2" w:rsidRPr="004014F2">
        <w:rPr>
          <w:szCs w:val="24"/>
          <w:lang w:val="hy-AM"/>
        </w:rPr>
        <w:t xml:space="preserve"> «և սույն հոդվածով սահմանված կարգով հաշվարկվող ԱԱՀ-ով հարկման բազայի» բառերը</w:t>
      </w:r>
      <w:r>
        <w:rPr>
          <w:szCs w:val="24"/>
          <w:lang w:val="hy-AM"/>
        </w:rPr>
        <w:t xml:space="preserve"> </w:t>
      </w:r>
      <w:r w:rsidR="004014F2" w:rsidRPr="004014F2">
        <w:rPr>
          <w:szCs w:val="24"/>
          <w:lang w:val="hy-AM"/>
        </w:rPr>
        <w:t>փոխարինել</w:t>
      </w:r>
      <w:r w:rsidRPr="00B26E1D">
        <w:rPr>
          <w:szCs w:val="24"/>
          <w:lang w:val="hy-AM"/>
        </w:rPr>
        <w:t xml:space="preserve"> </w:t>
      </w:r>
      <w:r w:rsidR="004014F2" w:rsidRPr="004014F2">
        <w:rPr>
          <w:szCs w:val="24"/>
          <w:lang w:val="hy-AM"/>
        </w:rPr>
        <w:t>«սահմանված կարգով հաշվարկվող ԱԱՀ-ով հարկման բազայի</w:t>
      </w:r>
      <w:r w:rsidR="004014F2">
        <w:rPr>
          <w:szCs w:val="24"/>
          <w:lang w:val="hy-AM"/>
        </w:rPr>
        <w:t>,</w:t>
      </w:r>
      <w:r w:rsidR="004014F2" w:rsidRPr="00797EE5">
        <w:rPr>
          <w:szCs w:val="24"/>
          <w:lang w:val="hy-AM"/>
        </w:rPr>
        <w:t xml:space="preserve"> իսկ</w:t>
      </w:r>
      <w:r w:rsidR="004014F2" w:rsidRPr="00797EE5">
        <w:rPr>
          <w:rFonts w:ascii="Calibri" w:hAnsi="Calibri" w:cs="Calibri"/>
          <w:szCs w:val="24"/>
          <w:lang w:val="hy-AM"/>
        </w:rPr>
        <w:t>  </w:t>
      </w:r>
      <w:r w:rsidR="004014F2" w:rsidRPr="00797EE5">
        <w:rPr>
          <w:szCs w:val="24"/>
          <w:lang w:val="hy-AM"/>
        </w:rPr>
        <w:t>անհատույց կամ իրական արժեքից էականորեն ցածր արժեքով հատուցմամբ գործարքների դեպ</w:t>
      </w:r>
      <w:r w:rsidRPr="00B26E1D">
        <w:rPr>
          <w:szCs w:val="24"/>
          <w:lang w:val="hy-AM"/>
        </w:rPr>
        <w:softHyphen/>
      </w:r>
      <w:r>
        <w:rPr>
          <w:szCs w:val="24"/>
          <w:lang w:val="hy-AM"/>
        </w:rPr>
        <w:softHyphen/>
      </w:r>
      <w:r w:rsidR="004014F2" w:rsidRPr="00797EE5">
        <w:rPr>
          <w:szCs w:val="24"/>
          <w:lang w:val="hy-AM"/>
        </w:rPr>
        <w:t>քում՝ այդ գործարքների իրական արժեքի</w:t>
      </w:r>
      <w:r w:rsidR="006F2FFA">
        <w:rPr>
          <w:szCs w:val="24"/>
          <w:lang w:val="hy-AM"/>
        </w:rPr>
        <w:t xml:space="preserve"> </w:t>
      </w:r>
      <w:r w:rsidR="006F2FFA" w:rsidRPr="006F2FFA">
        <w:rPr>
          <w:szCs w:val="24"/>
          <w:lang w:val="hy-AM"/>
        </w:rPr>
        <w:t>80 տոկոս</w:t>
      </w:r>
      <w:r w:rsidR="006F2FFA">
        <w:rPr>
          <w:szCs w:val="24"/>
          <w:lang w:val="hy-AM"/>
        </w:rPr>
        <w:t>ի</w:t>
      </w:r>
      <w:r w:rsidR="004014F2" w:rsidRPr="004014F2">
        <w:rPr>
          <w:szCs w:val="24"/>
          <w:lang w:val="hy-AM"/>
        </w:rPr>
        <w:t>» բառերով.</w:t>
      </w:r>
    </w:p>
    <w:p w14:paraId="72AAECC5" w14:textId="5D6B4984" w:rsidR="00B26E1D" w:rsidRDefault="00B26E1D" w:rsidP="00B26E1D">
      <w:pPr>
        <w:pStyle w:val="ListParagraph"/>
        <w:numPr>
          <w:ilvl w:val="0"/>
          <w:numId w:val="0"/>
        </w:numPr>
        <w:tabs>
          <w:tab w:val="left" w:pos="851"/>
        </w:tabs>
        <w:ind w:firstLine="540"/>
        <w:rPr>
          <w:szCs w:val="24"/>
          <w:lang w:val="hy-AM"/>
        </w:rPr>
      </w:pPr>
      <w:r>
        <w:rPr>
          <w:szCs w:val="24"/>
          <w:lang w:val="hy-AM"/>
        </w:rPr>
        <w:t>բ</w:t>
      </w:r>
      <w:r w:rsidRPr="00B26E1D">
        <w:rPr>
          <w:szCs w:val="24"/>
          <w:lang w:val="hy-AM"/>
        </w:rPr>
        <w:t>)</w:t>
      </w:r>
      <w:r>
        <w:rPr>
          <w:szCs w:val="24"/>
          <w:lang w:val="hy-AM"/>
        </w:rPr>
        <w:t xml:space="preserve"> լրացնել հետևյալ</w:t>
      </w:r>
      <w:r w:rsidR="00016E81" w:rsidRPr="00016E81">
        <w:rPr>
          <w:szCs w:val="24"/>
          <w:lang w:val="hy-AM"/>
        </w:rPr>
        <w:t xml:space="preserve"> </w:t>
      </w:r>
      <w:r w:rsidR="00016E81" w:rsidRPr="00CA51F1">
        <w:rPr>
          <w:szCs w:val="24"/>
          <w:lang w:val="hy-AM"/>
        </w:rPr>
        <w:t>բովանդակությամբ</w:t>
      </w:r>
      <w:r>
        <w:rPr>
          <w:szCs w:val="24"/>
          <w:lang w:val="hy-AM"/>
        </w:rPr>
        <w:t xml:space="preserve"> </w:t>
      </w:r>
      <w:r w:rsidR="00B44A2F">
        <w:rPr>
          <w:szCs w:val="24"/>
          <w:lang w:val="hy-AM"/>
        </w:rPr>
        <w:t xml:space="preserve">նոր </w:t>
      </w:r>
      <w:r>
        <w:rPr>
          <w:szCs w:val="24"/>
          <w:lang w:val="hy-AM"/>
        </w:rPr>
        <w:t>պարբերություններ.</w:t>
      </w:r>
    </w:p>
    <w:p w14:paraId="72CB37D0" w14:textId="577C7855" w:rsidR="00B26E1D" w:rsidRDefault="00B26E1D" w:rsidP="00B26E1D">
      <w:pPr>
        <w:pStyle w:val="ListParagraph"/>
        <w:numPr>
          <w:ilvl w:val="0"/>
          <w:numId w:val="0"/>
        </w:numPr>
        <w:tabs>
          <w:tab w:val="left" w:pos="810"/>
        </w:tabs>
        <w:ind w:firstLine="540"/>
        <w:rPr>
          <w:szCs w:val="24"/>
          <w:lang w:val="hy-AM"/>
        </w:rPr>
      </w:pPr>
      <w:r w:rsidRPr="004014F2">
        <w:rPr>
          <w:szCs w:val="24"/>
          <w:lang w:val="hy-AM"/>
        </w:rPr>
        <w:t>«</w:t>
      </w:r>
      <w:r>
        <w:rPr>
          <w:szCs w:val="24"/>
          <w:lang w:val="hy-AM"/>
        </w:rPr>
        <w:t xml:space="preserve">Սույն </w:t>
      </w:r>
      <w:r w:rsidR="00B44A2F">
        <w:rPr>
          <w:szCs w:val="24"/>
          <w:lang w:val="hy-AM"/>
        </w:rPr>
        <w:t xml:space="preserve">մասի </w:t>
      </w:r>
      <w:r>
        <w:rPr>
          <w:szCs w:val="24"/>
          <w:lang w:val="hy-AM"/>
        </w:rPr>
        <w:t xml:space="preserve">կիրառության իմաստով </w:t>
      </w:r>
      <w:r w:rsidRPr="0006256A">
        <w:rPr>
          <w:rFonts w:ascii="Calibri" w:hAnsi="Calibri" w:cs="Calibri"/>
          <w:szCs w:val="24"/>
          <w:lang w:val="hy-AM"/>
        </w:rPr>
        <w:t> </w:t>
      </w:r>
      <w:r w:rsidRPr="0006256A">
        <w:rPr>
          <w:szCs w:val="24"/>
          <w:lang w:val="hy-AM"/>
        </w:rPr>
        <w:t>համարվում է, որ ԱԱՀ-ով հարկման օբյեկտ համար</w:t>
      </w:r>
      <w:r w:rsidRPr="00B26E1D">
        <w:rPr>
          <w:szCs w:val="24"/>
          <w:lang w:val="hy-AM"/>
        </w:rPr>
        <w:softHyphen/>
      </w:r>
      <w:r w:rsidRPr="0006256A">
        <w:rPr>
          <w:szCs w:val="24"/>
          <w:lang w:val="hy-AM"/>
        </w:rPr>
        <w:t>վող գործարքն իրականացվել է իրական արժեքից էականորեն ցածր արժեքով, եթե դրա հատուց</w:t>
      </w:r>
      <w:r>
        <w:rPr>
          <w:szCs w:val="24"/>
          <w:lang w:val="hy-AM"/>
        </w:rPr>
        <w:softHyphen/>
      </w:r>
      <w:r w:rsidRPr="0006256A">
        <w:rPr>
          <w:szCs w:val="24"/>
          <w:lang w:val="hy-AM"/>
        </w:rPr>
        <w:t>ման արժեքը (առանց ԱԱՀ-ի) 20 և ավելի տոկոսով ցածր է նույն, իսկ դրա բացա</w:t>
      </w:r>
      <w:r>
        <w:rPr>
          <w:szCs w:val="24"/>
          <w:lang w:val="hy-AM"/>
        </w:rPr>
        <w:softHyphen/>
      </w:r>
      <w:r w:rsidRPr="0006256A">
        <w:rPr>
          <w:szCs w:val="24"/>
          <w:lang w:val="hy-AM"/>
        </w:rPr>
        <w:t>կա</w:t>
      </w:r>
      <w:r>
        <w:rPr>
          <w:szCs w:val="24"/>
          <w:lang w:val="hy-AM"/>
        </w:rPr>
        <w:softHyphen/>
      </w:r>
      <w:r w:rsidRPr="0006256A">
        <w:rPr>
          <w:szCs w:val="24"/>
          <w:lang w:val="hy-AM"/>
        </w:rPr>
        <w:t>յու</w:t>
      </w:r>
      <w:r>
        <w:rPr>
          <w:szCs w:val="24"/>
          <w:lang w:val="hy-AM"/>
        </w:rPr>
        <w:softHyphen/>
      </w:r>
      <w:r w:rsidRPr="0006256A">
        <w:rPr>
          <w:szCs w:val="24"/>
          <w:lang w:val="hy-AM"/>
        </w:rPr>
        <w:t>թյան դեպքում՝ համանման ապրանքի մատակարարման գործարքների իրական արժեքից (առանց ԱԱՀ-ի</w:t>
      </w:r>
      <w:r>
        <w:rPr>
          <w:szCs w:val="24"/>
          <w:lang w:val="hy-AM"/>
        </w:rPr>
        <w:t>):</w:t>
      </w:r>
      <w:r w:rsidRPr="0006256A">
        <w:rPr>
          <w:rFonts w:ascii="Calibri" w:hAnsi="Calibri" w:cs="Calibri"/>
          <w:szCs w:val="24"/>
          <w:lang w:val="hy-AM"/>
        </w:rPr>
        <w:t> </w:t>
      </w:r>
    </w:p>
    <w:p w14:paraId="79290EEF" w14:textId="77777777" w:rsidR="00B26E1D" w:rsidRPr="00D74071" w:rsidRDefault="00B26E1D" w:rsidP="00B26E1D">
      <w:pPr>
        <w:pStyle w:val="ListParagraph"/>
        <w:numPr>
          <w:ilvl w:val="0"/>
          <w:numId w:val="0"/>
        </w:numPr>
        <w:tabs>
          <w:tab w:val="left" w:pos="810"/>
        </w:tabs>
        <w:ind w:firstLine="540"/>
        <w:rPr>
          <w:szCs w:val="24"/>
          <w:lang w:val="hy-AM"/>
        </w:rPr>
      </w:pPr>
      <w:r w:rsidRPr="00996EDB">
        <w:rPr>
          <w:szCs w:val="24"/>
          <w:lang w:val="hy-AM"/>
        </w:rPr>
        <w:t>Սույն մասով սահմանված՝ գործարքի իրական արժեքի որոշման նպատակով կիրառելի են սույն</w:t>
      </w:r>
      <w:r w:rsidRPr="00996EDB">
        <w:rPr>
          <w:rFonts w:ascii="Calibri" w:hAnsi="Calibri" w:cs="Calibri"/>
          <w:szCs w:val="24"/>
          <w:lang w:val="hy-AM"/>
        </w:rPr>
        <w:t>  </w:t>
      </w:r>
      <w:r>
        <w:rPr>
          <w:szCs w:val="24"/>
          <w:lang w:val="hy-AM"/>
        </w:rPr>
        <w:t>հոդվածի</w:t>
      </w:r>
      <w:r w:rsidRPr="00996EDB">
        <w:rPr>
          <w:szCs w:val="24"/>
          <w:lang w:val="hy-AM"/>
        </w:rPr>
        <w:t xml:space="preserve"> 6-րդ</w:t>
      </w:r>
      <w:r>
        <w:rPr>
          <w:szCs w:val="24"/>
          <w:lang w:val="hy-AM"/>
        </w:rPr>
        <w:t xml:space="preserve"> մասի 2-րդ</w:t>
      </w:r>
      <w:r w:rsidRPr="00996EDB">
        <w:rPr>
          <w:szCs w:val="24"/>
          <w:lang w:val="hy-AM"/>
        </w:rPr>
        <w:t xml:space="preserve"> կետով սահմանված դրույթները:»</w:t>
      </w:r>
      <w:r w:rsidRPr="00D74071">
        <w:rPr>
          <w:szCs w:val="24"/>
          <w:lang w:val="hy-AM"/>
        </w:rPr>
        <w:t>:</w:t>
      </w:r>
    </w:p>
    <w:p w14:paraId="75B461FC" w14:textId="5D214425" w:rsidR="007268A3" w:rsidRPr="00CA51F1" w:rsidRDefault="007268A3" w:rsidP="00B26E1D">
      <w:pPr>
        <w:pStyle w:val="ListParagraph"/>
        <w:numPr>
          <w:ilvl w:val="0"/>
          <w:numId w:val="5"/>
        </w:numPr>
        <w:tabs>
          <w:tab w:val="left" w:pos="851"/>
        </w:tabs>
        <w:ind w:left="0" w:firstLine="540"/>
        <w:rPr>
          <w:szCs w:val="24"/>
          <w:lang w:val="hy-AM"/>
        </w:rPr>
      </w:pPr>
      <w:r w:rsidRPr="00CA51F1">
        <w:rPr>
          <w:szCs w:val="24"/>
          <w:lang w:val="hy-AM"/>
        </w:rPr>
        <w:lastRenderedPageBreak/>
        <w:t>լրացնել հետևյալ բովանդակությամբ 22-րդ մաս.</w:t>
      </w:r>
    </w:p>
    <w:p w14:paraId="242003F9" w14:textId="5CE81673" w:rsidR="007268A3" w:rsidRPr="0071450E" w:rsidRDefault="007268A3" w:rsidP="00B26E1D">
      <w:pPr>
        <w:pStyle w:val="ListParagraph"/>
        <w:numPr>
          <w:ilvl w:val="0"/>
          <w:numId w:val="0"/>
        </w:numPr>
        <w:ind w:firstLine="540"/>
        <w:rPr>
          <w:szCs w:val="24"/>
          <w:lang w:val="hy-AM"/>
        </w:rPr>
      </w:pPr>
      <w:r w:rsidRPr="0071450E">
        <w:rPr>
          <w:szCs w:val="24"/>
          <w:lang w:val="hy-AM"/>
        </w:rPr>
        <w:t xml:space="preserve">«22. </w:t>
      </w:r>
      <w:bookmarkStart w:id="1" w:name="_Hlk158729895"/>
      <w:r w:rsidRPr="0071450E">
        <w:rPr>
          <w:szCs w:val="24"/>
          <w:lang w:val="hy-AM"/>
        </w:rPr>
        <w:t>Ոսկուց</w:t>
      </w:r>
      <w:r w:rsidR="00A77742">
        <w:rPr>
          <w:szCs w:val="24"/>
          <w:lang w:val="hy-AM"/>
        </w:rPr>
        <w:t xml:space="preserve"> և </w:t>
      </w:r>
      <w:r w:rsidR="00A77742" w:rsidRPr="00A77742">
        <w:rPr>
          <w:szCs w:val="24"/>
          <w:lang w:val="hy-AM"/>
        </w:rPr>
        <w:t>թանկարժեք քարերից</w:t>
      </w:r>
      <w:r w:rsidRPr="00A77742">
        <w:rPr>
          <w:szCs w:val="24"/>
          <w:lang w:val="hy-AM"/>
        </w:rPr>
        <w:t xml:space="preserve"> </w:t>
      </w:r>
      <w:r w:rsidRPr="0071450E">
        <w:rPr>
          <w:szCs w:val="24"/>
          <w:lang w:val="hy-AM"/>
        </w:rPr>
        <w:t>պատրաստված իրերի օտարման դեպքում ԱԱՀ-ով հարկման բազա է համար</w:t>
      </w:r>
      <w:r w:rsidRPr="0071450E">
        <w:rPr>
          <w:szCs w:val="24"/>
          <w:lang w:val="hy-AM"/>
        </w:rPr>
        <w:softHyphen/>
        <w:t>վում՝</w:t>
      </w:r>
    </w:p>
    <w:p w14:paraId="7B453202" w14:textId="487EB1C5" w:rsidR="007268A3" w:rsidRPr="0071450E" w:rsidRDefault="00CA51F1" w:rsidP="00B26E1D">
      <w:pPr>
        <w:pStyle w:val="ListParagraph"/>
        <w:numPr>
          <w:ilvl w:val="0"/>
          <w:numId w:val="3"/>
        </w:numPr>
        <w:tabs>
          <w:tab w:val="left" w:pos="810"/>
        </w:tabs>
        <w:ind w:left="0" w:firstLine="540"/>
        <w:rPr>
          <w:szCs w:val="24"/>
          <w:lang w:val="hy-AM"/>
        </w:rPr>
      </w:pPr>
      <w:r>
        <w:rPr>
          <w:szCs w:val="24"/>
          <w:lang w:val="hy-AM"/>
        </w:rPr>
        <w:t>ո</w:t>
      </w:r>
      <w:r w:rsidR="007268A3" w:rsidRPr="0071450E">
        <w:rPr>
          <w:szCs w:val="24"/>
          <w:lang w:val="hy-AM"/>
        </w:rPr>
        <w:t>սկուց</w:t>
      </w:r>
      <w:r w:rsidR="00A77742">
        <w:rPr>
          <w:szCs w:val="24"/>
          <w:lang w:val="hy-AM"/>
        </w:rPr>
        <w:t xml:space="preserve"> և թանկարժեք քարերից</w:t>
      </w:r>
      <w:r w:rsidR="007268A3" w:rsidRPr="0071450E">
        <w:rPr>
          <w:szCs w:val="24"/>
          <w:lang w:val="hy-AM"/>
        </w:rPr>
        <w:t xml:space="preserve"> պատրաստված իրեր արտադրողի կողմից արտադրված՝ ոսկուց</w:t>
      </w:r>
      <w:r w:rsidR="00A77742">
        <w:rPr>
          <w:szCs w:val="24"/>
          <w:lang w:val="hy-AM"/>
        </w:rPr>
        <w:t xml:space="preserve"> և թանկարժեք քարերից</w:t>
      </w:r>
      <w:r w:rsidR="007268A3" w:rsidRPr="0071450E">
        <w:rPr>
          <w:szCs w:val="24"/>
          <w:lang w:val="hy-AM"/>
        </w:rPr>
        <w:t xml:space="preserve"> պատրաստված իրերի օտարման գոր</w:t>
      </w:r>
      <w:r w:rsidR="007268A3" w:rsidRPr="0071450E">
        <w:rPr>
          <w:szCs w:val="24"/>
          <w:lang w:val="hy-AM"/>
        </w:rPr>
        <w:softHyphen/>
        <w:t>ծարք</w:t>
      </w:r>
      <w:r w:rsidR="007268A3" w:rsidRPr="0071450E">
        <w:rPr>
          <w:szCs w:val="24"/>
          <w:lang w:val="hy-AM"/>
        </w:rPr>
        <w:softHyphen/>
        <w:t>ների մասով՝ Օրենս</w:t>
      </w:r>
      <w:r w:rsidR="004014F2" w:rsidRPr="004014F2">
        <w:rPr>
          <w:szCs w:val="24"/>
          <w:lang w:val="hy-AM"/>
        </w:rPr>
        <w:softHyphen/>
      </w:r>
      <w:r w:rsidR="007268A3" w:rsidRPr="0071450E">
        <w:rPr>
          <w:szCs w:val="24"/>
          <w:lang w:val="hy-AM"/>
        </w:rPr>
        <w:t>գրքի 61-րդ հոդվածով սահ</w:t>
      </w:r>
      <w:r w:rsidR="007268A3" w:rsidRPr="0071450E">
        <w:rPr>
          <w:szCs w:val="24"/>
          <w:lang w:val="hy-AM"/>
        </w:rPr>
        <w:softHyphen/>
        <w:t>ման</w:t>
      </w:r>
      <w:r w:rsidR="007268A3" w:rsidRPr="0071450E">
        <w:rPr>
          <w:szCs w:val="24"/>
          <w:lang w:val="hy-AM"/>
        </w:rPr>
        <w:softHyphen/>
        <w:t>ված կարգով հաշ</w:t>
      </w:r>
      <w:r w:rsidR="007268A3" w:rsidRPr="0071450E">
        <w:rPr>
          <w:szCs w:val="24"/>
          <w:lang w:val="hy-AM"/>
        </w:rPr>
        <w:softHyphen/>
        <w:t>վարկ</w:t>
      </w:r>
      <w:r w:rsidR="007268A3" w:rsidRPr="0071450E">
        <w:rPr>
          <w:szCs w:val="24"/>
          <w:lang w:val="hy-AM"/>
        </w:rPr>
        <w:softHyphen/>
        <w:t>վող՝ ԱԱՀ-ով հարկ</w:t>
      </w:r>
      <w:r w:rsidR="007268A3" w:rsidRPr="0071450E">
        <w:rPr>
          <w:szCs w:val="24"/>
          <w:lang w:val="hy-AM"/>
        </w:rPr>
        <w:softHyphen/>
      </w:r>
      <w:r w:rsidR="007268A3" w:rsidRPr="0071450E">
        <w:rPr>
          <w:szCs w:val="24"/>
          <w:lang w:val="hy-AM"/>
        </w:rPr>
        <w:softHyphen/>
        <w:t>ման բազայի</w:t>
      </w:r>
      <w:r w:rsidR="002B66E7">
        <w:rPr>
          <w:szCs w:val="24"/>
          <w:lang w:val="hy-AM"/>
        </w:rPr>
        <w:t xml:space="preserve">, </w:t>
      </w:r>
      <w:r w:rsidR="00370230" w:rsidRPr="00797EE5">
        <w:rPr>
          <w:szCs w:val="24"/>
          <w:lang w:val="hy-AM"/>
        </w:rPr>
        <w:t>իսկ</w:t>
      </w:r>
      <w:r w:rsidR="002B66E7">
        <w:rPr>
          <w:rFonts w:ascii="Calibri" w:hAnsi="Calibri" w:cs="Calibri"/>
          <w:szCs w:val="24"/>
          <w:lang w:val="hy-AM"/>
        </w:rPr>
        <w:t xml:space="preserve"> </w:t>
      </w:r>
      <w:r w:rsidR="00370230" w:rsidRPr="00797EE5">
        <w:rPr>
          <w:szCs w:val="24"/>
          <w:lang w:val="hy-AM"/>
        </w:rPr>
        <w:t>անհա</w:t>
      </w:r>
      <w:r w:rsidR="002B66E7">
        <w:rPr>
          <w:szCs w:val="24"/>
          <w:lang w:val="hy-AM"/>
        </w:rPr>
        <w:softHyphen/>
      </w:r>
      <w:r w:rsidR="00370230" w:rsidRPr="00797EE5">
        <w:rPr>
          <w:szCs w:val="24"/>
          <w:lang w:val="hy-AM"/>
        </w:rPr>
        <w:t>տույց կամ իրական արժեքից էականորեն ցածր արժեքով հատուցմամբ գործարքների դեպ</w:t>
      </w:r>
      <w:r w:rsidR="002B66E7">
        <w:rPr>
          <w:szCs w:val="24"/>
          <w:lang w:val="hy-AM"/>
        </w:rPr>
        <w:softHyphen/>
      </w:r>
      <w:r w:rsidR="00370230" w:rsidRPr="00797EE5">
        <w:rPr>
          <w:szCs w:val="24"/>
          <w:lang w:val="hy-AM"/>
        </w:rPr>
        <w:t>քում՝ այդ գործարքների իրական արժեքի</w:t>
      </w:r>
      <w:r w:rsidR="001B2E44">
        <w:rPr>
          <w:szCs w:val="24"/>
          <w:lang w:val="hy-AM"/>
        </w:rPr>
        <w:t xml:space="preserve"> </w:t>
      </w:r>
      <w:r w:rsidR="001B2E44" w:rsidRPr="006F2FFA">
        <w:rPr>
          <w:szCs w:val="24"/>
          <w:lang w:val="hy-AM"/>
        </w:rPr>
        <w:t>80 տոկոս</w:t>
      </w:r>
      <w:r w:rsidR="001B2E44">
        <w:rPr>
          <w:szCs w:val="24"/>
          <w:lang w:val="hy-AM"/>
        </w:rPr>
        <w:t>ի</w:t>
      </w:r>
      <w:r w:rsidR="007268A3" w:rsidRPr="0071450E">
        <w:rPr>
          <w:szCs w:val="24"/>
          <w:lang w:val="hy-AM"/>
        </w:rPr>
        <w:t xml:space="preserve"> և Օրենս</w:t>
      </w:r>
      <w:r w:rsidR="004014F2">
        <w:rPr>
          <w:szCs w:val="24"/>
          <w:lang w:val="hy-AM"/>
        </w:rPr>
        <w:softHyphen/>
      </w:r>
      <w:r w:rsidR="007268A3" w:rsidRPr="0071450E">
        <w:rPr>
          <w:szCs w:val="24"/>
          <w:lang w:val="hy-AM"/>
        </w:rPr>
        <w:t>գրքի 55-րդ հոդվածի 2-րդ մասի 1-4-րդ կետերով, ինչ</w:t>
      </w:r>
      <w:r w:rsidR="007268A3" w:rsidRPr="0071450E">
        <w:rPr>
          <w:szCs w:val="24"/>
          <w:lang w:val="hy-AM"/>
        </w:rPr>
        <w:softHyphen/>
        <w:t>պես նաև 13-րդ մասով սահմանված փաս</w:t>
      </w:r>
      <w:r w:rsidR="004014F2">
        <w:rPr>
          <w:szCs w:val="24"/>
          <w:lang w:val="hy-AM"/>
        </w:rPr>
        <w:softHyphen/>
      </w:r>
      <w:r w:rsidR="007268A3" w:rsidRPr="0071450E">
        <w:rPr>
          <w:szCs w:val="24"/>
          <w:lang w:val="hy-AM"/>
        </w:rPr>
        <w:t>տա</w:t>
      </w:r>
      <w:r w:rsidR="004014F2">
        <w:rPr>
          <w:szCs w:val="24"/>
          <w:lang w:val="hy-AM"/>
        </w:rPr>
        <w:softHyphen/>
      </w:r>
      <w:r w:rsidR="007268A3" w:rsidRPr="0071450E">
        <w:rPr>
          <w:szCs w:val="24"/>
          <w:lang w:val="hy-AM"/>
        </w:rPr>
        <w:t>թղթերով հիմ</w:t>
      </w:r>
      <w:r w:rsidR="007268A3" w:rsidRPr="0071450E">
        <w:rPr>
          <w:szCs w:val="24"/>
          <w:lang w:val="hy-AM"/>
        </w:rPr>
        <w:softHyphen/>
        <w:t>նա</w:t>
      </w:r>
      <w:r w:rsidR="007268A3" w:rsidRPr="0071450E">
        <w:rPr>
          <w:szCs w:val="24"/>
          <w:lang w:val="hy-AM"/>
        </w:rPr>
        <w:softHyphen/>
        <w:t>վոր</w:t>
      </w:r>
      <w:r w:rsidR="007268A3" w:rsidRPr="0071450E">
        <w:rPr>
          <w:szCs w:val="24"/>
          <w:lang w:val="hy-AM"/>
        </w:rPr>
        <w:softHyphen/>
      </w:r>
      <w:r w:rsidR="007268A3" w:rsidRPr="0071450E">
        <w:rPr>
          <w:szCs w:val="24"/>
          <w:lang w:val="hy-AM"/>
        </w:rPr>
        <w:softHyphen/>
      </w:r>
      <w:r w:rsidR="007268A3" w:rsidRPr="0071450E">
        <w:rPr>
          <w:szCs w:val="24"/>
          <w:lang w:val="hy-AM"/>
        </w:rPr>
        <w:softHyphen/>
        <w:t>ված՝ տվյալ իրի արտադրության համար օգտագործված ոսկու</w:t>
      </w:r>
      <w:r w:rsidR="00A77742">
        <w:rPr>
          <w:szCs w:val="24"/>
          <w:lang w:val="hy-AM"/>
        </w:rPr>
        <w:t xml:space="preserve"> և թան</w:t>
      </w:r>
      <w:r w:rsidR="004014F2">
        <w:rPr>
          <w:szCs w:val="24"/>
          <w:lang w:val="hy-AM"/>
        </w:rPr>
        <w:softHyphen/>
      </w:r>
      <w:r w:rsidR="00A77742">
        <w:rPr>
          <w:szCs w:val="24"/>
          <w:lang w:val="hy-AM"/>
        </w:rPr>
        <w:t>կար</w:t>
      </w:r>
      <w:r w:rsidR="004014F2">
        <w:rPr>
          <w:szCs w:val="24"/>
          <w:lang w:val="hy-AM"/>
        </w:rPr>
        <w:softHyphen/>
      </w:r>
      <w:r w:rsidR="00A77742">
        <w:rPr>
          <w:szCs w:val="24"/>
          <w:lang w:val="hy-AM"/>
        </w:rPr>
        <w:t xml:space="preserve">ժեք քարերի </w:t>
      </w:r>
      <w:r w:rsidR="007268A3" w:rsidRPr="0071450E">
        <w:rPr>
          <w:szCs w:val="24"/>
          <w:lang w:val="hy-AM"/>
        </w:rPr>
        <w:t>ձեռք բերման գնի դրական տար</w:t>
      </w:r>
      <w:r w:rsidR="007268A3">
        <w:rPr>
          <w:szCs w:val="24"/>
          <w:lang w:val="hy-AM"/>
        </w:rPr>
        <w:softHyphen/>
      </w:r>
      <w:r w:rsidR="007268A3" w:rsidRPr="0071450E">
        <w:rPr>
          <w:szCs w:val="24"/>
          <w:lang w:val="hy-AM"/>
        </w:rPr>
        <w:t>բերություն</w:t>
      </w:r>
      <w:bookmarkEnd w:id="1"/>
      <w:r w:rsidR="007268A3" w:rsidRPr="0071450E">
        <w:rPr>
          <w:szCs w:val="24"/>
          <w:lang w:val="hy-AM"/>
        </w:rPr>
        <w:t>ը</w:t>
      </w:r>
      <w:r w:rsidR="007268A3">
        <w:rPr>
          <w:szCs w:val="24"/>
          <w:lang w:val="hy-AM"/>
        </w:rPr>
        <w:t>:</w:t>
      </w:r>
      <w:r w:rsidR="007268A3" w:rsidRPr="00D74071">
        <w:rPr>
          <w:szCs w:val="24"/>
          <w:lang w:val="hy-AM"/>
        </w:rPr>
        <w:t xml:space="preserve"> </w:t>
      </w:r>
      <w:r w:rsidR="007268A3" w:rsidRPr="0071450E">
        <w:rPr>
          <w:szCs w:val="24"/>
          <w:lang w:val="hy-AM"/>
        </w:rPr>
        <w:t xml:space="preserve">Սույն </w:t>
      </w:r>
      <w:r w:rsidR="007268A3">
        <w:rPr>
          <w:szCs w:val="24"/>
          <w:lang w:val="hy-AM"/>
        </w:rPr>
        <w:t>կետի</w:t>
      </w:r>
      <w:r w:rsidR="007268A3" w:rsidRPr="0071450E">
        <w:rPr>
          <w:szCs w:val="24"/>
          <w:lang w:val="hy-AM"/>
        </w:rPr>
        <w:t xml:space="preserve"> համաձայն հաշ</w:t>
      </w:r>
      <w:r w:rsidR="007268A3" w:rsidRPr="0071450E">
        <w:rPr>
          <w:szCs w:val="24"/>
          <w:lang w:val="hy-AM"/>
        </w:rPr>
        <w:softHyphen/>
        <w:t>վարկվող ԱԱՀ-ով հարկման բազան չի կարող պակաս լինել Օրենս</w:t>
      </w:r>
      <w:r w:rsidR="00A865E3">
        <w:rPr>
          <w:szCs w:val="24"/>
          <w:lang w:val="hy-AM"/>
        </w:rPr>
        <w:softHyphen/>
      </w:r>
      <w:r w:rsidR="007268A3" w:rsidRPr="0071450E">
        <w:rPr>
          <w:szCs w:val="24"/>
          <w:lang w:val="hy-AM"/>
        </w:rPr>
        <w:t>գրքի 61-րդ հոդվածով սահմանված կարգով հաշվարկվող ԱԱՀ-ով հարկ</w:t>
      </w:r>
      <w:r w:rsidR="007268A3" w:rsidRPr="0071450E">
        <w:rPr>
          <w:szCs w:val="24"/>
          <w:lang w:val="hy-AM"/>
        </w:rPr>
        <w:softHyphen/>
      </w:r>
      <w:r w:rsidR="007268A3" w:rsidRPr="0071450E">
        <w:rPr>
          <w:szCs w:val="24"/>
          <w:lang w:val="hy-AM"/>
        </w:rPr>
        <w:softHyphen/>
        <w:t>մա</w:t>
      </w:r>
      <w:r w:rsidR="007268A3" w:rsidRPr="001B0F50">
        <w:rPr>
          <w:szCs w:val="24"/>
          <w:lang w:val="hy-AM"/>
        </w:rPr>
        <w:t>ն բազայի</w:t>
      </w:r>
      <w:r w:rsidR="00797EE5">
        <w:rPr>
          <w:szCs w:val="24"/>
          <w:lang w:val="hy-AM"/>
        </w:rPr>
        <w:t xml:space="preserve">, </w:t>
      </w:r>
      <w:r w:rsidR="00797EE5" w:rsidRPr="00797EE5">
        <w:rPr>
          <w:szCs w:val="24"/>
          <w:lang w:val="hy-AM"/>
        </w:rPr>
        <w:t>իսկ</w:t>
      </w:r>
      <w:r w:rsidR="00797EE5" w:rsidRPr="00797EE5">
        <w:rPr>
          <w:rFonts w:ascii="Calibri" w:hAnsi="Calibri" w:cs="Calibri"/>
          <w:szCs w:val="24"/>
          <w:lang w:val="hy-AM"/>
        </w:rPr>
        <w:t>  </w:t>
      </w:r>
      <w:r w:rsidR="00797EE5" w:rsidRPr="00797EE5">
        <w:rPr>
          <w:szCs w:val="24"/>
          <w:lang w:val="hy-AM"/>
        </w:rPr>
        <w:t>անհատույց կամ իրական արժեքից էականորեն ցածր արժեքով հատուցմամբ գործարքների դեպքում՝ այդ գործարքների իրական արժեքի</w:t>
      </w:r>
      <w:r w:rsidR="006F2FFA">
        <w:rPr>
          <w:szCs w:val="24"/>
          <w:lang w:val="hy-AM"/>
        </w:rPr>
        <w:t xml:space="preserve"> </w:t>
      </w:r>
      <w:r w:rsidR="006F2FFA" w:rsidRPr="006F2FFA">
        <w:rPr>
          <w:szCs w:val="24"/>
          <w:lang w:val="hy-AM"/>
        </w:rPr>
        <w:t>80 տոկոսի</w:t>
      </w:r>
      <w:r w:rsidR="007268A3" w:rsidRPr="001B0F50">
        <w:rPr>
          <w:szCs w:val="24"/>
          <w:lang w:val="hy-AM"/>
        </w:rPr>
        <w:t xml:space="preserve"> 25 տոկո</w:t>
      </w:r>
      <w:r w:rsidR="00854B26" w:rsidRPr="00854B26">
        <w:rPr>
          <w:szCs w:val="24"/>
          <w:lang w:val="hy-AM"/>
        </w:rPr>
        <w:softHyphen/>
      </w:r>
      <w:r w:rsidR="007268A3" w:rsidRPr="001B0F50">
        <w:rPr>
          <w:szCs w:val="24"/>
          <w:lang w:val="hy-AM"/>
        </w:rPr>
        <w:t>սից</w:t>
      </w:r>
      <w:r w:rsidR="007268A3">
        <w:rPr>
          <w:szCs w:val="24"/>
          <w:lang w:val="hy-AM"/>
        </w:rPr>
        <w:t>.</w:t>
      </w:r>
    </w:p>
    <w:p w14:paraId="6B69DA95" w14:textId="13A7E71F" w:rsidR="00996EDB" w:rsidRDefault="00CA51F1" w:rsidP="00B26E1D">
      <w:pPr>
        <w:pStyle w:val="ListParagraph"/>
        <w:numPr>
          <w:ilvl w:val="0"/>
          <w:numId w:val="3"/>
        </w:numPr>
        <w:tabs>
          <w:tab w:val="left" w:pos="810"/>
        </w:tabs>
        <w:ind w:left="0" w:firstLine="540"/>
        <w:rPr>
          <w:szCs w:val="24"/>
          <w:lang w:val="hy-AM"/>
        </w:rPr>
      </w:pPr>
      <w:r>
        <w:rPr>
          <w:szCs w:val="24"/>
          <w:lang w:val="hy-AM"/>
        </w:rPr>
        <w:t>ո</w:t>
      </w:r>
      <w:r w:rsidR="007268A3" w:rsidRPr="0071450E">
        <w:rPr>
          <w:szCs w:val="24"/>
          <w:lang w:val="hy-AM"/>
        </w:rPr>
        <w:t>սկուց</w:t>
      </w:r>
      <w:r w:rsidR="00A77742">
        <w:rPr>
          <w:szCs w:val="24"/>
          <w:lang w:val="hy-AM"/>
        </w:rPr>
        <w:t xml:space="preserve"> և թանկարժեք քարերից</w:t>
      </w:r>
      <w:r w:rsidR="007268A3" w:rsidRPr="0071450E">
        <w:rPr>
          <w:szCs w:val="24"/>
          <w:lang w:val="hy-AM"/>
        </w:rPr>
        <w:t xml:space="preserve"> պատրաստված իրերի առևտրական (առք ու վաճառքի) գործունեությամբ զբաղ</w:t>
      </w:r>
      <w:r w:rsidR="007268A3" w:rsidRPr="0071450E">
        <w:rPr>
          <w:szCs w:val="24"/>
          <w:lang w:val="hy-AM"/>
        </w:rPr>
        <w:softHyphen/>
        <w:t>վող անձանց կողմից ոսկուց</w:t>
      </w:r>
      <w:r w:rsidR="00A77742">
        <w:rPr>
          <w:szCs w:val="24"/>
          <w:lang w:val="hy-AM"/>
        </w:rPr>
        <w:t xml:space="preserve"> և թանկարժեք քարերից</w:t>
      </w:r>
      <w:r w:rsidR="007268A3" w:rsidRPr="0071450E">
        <w:rPr>
          <w:szCs w:val="24"/>
          <w:lang w:val="hy-AM"/>
        </w:rPr>
        <w:t xml:space="preserve"> պատրաստված իրերի օտարման գործարքների մասով՝ Օրենսգրքի 61-րդ հոդվածով սահմանված կարգով հաշ</w:t>
      </w:r>
      <w:r w:rsidRPr="00CA51F1">
        <w:rPr>
          <w:szCs w:val="24"/>
          <w:lang w:val="hy-AM"/>
        </w:rPr>
        <w:softHyphen/>
      </w:r>
      <w:r w:rsidR="007268A3" w:rsidRPr="0071450E">
        <w:rPr>
          <w:szCs w:val="24"/>
          <w:lang w:val="hy-AM"/>
        </w:rPr>
        <w:t>վարկ</w:t>
      </w:r>
      <w:r>
        <w:rPr>
          <w:szCs w:val="24"/>
          <w:lang w:val="hy-AM"/>
        </w:rPr>
        <w:softHyphen/>
      </w:r>
      <w:r w:rsidR="007268A3" w:rsidRPr="0071450E">
        <w:rPr>
          <w:szCs w:val="24"/>
          <w:lang w:val="hy-AM"/>
        </w:rPr>
        <w:t>վող՝ ԱԱՀ-ով հարկ</w:t>
      </w:r>
      <w:r w:rsidR="007268A3" w:rsidRPr="0071450E">
        <w:rPr>
          <w:szCs w:val="24"/>
          <w:lang w:val="hy-AM"/>
        </w:rPr>
        <w:softHyphen/>
      </w:r>
      <w:r w:rsidR="007268A3" w:rsidRPr="0071450E">
        <w:rPr>
          <w:szCs w:val="24"/>
          <w:lang w:val="hy-AM"/>
        </w:rPr>
        <w:softHyphen/>
        <w:t>ման բազայի</w:t>
      </w:r>
      <w:r w:rsidR="00797EE5">
        <w:rPr>
          <w:szCs w:val="24"/>
          <w:lang w:val="hy-AM"/>
        </w:rPr>
        <w:t>,</w:t>
      </w:r>
      <w:r w:rsidR="002B66E7">
        <w:rPr>
          <w:szCs w:val="24"/>
          <w:lang w:val="hy-AM"/>
        </w:rPr>
        <w:t xml:space="preserve"> </w:t>
      </w:r>
      <w:r w:rsidR="00797EE5" w:rsidRPr="00797EE5">
        <w:rPr>
          <w:szCs w:val="24"/>
          <w:lang w:val="hy-AM"/>
        </w:rPr>
        <w:t>իսկ</w:t>
      </w:r>
      <w:r w:rsidR="002B66E7">
        <w:rPr>
          <w:rFonts w:ascii="Calibri" w:hAnsi="Calibri" w:cs="Calibri"/>
          <w:szCs w:val="24"/>
          <w:lang w:val="hy-AM"/>
        </w:rPr>
        <w:t xml:space="preserve"> </w:t>
      </w:r>
      <w:r w:rsidR="00797EE5" w:rsidRPr="00797EE5">
        <w:rPr>
          <w:szCs w:val="24"/>
          <w:lang w:val="hy-AM"/>
        </w:rPr>
        <w:t>անհատույց կամ իրական արժեքից էականորեն ցածր արժեքով հատուցմամբ գործարքների դեպքում՝ այդ գործարքների իրական արժեքի</w:t>
      </w:r>
      <w:r w:rsidR="006F2FFA">
        <w:rPr>
          <w:szCs w:val="24"/>
          <w:lang w:val="hy-AM"/>
        </w:rPr>
        <w:t xml:space="preserve"> </w:t>
      </w:r>
      <w:r w:rsidR="006F2FFA" w:rsidRPr="006F2FFA">
        <w:rPr>
          <w:szCs w:val="24"/>
          <w:lang w:val="hy-AM"/>
        </w:rPr>
        <w:t>80 տոկոս</w:t>
      </w:r>
      <w:r w:rsidR="006F2FFA">
        <w:rPr>
          <w:szCs w:val="24"/>
          <w:lang w:val="hy-AM"/>
        </w:rPr>
        <w:t>ի</w:t>
      </w:r>
      <w:r w:rsidR="007268A3" w:rsidRPr="0071450E">
        <w:rPr>
          <w:szCs w:val="24"/>
          <w:lang w:val="hy-AM"/>
        </w:rPr>
        <w:t xml:space="preserve"> և Օրենս</w:t>
      </w:r>
      <w:r w:rsidR="004014F2" w:rsidRPr="00336C77">
        <w:rPr>
          <w:szCs w:val="24"/>
          <w:lang w:val="hy-AM"/>
        </w:rPr>
        <w:softHyphen/>
      </w:r>
      <w:r w:rsidR="007268A3" w:rsidRPr="0071450E">
        <w:rPr>
          <w:szCs w:val="24"/>
          <w:lang w:val="hy-AM"/>
        </w:rPr>
        <w:t>գրքի 55-րդ հոդվածի 2-րդ մասի 1-4-րդ կետերով, ինչպես նաև 13-րդ մասով սահ</w:t>
      </w:r>
      <w:r w:rsidR="007268A3" w:rsidRPr="0071450E">
        <w:rPr>
          <w:szCs w:val="24"/>
          <w:lang w:val="hy-AM"/>
        </w:rPr>
        <w:softHyphen/>
      </w:r>
      <w:r w:rsidR="007268A3" w:rsidRPr="0071450E">
        <w:rPr>
          <w:szCs w:val="24"/>
          <w:lang w:val="hy-AM"/>
        </w:rPr>
        <w:softHyphen/>
      </w:r>
      <w:r w:rsidR="007268A3" w:rsidRPr="0071450E">
        <w:rPr>
          <w:szCs w:val="24"/>
          <w:lang w:val="hy-AM"/>
        </w:rPr>
        <w:softHyphen/>
      </w:r>
      <w:r w:rsidR="007268A3" w:rsidRPr="0071450E">
        <w:rPr>
          <w:szCs w:val="24"/>
          <w:lang w:val="hy-AM"/>
        </w:rPr>
        <w:softHyphen/>
        <w:t>մանված փաս</w:t>
      </w:r>
      <w:r w:rsidR="002B66E7">
        <w:rPr>
          <w:szCs w:val="24"/>
          <w:lang w:val="hy-AM"/>
        </w:rPr>
        <w:softHyphen/>
      </w:r>
      <w:r w:rsidR="007268A3" w:rsidRPr="0071450E">
        <w:rPr>
          <w:szCs w:val="24"/>
          <w:lang w:val="hy-AM"/>
        </w:rPr>
        <w:t>տա</w:t>
      </w:r>
      <w:r w:rsidR="002B66E7">
        <w:rPr>
          <w:szCs w:val="24"/>
          <w:lang w:val="hy-AM"/>
        </w:rPr>
        <w:softHyphen/>
      </w:r>
      <w:r w:rsidR="007268A3" w:rsidRPr="0071450E">
        <w:rPr>
          <w:szCs w:val="24"/>
          <w:lang w:val="hy-AM"/>
        </w:rPr>
        <w:t>թղթերով հիմ</w:t>
      </w:r>
      <w:r w:rsidR="007268A3" w:rsidRPr="0071450E">
        <w:rPr>
          <w:szCs w:val="24"/>
          <w:lang w:val="hy-AM"/>
        </w:rPr>
        <w:softHyphen/>
        <w:t>նա</w:t>
      </w:r>
      <w:r w:rsidR="007268A3" w:rsidRPr="0071450E">
        <w:rPr>
          <w:szCs w:val="24"/>
          <w:lang w:val="hy-AM"/>
        </w:rPr>
        <w:softHyphen/>
        <w:t>վոր</w:t>
      </w:r>
      <w:r w:rsidR="007268A3" w:rsidRPr="0071450E">
        <w:rPr>
          <w:szCs w:val="24"/>
          <w:lang w:val="hy-AM"/>
        </w:rPr>
        <w:softHyphen/>
      </w:r>
      <w:r w:rsidR="007268A3" w:rsidRPr="0071450E">
        <w:rPr>
          <w:szCs w:val="24"/>
          <w:lang w:val="hy-AM"/>
        </w:rPr>
        <w:softHyphen/>
      </w:r>
      <w:r w:rsidR="007268A3" w:rsidRPr="0071450E">
        <w:rPr>
          <w:szCs w:val="24"/>
          <w:lang w:val="hy-AM"/>
        </w:rPr>
        <w:softHyphen/>
        <w:t>ված՝ տվյալ իրի ձեռք բերման գնի</w:t>
      </w:r>
      <w:r w:rsidR="007268A3">
        <w:rPr>
          <w:szCs w:val="24"/>
          <w:lang w:val="hy-AM"/>
        </w:rPr>
        <w:t xml:space="preserve"> ներառյալ՝ ԱԱՀ-ն</w:t>
      </w:r>
      <w:r w:rsidR="007268A3" w:rsidRPr="0071450E">
        <w:rPr>
          <w:szCs w:val="24"/>
          <w:lang w:val="hy-AM"/>
        </w:rPr>
        <w:t xml:space="preserve"> դրական տար</w:t>
      </w:r>
      <w:r w:rsidR="007268A3" w:rsidRPr="0071450E">
        <w:rPr>
          <w:szCs w:val="24"/>
          <w:lang w:val="hy-AM"/>
        </w:rPr>
        <w:softHyphen/>
        <w:t>բե</w:t>
      </w:r>
      <w:r w:rsidR="007268A3" w:rsidRPr="0071450E">
        <w:rPr>
          <w:szCs w:val="24"/>
          <w:lang w:val="hy-AM"/>
        </w:rPr>
        <w:softHyphen/>
        <w:t>րու</w:t>
      </w:r>
      <w:r w:rsidR="007268A3" w:rsidRPr="0071450E">
        <w:rPr>
          <w:szCs w:val="24"/>
          <w:lang w:val="hy-AM"/>
        </w:rPr>
        <w:softHyphen/>
        <w:t>թյունը:</w:t>
      </w:r>
    </w:p>
    <w:p w14:paraId="3D5A9B2D" w14:textId="46106C37" w:rsidR="0006256A" w:rsidRDefault="0006256A" w:rsidP="00B26E1D">
      <w:pPr>
        <w:pStyle w:val="ListParagraph"/>
        <w:numPr>
          <w:ilvl w:val="0"/>
          <w:numId w:val="0"/>
        </w:numPr>
        <w:tabs>
          <w:tab w:val="left" w:pos="810"/>
        </w:tabs>
        <w:ind w:firstLine="540"/>
        <w:rPr>
          <w:szCs w:val="24"/>
          <w:lang w:val="hy-AM"/>
        </w:rPr>
      </w:pPr>
      <w:r>
        <w:rPr>
          <w:szCs w:val="24"/>
          <w:lang w:val="hy-AM"/>
        </w:rPr>
        <w:t xml:space="preserve">Սույն </w:t>
      </w:r>
      <w:r w:rsidR="00B44A2F">
        <w:rPr>
          <w:szCs w:val="24"/>
          <w:lang w:val="hy-AM"/>
        </w:rPr>
        <w:t xml:space="preserve">մասի </w:t>
      </w:r>
      <w:r>
        <w:rPr>
          <w:szCs w:val="24"/>
          <w:lang w:val="hy-AM"/>
        </w:rPr>
        <w:t xml:space="preserve">կիրառության իմաստով </w:t>
      </w:r>
      <w:r w:rsidRPr="0006256A">
        <w:rPr>
          <w:rFonts w:ascii="Calibri" w:hAnsi="Calibri" w:cs="Calibri"/>
          <w:szCs w:val="24"/>
          <w:lang w:val="hy-AM"/>
        </w:rPr>
        <w:t> </w:t>
      </w:r>
      <w:r w:rsidRPr="0006256A">
        <w:rPr>
          <w:szCs w:val="24"/>
          <w:lang w:val="hy-AM"/>
        </w:rPr>
        <w:t xml:space="preserve">համարվում է, որ ԱԱՀ-ով հարկման օբյեկտ համարվող գործարքն իրականացվել է իրական արժեքից էականորեն ցածր արժեքով, եթե դրա հատուցման արժեքը (առանց ԱԱՀ-ի) 20 և ավելի տոկոսով ցածր է նույն, իսկ դրա բացակայության դեպքում՝ համանման ապրանքի մատակարարման գործարքների իրական </w:t>
      </w:r>
      <w:r w:rsidR="003B47B6">
        <w:rPr>
          <w:szCs w:val="24"/>
          <w:lang w:val="hy-AM"/>
        </w:rPr>
        <w:t>արժեք</w:t>
      </w:r>
      <w:r w:rsidR="006F2FFA">
        <w:rPr>
          <w:szCs w:val="24"/>
          <w:lang w:val="hy-AM"/>
        </w:rPr>
        <w:t>ից</w:t>
      </w:r>
      <w:r w:rsidRPr="0006256A">
        <w:rPr>
          <w:szCs w:val="24"/>
          <w:lang w:val="hy-AM"/>
        </w:rPr>
        <w:t xml:space="preserve"> (առանց ԱԱՀ-ի</w:t>
      </w:r>
      <w:r w:rsidR="00153B16">
        <w:rPr>
          <w:szCs w:val="24"/>
          <w:lang w:val="hy-AM"/>
        </w:rPr>
        <w:t>):</w:t>
      </w:r>
    </w:p>
    <w:p w14:paraId="289C6CAA" w14:textId="3A7F3680" w:rsidR="007268A3" w:rsidRPr="00D74071" w:rsidRDefault="00996EDB" w:rsidP="00B26E1D">
      <w:pPr>
        <w:pStyle w:val="ListParagraph"/>
        <w:numPr>
          <w:ilvl w:val="0"/>
          <w:numId w:val="0"/>
        </w:numPr>
        <w:tabs>
          <w:tab w:val="left" w:pos="810"/>
        </w:tabs>
        <w:ind w:firstLine="540"/>
        <w:rPr>
          <w:szCs w:val="24"/>
          <w:lang w:val="hy-AM"/>
        </w:rPr>
      </w:pPr>
      <w:r w:rsidRPr="00996EDB">
        <w:rPr>
          <w:szCs w:val="24"/>
          <w:lang w:val="hy-AM"/>
        </w:rPr>
        <w:lastRenderedPageBreak/>
        <w:t>Սույն մասով սահմանված՝ գործարքի իրական արժեքի որոշման նպատակով կիրառելի են սույն</w:t>
      </w:r>
      <w:r w:rsidRPr="00996EDB">
        <w:rPr>
          <w:rFonts w:ascii="Calibri" w:hAnsi="Calibri" w:cs="Calibri"/>
          <w:szCs w:val="24"/>
          <w:lang w:val="hy-AM"/>
        </w:rPr>
        <w:t>  </w:t>
      </w:r>
      <w:r w:rsidR="00CA51F1">
        <w:rPr>
          <w:szCs w:val="24"/>
          <w:lang w:val="hy-AM"/>
        </w:rPr>
        <w:t>հոդվածի</w:t>
      </w:r>
      <w:r w:rsidRPr="00996EDB">
        <w:rPr>
          <w:szCs w:val="24"/>
          <w:lang w:val="hy-AM"/>
        </w:rPr>
        <w:t xml:space="preserve"> 6-րդ</w:t>
      </w:r>
      <w:r w:rsidR="00CA51F1">
        <w:rPr>
          <w:szCs w:val="24"/>
          <w:lang w:val="hy-AM"/>
        </w:rPr>
        <w:t xml:space="preserve"> մասի 2-րդ</w:t>
      </w:r>
      <w:r w:rsidRPr="00996EDB">
        <w:rPr>
          <w:szCs w:val="24"/>
          <w:lang w:val="hy-AM"/>
        </w:rPr>
        <w:t xml:space="preserve"> կետով սահմանված դրույթները:»</w:t>
      </w:r>
      <w:r w:rsidR="007268A3" w:rsidRPr="00D74071">
        <w:rPr>
          <w:szCs w:val="24"/>
          <w:lang w:val="hy-AM"/>
        </w:rPr>
        <w:t>:</w:t>
      </w:r>
    </w:p>
    <w:p w14:paraId="25056641" w14:textId="03EECCCF" w:rsidR="007268A3" w:rsidRPr="004840EA" w:rsidRDefault="007268A3" w:rsidP="00B26E1D">
      <w:pPr>
        <w:pStyle w:val="ListParagraph"/>
        <w:tabs>
          <w:tab w:val="left" w:pos="1800"/>
        </w:tabs>
        <w:spacing w:before="240"/>
        <w:ind w:left="0" w:firstLine="540"/>
        <w:rPr>
          <w:szCs w:val="24"/>
          <w:lang w:val="hy-AM"/>
        </w:rPr>
      </w:pPr>
      <w:r>
        <w:rPr>
          <w:szCs w:val="24"/>
          <w:lang w:val="hy-AM"/>
        </w:rPr>
        <w:t>Օրենսգրքի 72-րդ հոդվածի 1-ին մաս</w:t>
      </w:r>
      <w:r w:rsidR="004C6B50">
        <w:rPr>
          <w:szCs w:val="24"/>
          <w:lang w:val="hy-AM"/>
        </w:rPr>
        <w:t>ը</w:t>
      </w:r>
      <w:r w:rsidR="004840EA">
        <w:rPr>
          <w:szCs w:val="24"/>
          <w:lang w:val="hy-AM"/>
        </w:rPr>
        <w:t xml:space="preserve"> </w:t>
      </w:r>
      <w:r w:rsidRPr="004840EA">
        <w:rPr>
          <w:szCs w:val="24"/>
          <w:lang w:val="hy-AM"/>
        </w:rPr>
        <w:t>լրացնել հետևյալ բովանդակությամբ 13-րդ կետ</w:t>
      </w:r>
      <w:r w:rsidR="004C6B50">
        <w:rPr>
          <w:szCs w:val="24"/>
          <w:lang w:val="hy-AM"/>
        </w:rPr>
        <w:t>ով</w:t>
      </w:r>
      <w:r w:rsidRPr="004840EA">
        <w:rPr>
          <w:szCs w:val="24"/>
          <w:lang w:val="hy-AM"/>
        </w:rPr>
        <w:t>.</w:t>
      </w:r>
    </w:p>
    <w:p w14:paraId="5B3087DB" w14:textId="74635B9F" w:rsidR="007268A3" w:rsidRPr="00A737E2" w:rsidRDefault="007268A3" w:rsidP="00B26E1D">
      <w:pPr>
        <w:pStyle w:val="ListParagraph"/>
        <w:numPr>
          <w:ilvl w:val="0"/>
          <w:numId w:val="0"/>
        </w:numPr>
        <w:tabs>
          <w:tab w:val="left" w:pos="1800"/>
        </w:tabs>
        <w:ind w:firstLine="540"/>
        <w:rPr>
          <w:szCs w:val="24"/>
          <w:lang w:val="hy-AM"/>
        </w:rPr>
      </w:pPr>
      <w:r>
        <w:rPr>
          <w:szCs w:val="24"/>
          <w:lang w:val="hy-AM"/>
        </w:rPr>
        <w:t xml:space="preserve"> «</w:t>
      </w:r>
      <w:r w:rsidRPr="00A75805">
        <w:rPr>
          <w:szCs w:val="24"/>
          <w:lang w:val="hy-AM"/>
        </w:rPr>
        <w:t>1</w:t>
      </w:r>
      <w:r>
        <w:rPr>
          <w:szCs w:val="24"/>
          <w:lang w:val="hy-AM"/>
        </w:rPr>
        <w:t>3</w:t>
      </w:r>
      <w:r w:rsidRPr="00A75805">
        <w:rPr>
          <w:szCs w:val="24"/>
          <w:lang w:val="hy-AM"/>
        </w:rPr>
        <w:t> ոսկուց</w:t>
      </w:r>
      <w:r w:rsidR="00F51059">
        <w:rPr>
          <w:szCs w:val="24"/>
          <w:lang w:val="hy-AM"/>
        </w:rPr>
        <w:t xml:space="preserve"> և թանկարժեք քարերից</w:t>
      </w:r>
      <w:r w:rsidRPr="00A75805">
        <w:rPr>
          <w:szCs w:val="24"/>
          <w:lang w:val="hy-AM"/>
        </w:rPr>
        <w:t xml:space="preserve"> պատրաստված իրերի առևտրական (առք ու վաճառքի) գործունեությամբ </w:t>
      </w:r>
      <w:r w:rsidRPr="006227D7">
        <w:rPr>
          <w:szCs w:val="24"/>
          <w:lang w:val="hy-AM"/>
        </w:rPr>
        <w:t>զբաղ</w:t>
      </w:r>
      <w:r w:rsidR="00A865E3">
        <w:rPr>
          <w:szCs w:val="24"/>
          <w:lang w:val="hy-AM"/>
        </w:rPr>
        <w:softHyphen/>
      </w:r>
      <w:r w:rsidRPr="006227D7">
        <w:rPr>
          <w:szCs w:val="24"/>
          <w:lang w:val="hy-AM"/>
        </w:rPr>
        <w:t>վող</w:t>
      </w:r>
      <w:r w:rsidRPr="00A75805">
        <w:rPr>
          <w:szCs w:val="24"/>
          <w:lang w:val="hy-AM"/>
        </w:rPr>
        <w:t xml:space="preserve"> անձինք</w:t>
      </w:r>
      <w:r>
        <w:rPr>
          <w:szCs w:val="24"/>
          <w:lang w:val="hy-AM"/>
        </w:rPr>
        <w:t>՝ ոսկուց</w:t>
      </w:r>
      <w:r w:rsidR="00F51059">
        <w:rPr>
          <w:szCs w:val="24"/>
          <w:lang w:val="hy-AM"/>
        </w:rPr>
        <w:t xml:space="preserve">  և թանկարժեք քարերից</w:t>
      </w:r>
      <w:r>
        <w:rPr>
          <w:szCs w:val="24"/>
          <w:lang w:val="hy-AM"/>
        </w:rPr>
        <w:t xml:space="preserve"> պատրաստված իրերի օտար</w:t>
      </w:r>
      <w:r w:rsidR="00F51059" w:rsidRPr="007C2F47">
        <w:rPr>
          <w:szCs w:val="24"/>
          <w:lang w:val="hy-AM"/>
        </w:rPr>
        <w:softHyphen/>
      </w:r>
      <w:r>
        <w:rPr>
          <w:szCs w:val="24"/>
          <w:lang w:val="hy-AM"/>
        </w:rPr>
        <w:t>ման գործարքներին</w:t>
      </w:r>
      <w:r w:rsidR="00E461BC">
        <w:rPr>
          <w:szCs w:val="24"/>
          <w:lang w:val="hy-AM"/>
        </w:rPr>
        <w:t xml:space="preserve"> (բացառությամբ՝ </w:t>
      </w:r>
      <w:r w:rsidR="006C17E5">
        <w:rPr>
          <w:lang w:val="hy-AM"/>
        </w:rPr>
        <w:t xml:space="preserve">ԱԱՀ-ի </w:t>
      </w:r>
      <w:bookmarkStart w:id="2" w:name="_GoBack"/>
      <w:bookmarkEnd w:id="2"/>
      <w:r w:rsidR="00E461BC">
        <w:rPr>
          <w:szCs w:val="24"/>
          <w:lang w:val="hy-AM"/>
        </w:rPr>
        <w:t>0 տոկոս դրույքաչափով հարկման ենթակա գործարքներին)</w:t>
      </w:r>
      <w:r>
        <w:rPr>
          <w:szCs w:val="24"/>
          <w:lang w:val="hy-AM"/>
        </w:rPr>
        <w:t xml:space="preserve"> վերագրվող՝ </w:t>
      </w:r>
      <w:r w:rsidRPr="006227D7">
        <w:rPr>
          <w:szCs w:val="24"/>
          <w:lang w:val="hy-AM"/>
        </w:rPr>
        <w:t>այդ իրերի</w:t>
      </w:r>
      <w:r>
        <w:rPr>
          <w:szCs w:val="24"/>
          <w:lang w:val="hy-AM"/>
        </w:rPr>
        <w:t xml:space="preserve"> մատակարարի կողմից դուրս գրված հար</w:t>
      </w:r>
      <w:r w:rsidR="007C2F47" w:rsidRPr="007C2F47">
        <w:rPr>
          <w:szCs w:val="24"/>
          <w:lang w:val="hy-AM"/>
        </w:rPr>
        <w:softHyphen/>
      </w:r>
      <w:r>
        <w:rPr>
          <w:szCs w:val="24"/>
          <w:lang w:val="hy-AM"/>
        </w:rPr>
        <w:t xml:space="preserve">կային հաշվում </w:t>
      </w:r>
      <w:r w:rsidRPr="006D570F">
        <w:rPr>
          <w:szCs w:val="24"/>
          <w:lang w:val="hy-AM"/>
        </w:rPr>
        <w:t>կամ մաքսային հայտա</w:t>
      </w:r>
      <w:r>
        <w:rPr>
          <w:szCs w:val="24"/>
          <w:lang w:val="hy-AM"/>
        </w:rPr>
        <w:softHyphen/>
      </w:r>
      <w:r w:rsidRPr="006D570F">
        <w:rPr>
          <w:szCs w:val="24"/>
          <w:lang w:val="hy-AM"/>
        </w:rPr>
        <w:t>րա</w:t>
      </w:r>
      <w:r>
        <w:rPr>
          <w:szCs w:val="24"/>
          <w:lang w:val="hy-AM"/>
        </w:rPr>
        <w:softHyphen/>
      </w:r>
      <w:r w:rsidRPr="006D570F">
        <w:rPr>
          <w:szCs w:val="24"/>
          <w:lang w:val="hy-AM"/>
        </w:rPr>
        <w:t>րա</w:t>
      </w:r>
      <w:r>
        <w:rPr>
          <w:szCs w:val="24"/>
          <w:lang w:val="hy-AM"/>
        </w:rPr>
        <w:softHyphen/>
      </w:r>
      <w:r w:rsidRPr="006D570F">
        <w:rPr>
          <w:szCs w:val="24"/>
          <w:lang w:val="hy-AM"/>
        </w:rPr>
        <w:t>գրում կամ ներմուծման հարկային հայտա</w:t>
      </w:r>
      <w:r w:rsidR="007C2F47">
        <w:rPr>
          <w:szCs w:val="24"/>
          <w:lang w:val="hy-AM"/>
        </w:rPr>
        <w:softHyphen/>
      </w:r>
      <w:r w:rsidRPr="006D570F">
        <w:rPr>
          <w:szCs w:val="24"/>
          <w:lang w:val="hy-AM"/>
        </w:rPr>
        <w:t>րա</w:t>
      </w:r>
      <w:r w:rsidR="007C2F47">
        <w:rPr>
          <w:szCs w:val="24"/>
          <w:lang w:val="hy-AM"/>
        </w:rPr>
        <w:softHyphen/>
      </w:r>
      <w:r w:rsidRPr="006D570F">
        <w:rPr>
          <w:szCs w:val="24"/>
          <w:lang w:val="hy-AM"/>
        </w:rPr>
        <w:t>րա</w:t>
      </w:r>
      <w:r w:rsidR="007C2F47">
        <w:rPr>
          <w:szCs w:val="24"/>
          <w:lang w:val="hy-AM"/>
        </w:rPr>
        <w:softHyphen/>
      </w:r>
      <w:r w:rsidRPr="006D570F">
        <w:rPr>
          <w:szCs w:val="24"/>
          <w:lang w:val="hy-AM"/>
        </w:rPr>
        <w:t>գրում առանձնաց</w:t>
      </w:r>
      <w:r w:rsidR="00E461BC">
        <w:rPr>
          <w:szCs w:val="24"/>
          <w:lang w:val="hy-AM"/>
        </w:rPr>
        <w:softHyphen/>
      </w:r>
      <w:r w:rsidRPr="006D570F">
        <w:rPr>
          <w:szCs w:val="24"/>
          <w:lang w:val="hy-AM"/>
        </w:rPr>
        <w:t>ված</w:t>
      </w:r>
      <w:r>
        <w:rPr>
          <w:szCs w:val="24"/>
          <w:lang w:val="hy-AM"/>
        </w:rPr>
        <w:t xml:space="preserve"> ԱԱՀ-ի գումարի չափո</w:t>
      </w:r>
      <w:r w:rsidR="00504C3D">
        <w:rPr>
          <w:szCs w:val="24"/>
          <w:lang w:val="hy-AM"/>
        </w:rPr>
        <w:t>վ</w:t>
      </w:r>
      <w:r>
        <w:rPr>
          <w:szCs w:val="24"/>
          <w:lang w:val="hy-AM"/>
        </w:rPr>
        <w:t>:</w:t>
      </w:r>
      <w:r w:rsidRPr="00A737E2">
        <w:rPr>
          <w:szCs w:val="24"/>
          <w:lang w:val="hy-AM"/>
        </w:rPr>
        <w:t>»</w:t>
      </w:r>
      <w:r>
        <w:rPr>
          <w:szCs w:val="24"/>
          <w:lang w:val="hy-AM"/>
        </w:rPr>
        <w:t>:</w:t>
      </w:r>
    </w:p>
    <w:p w14:paraId="6FD8B7E5" w14:textId="77777777" w:rsidR="007268A3" w:rsidRPr="0071450E" w:rsidRDefault="007268A3" w:rsidP="00B26E1D">
      <w:pPr>
        <w:pStyle w:val="ListParagraph"/>
        <w:tabs>
          <w:tab w:val="left" w:pos="1800"/>
        </w:tabs>
        <w:spacing w:before="240"/>
        <w:ind w:left="0" w:firstLine="540"/>
        <w:rPr>
          <w:szCs w:val="24"/>
          <w:lang w:val="hy-AM"/>
        </w:rPr>
      </w:pPr>
      <w:r>
        <w:rPr>
          <w:szCs w:val="24"/>
          <w:lang w:val="hy-AM"/>
        </w:rPr>
        <w:t xml:space="preserve"> </w:t>
      </w:r>
      <w:r w:rsidRPr="0071450E">
        <w:rPr>
          <w:szCs w:val="24"/>
          <w:lang w:val="hy-AM"/>
        </w:rPr>
        <w:t>Օրենսգրքի 147-րդ հոդվածի 1-ին մասի 39-րդ կետում «գոր</w:t>
      </w:r>
      <w:r>
        <w:rPr>
          <w:szCs w:val="24"/>
          <w:lang w:val="hy-AM"/>
        </w:rPr>
        <w:softHyphen/>
      </w:r>
      <w:r w:rsidRPr="0071450E">
        <w:rPr>
          <w:szCs w:val="24"/>
          <w:lang w:val="hy-AM"/>
        </w:rPr>
        <w:t>ծու</w:t>
      </w:r>
      <w:r>
        <w:rPr>
          <w:szCs w:val="24"/>
          <w:lang w:val="hy-AM"/>
        </w:rPr>
        <w:softHyphen/>
      </w:r>
      <w:r w:rsidRPr="0071450E">
        <w:rPr>
          <w:szCs w:val="24"/>
          <w:lang w:val="hy-AM"/>
        </w:rPr>
        <w:t>նեու</w:t>
      </w:r>
      <w:r>
        <w:rPr>
          <w:szCs w:val="24"/>
          <w:lang w:val="hy-AM"/>
        </w:rPr>
        <w:softHyphen/>
      </w:r>
      <w:r w:rsidRPr="0071450E">
        <w:rPr>
          <w:szCs w:val="24"/>
          <w:lang w:val="hy-AM"/>
        </w:rPr>
        <w:t>թյուն իրա</w:t>
      </w:r>
      <w:r w:rsidRPr="0071450E">
        <w:rPr>
          <w:szCs w:val="24"/>
          <w:lang w:val="hy-AM"/>
        </w:rPr>
        <w:softHyphen/>
        <w:t>կա</w:t>
      </w:r>
      <w:r w:rsidRPr="0071450E">
        <w:rPr>
          <w:szCs w:val="24"/>
          <w:lang w:val="hy-AM"/>
        </w:rPr>
        <w:softHyphen/>
        <w:t>նաց</w:t>
      </w:r>
      <w:r>
        <w:rPr>
          <w:szCs w:val="24"/>
          <w:lang w:val="hy-AM"/>
        </w:rPr>
        <w:softHyphen/>
      </w:r>
      <w:r w:rsidRPr="0071450E">
        <w:rPr>
          <w:szCs w:val="24"/>
          <w:lang w:val="hy-AM"/>
        </w:rPr>
        <w:softHyphen/>
        <w:t>նող» բառերից հետո լրացնել «՝ Օրենսգրքով սահմանված կարգով ԱԱՀ վճա</w:t>
      </w:r>
      <w:r>
        <w:rPr>
          <w:szCs w:val="24"/>
          <w:lang w:val="hy-AM"/>
        </w:rPr>
        <w:softHyphen/>
      </w:r>
      <w:r w:rsidRPr="0071450E">
        <w:rPr>
          <w:szCs w:val="24"/>
          <w:lang w:val="hy-AM"/>
        </w:rPr>
        <w:t>րող չհամար</w:t>
      </w:r>
      <w:r w:rsidRPr="0071450E">
        <w:rPr>
          <w:szCs w:val="24"/>
          <w:lang w:val="hy-AM"/>
        </w:rPr>
        <w:softHyphen/>
        <w:t>վող» բառերը:</w:t>
      </w:r>
    </w:p>
    <w:p w14:paraId="33F67F64" w14:textId="7D7EC90D" w:rsidR="00B14ED2" w:rsidRPr="00290E5F" w:rsidRDefault="007268A3" w:rsidP="00290E5F">
      <w:pPr>
        <w:pStyle w:val="ListParagraph"/>
        <w:tabs>
          <w:tab w:val="left" w:pos="1800"/>
        </w:tabs>
        <w:spacing w:before="240"/>
        <w:ind w:left="0" w:firstLine="540"/>
        <w:rPr>
          <w:b/>
          <w:bCs/>
          <w:strike/>
          <w:szCs w:val="24"/>
        </w:rPr>
      </w:pPr>
      <w:r w:rsidRPr="00290E5F">
        <w:rPr>
          <w:bCs/>
          <w:iCs/>
          <w:szCs w:val="24"/>
          <w:lang w:val="hy-AM"/>
        </w:rPr>
        <w:t xml:space="preserve">Սույն օրենքն ուժի մեջ է մտնում 2026 թվականի </w:t>
      </w:r>
      <w:r w:rsidR="00A77742" w:rsidRPr="00290E5F">
        <w:rPr>
          <w:bCs/>
          <w:iCs/>
          <w:szCs w:val="24"/>
          <w:lang w:val="hy-AM"/>
        </w:rPr>
        <w:t>հուլիս</w:t>
      </w:r>
      <w:r w:rsidRPr="00290E5F">
        <w:rPr>
          <w:bCs/>
          <w:iCs/>
          <w:szCs w:val="24"/>
          <w:lang w:val="hy-AM"/>
        </w:rPr>
        <w:t>ի 1-ից և կիրառ</w:t>
      </w:r>
      <w:r w:rsidRPr="00290E5F">
        <w:rPr>
          <w:bCs/>
          <w:iCs/>
          <w:szCs w:val="24"/>
          <w:lang w:val="hy-AM"/>
        </w:rPr>
        <w:softHyphen/>
        <w:t>վում է 2026 թվա</w:t>
      </w:r>
      <w:r w:rsidRPr="00290E5F">
        <w:rPr>
          <w:bCs/>
          <w:iCs/>
          <w:szCs w:val="24"/>
          <w:lang w:val="hy-AM"/>
        </w:rPr>
        <w:softHyphen/>
        <w:t xml:space="preserve">կանի </w:t>
      </w:r>
      <w:r w:rsidR="00A77742" w:rsidRPr="00290E5F">
        <w:rPr>
          <w:bCs/>
          <w:iCs/>
          <w:szCs w:val="24"/>
          <w:lang w:val="hy-AM"/>
        </w:rPr>
        <w:t>հուլիս</w:t>
      </w:r>
      <w:r w:rsidRPr="00290E5F">
        <w:rPr>
          <w:bCs/>
          <w:iCs/>
          <w:szCs w:val="24"/>
          <w:lang w:val="hy-AM"/>
        </w:rPr>
        <w:t>ի 1-ից հետո կատարվող՝ ոսկուց</w:t>
      </w:r>
      <w:r w:rsidR="00370230" w:rsidRPr="00290E5F">
        <w:rPr>
          <w:bCs/>
          <w:iCs/>
          <w:szCs w:val="24"/>
          <w:lang w:val="hy-AM"/>
        </w:rPr>
        <w:t xml:space="preserve"> և թանկարժեք քարերից</w:t>
      </w:r>
      <w:r w:rsidRPr="00290E5F">
        <w:rPr>
          <w:bCs/>
          <w:iCs/>
          <w:szCs w:val="24"/>
          <w:lang w:val="hy-AM"/>
        </w:rPr>
        <w:t xml:space="preserve"> պատ</w:t>
      </w:r>
      <w:r w:rsidRPr="00290E5F">
        <w:rPr>
          <w:bCs/>
          <w:iCs/>
          <w:szCs w:val="24"/>
          <w:lang w:val="hy-AM"/>
        </w:rPr>
        <w:softHyphen/>
        <w:t>րաստված իրերի օտարման գոր</w:t>
      </w:r>
      <w:r w:rsidRPr="00290E5F">
        <w:rPr>
          <w:bCs/>
          <w:iCs/>
          <w:szCs w:val="24"/>
          <w:lang w:val="hy-AM"/>
        </w:rPr>
        <w:softHyphen/>
        <w:t>ծարք</w:t>
      </w:r>
      <w:r w:rsidRPr="00290E5F">
        <w:rPr>
          <w:bCs/>
          <w:iCs/>
          <w:szCs w:val="24"/>
          <w:lang w:val="hy-AM"/>
        </w:rPr>
        <w:softHyphen/>
        <w:t>ների՝ ԱԱՀ-ով հարկման բազայի որոշման նպատակով:</w:t>
      </w:r>
    </w:p>
    <w:sectPr w:rsidR="00B14ED2" w:rsidRPr="00290E5F" w:rsidSect="0071450E">
      <w:footerReference w:type="default" r:id="rId7"/>
      <w:pgSz w:w="12240" w:h="15840" w:code="1"/>
      <w:pgMar w:top="1170" w:right="567" w:bottom="720" w:left="1134" w:header="22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A05ED" w14:textId="77777777" w:rsidR="00935C3C" w:rsidRDefault="00935C3C">
      <w:pPr>
        <w:spacing w:line="240" w:lineRule="auto"/>
      </w:pPr>
      <w:r>
        <w:separator/>
      </w:r>
    </w:p>
  </w:endnote>
  <w:endnote w:type="continuationSeparator" w:id="0">
    <w:p w14:paraId="79B15FE5" w14:textId="77777777" w:rsidR="00935C3C" w:rsidRDefault="00935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98F0" w14:textId="77777777" w:rsidR="004840EA" w:rsidRPr="005744F8" w:rsidRDefault="004840EA" w:rsidP="005744F8">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6ACFF" w14:textId="77777777" w:rsidR="00935C3C" w:rsidRDefault="00935C3C">
      <w:pPr>
        <w:spacing w:line="240" w:lineRule="auto"/>
      </w:pPr>
      <w:r>
        <w:separator/>
      </w:r>
    </w:p>
  </w:footnote>
  <w:footnote w:type="continuationSeparator" w:id="0">
    <w:p w14:paraId="35AB7894" w14:textId="77777777" w:rsidR="00935C3C" w:rsidRDefault="00935C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314"/>
    <w:multiLevelType w:val="hybridMultilevel"/>
    <w:tmpl w:val="DE84F300"/>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482541B"/>
    <w:multiLevelType w:val="hybridMultilevel"/>
    <w:tmpl w:val="573E3EAC"/>
    <w:lvl w:ilvl="0" w:tplc="E2AA269C">
      <w:start w:val="1"/>
      <w:numFmt w:val="decimal"/>
      <w:pStyle w:val="ListParagraph"/>
      <w:lvlText w:val="Հոդված %1."/>
      <w:lvlJc w:val="left"/>
      <w:pPr>
        <w:ind w:left="644"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lang w:val="hy-AM"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C47C4"/>
    <w:multiLevelType w:val="hybridMultilevel"/>
    <w:tmpl w:val="CD221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2006C"/>
    <w:multiLevelType w:val="hybridMultilevel"/>
    <w:tmpl w:val="DCB0E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903A1A"/>
    <w:multiLevelType w:val="hybridMultilevel"/>
    <w:tmpl w:val="8382910C"/>
    <w:lvl w:ilvl="0" w:tplc="4DFC39D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5BF16AC8"/>
    <w:multiLevelType w:val="hybridMultilevel"/>
    <w:tmpl w:val="8D4C0A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8E"/>
    <w:rsid w:val="00016E81"/>
    <w:rsid w:val="0006256A"/>
    <w:rsid w:val="000923B3"/>
    <w:rsid w:val="000B2B74"/>
    <w:rsid w:val="000B36B4"/>
    <w:rsid w:val="00130F11"/>
    <w:rsid w:val="00153B16"/>
    <w:rsid w:val="001B2E44"/>
    <w:rsid w:val="001C4C6E"/>
    <w:rsid w:val="00290E5F"/>
    <w:rsid w:val="002B66E7"/>
    <w:rsid w:val="00336C77"/>
    <w:rsid w:val="0034581A"/>
    <w:rsid w:val="00370230"/>
    <w:rsid w:val="003B47B6"/>
    <w:rsid w:val="004014F2"/>
    <w:rsid w:val="00421828"/>
    <w:rsid w:val="004778A4"/>
    <w:rsid w:val="004840EA"/>
    <w:rsid w:val="004C6B50"/>
    <w:rsid w:val="00504C3D"/>
    <w:rsid w:val="0051179D"/>
    <w:rsid w:val="00547442"/>
    <w:rsid w:val="005A390E"/>
    <w:rsid w:val="006227D7"/>
    <w:rsid w:val="0065442B"/>
    <w:rsid w:val="006C17E5"/>
    <w:rsid w:val="006F2FFA"/>
    <w:rsid w:val="007268A3"/>
    <w:rsid w:val="007425F0"/>
    <w:rsid w:val="00750D6A"/>
    <w:rsid w:val="00750E37"/>
    <w:rsid w:val="007612FD"/>
    <w:rsid w:val="00787FD4"/>
    <w:rsid w:val="00797EE5"/>
    <w:rsid w:val="007A6F03"/>
    <w:rsid w:val="007B0E8E"/>
    <w:rsid w:val="007C2F47"/>
    <w:rsid w:val="007C3E15"/>
    <w:rsid w:val="00854B26"/>
    <w:rsid w:val="0087564C"/>
    <w:rsid w:val="00902CC7"/>
    <w:rsid w:val="00935C3C"/>
    <w:rsid w:val="00996EDB"/>
    <w:rsid w:val="009F5EC3"/>
    <w:rsid w:val="00A7032A"/>
    <w:rsid w:val="00A77742"/>
    <w:rsid w:val="00A865E3"/>
    <w:rsid w:val="00AA6DDC"/>
    <w:rsid w:val="00AB6DEE"/>
    <w:rsid w:val="00AE6381"/>
    <w:rsid w:val="00B14ED2"/>
    <w:rsid w:val="00B26E1D"/>
    <w:rsid w:val="00B44A2F"/>
    <w:rsid w:val="00B454FE"/>
    <w:rsid w:val="00B551D3"/>
    <w:rsid w:val="00BC55FC"/>
    <w:rsid w:val="00BE6283"/>
    <w:rsid w:val="00C4529B"/>
    <w:rsid w:val="00C67DA6"/>
    <w:rsid w:val="00CA51F1"/>
    <w:rsid w:val="00DB5B47"/>
    <w:rsid w:val="00DC530D"/>
    <w:rsid w:val="00DD5A61"/>
    <w:rsid w:val="00DE4BA7"/>
    <w:rsid w:val="00DF7C0B"/>
    <w:rsid w:val="00E461BC"/>
    <w:rsid w:val="00E47BF5"/>
    <w:rsid w:val="00EB3300"/>
    <w:rsid w:val="00F51059"/>
    <w:rsid w:val="00FC5D12"/>
    <w:rsid w:val="00FD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452A"/>
  <w15:chartTrackingRefBased/>
  <w15:docId w15:val="{8B4C020A-EB05-442E-8E76-D3740FEA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7268A3"/>
    <w:pPr>
      <w:spacing w:after="0" w:line="360" w:lineRule="auto"/>
      <w:ind w:firstLine="709"/>
    </w:pPr>
    <w:rPr>
      <w:rFonts w:ascii="GHEA Grapalat" w:eastAsia="Calibri" w:hAnsi="GHEA Grapala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rsid w:val="007268A3"/>
    <w:pPr>
      <w:spacing w:before="100" w:beforeAutospacing="1" w:after="100" w:afterAutospacing="1"/>
    </w:pPr>
    <w:rPr>
      <w:rFonts w:ascii="Times New Roman" w:eastAsia="Times New Roman" w:hAnsi="Times New Roman"/>
      <w:szCs w:val="24"/>
      <w:lang w:val="x-none" w:eastAsia="x-none"/>
    </w:rPr>
  </w:style>
  <w:style w:type="character" w:styleId="Strong">
    <w:name w:val="Strong"/>
    <w:uiPriority w:val="22"/>
    <w:qFormat/>
    <w:rsid w:val="007268A3"/>
    <w:rPr>
      <w:rFonts w:ascii="GHEA Grapalat" w:hAnsi="GHEA Grapalat"/>
      <w:b/>
      <w:color w:val="auto"/>
      <w:sz w:val="24"/>
      <w:szCs w:val="24"/>
      <w:lang w:val="hy-AM"/>
    </w:rPr>
  </w:style>
  <w:style w:type="paragraph" w:styleId="ListParagraph">
    <w:name w:val="List Paragraph"/>
    <w:aliases w:val="Akapit z listą BS,List Paragraph 1,List_Paragraph,Multilevel para_II,List Paragraph1"/>
    <w:basedOn w:val="Normal"/>
    <w:link w:val="ListParagraphChar"/>
    <w:qFormat/>
    <w:rsid w:val="007268A3"/>
    <w:pPr>
      <w:numPr>
        <w:numId w:val="1"/>
      </w:numPr>
      <w:jc w:val="both"/>
    </w:pPr>
    <w:rPr>
      <w:rFonts w:cs="Sylfaen"/>
      <w:lang w:val="x-none" w:eastAsia="x-none"/>
    </w:rPr>
  </w:style>
  <w:style w:type="character" w:customStyle="1" w:styleId="ListParagraphChar">
    <w:name w:val="List Paragraph Char"/>
    <w:aliases w:val="Akapit z listą BS Char,List Paragraph 1 Char,List_Paragraph Char,Multilevel para_II Char,List Paragraph1 Char"/>
    <w:link w:val="ListParagraph"/>
    <w:locked/>
    <w:rsid w:val="007268A3"/>
    <w:rPr>
      <w:rFonts w:ascii="GHEA Grapalat" w:eastAsia="Calibri" w:hAnsi="GHEA Grapalat" w:cs="Sylfaen"/>
      <w:sz w:val="24"/>
      <w:lang w:val="x-none" w:eastAsia="x-non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7268A3"/>
    <w:rPr>
      <w:rFonts w:ascii="Times New Roman" w:eastAsia="Times New Roman" w:hAnsi="Times New Roman" w:cs="Times New Roman"/>
      <w:sz w:val="24"/>
      <w:szCs w:val="24"/>
      <w:lang w:val="x-none" w:eastAsia="x-none"/>
    </w:rPr>
  </w:style>
  <w:style w:type="character" w:styleId="CommentReference">
    <w:name w:val="annotation reference"/>
    <w:uiPriority w:val="99"/>
    <w:semiHidden/>
    <w:unhideWhenUsed/>
    <w:rsid w:val="007268A3"/>
    <w:rPr>
      <w:sz w:val="16"/>
      <w:szCs w:val="16"/>
    </w:rPr>
  </w:style>
  <w:style w:type="paragraph" w:styleId="CommentText">
    <w:name w:val="annotation text"/>
    <w:basedOn w:val="Normal"/>
    <w:link w:val="CommentTextChar"/>
    <w:uiPriority w:val="99"/>
    <w:unhideWhenUsed/>
    <w:rsid w:val="007268A3"/>
    <w:rPr>
      <w:sz w:val="20"/>
      <w:szCs w:val="20"/>
    </w:rPr>
  </w:style>
  <w:style w:type="character" w:customStyle="1" w:styleId="CommentTextChar">
    <w:name w:val="Comment Text Char"/>
    <w:basedOn w:val="DefaultParagraphFont"/>
    <w:link w:val="CommentText"/>
    <w:uiPriority w:val="99"/>
    <w:rsid w:val="007268A3"/>
    <w:rPr>
      <w:rFonts w:ascii="GHEA Grapalat" w:eastAsia="Calibri" w:hAnsi="GHEA Grapalat" w:cs="Times New Roman"/>
      <w:sz w:val="20"/>
      <w:szCs w:val="20"/>
    </w:rPr>
  </w:style>
  <w:style w:type="paragraph" w:styleId="Footer">
    <w:name w:val="footer"/>
    <w:basedOn w:val="Normal"/>
    <w:link w:val="FooterChar"/>
    <w:uiPriority w:val="99"/>
    <w:unhideWhenUsed/>
    <w:rsid w:val="007268A3"/>
    <w:pPr>
      <w:tabs>
        <w:tab w:val="center" w:pos="4680"/>
        <w:tab w:val="right" w:pos="9360"/>
      </w:tabs>
    </w:pPr>
  </w:style>
  <w:style w:type="character" w:customStyle="1" w:styleId="FooterChar">
    <w:name w:val="Footer Char"/>
    <w:basedOn w:val="DefaultParagraphFont"/>
    <w:link w:val="Footer"/>
    <w:uiPriority w:val="99"/>
    <w:rsid w:val="007268A3"/>
    <w:rPr>
      <w:rFonts w:ascii="GHEA Grapalat" w:eastAsia="Calibri" w:hAnsi="GHEA Grapalat" w:cs="Times New Roman"/>
      <w:sz w:val="24"/>
    </w:rPr>
  </w:style>
  <w:style w:type="paragraph" w:styleId="BodyText">
    <w:name w:val="Body Text"/>
    <w:basedOn w:val="Normal"/>
    <w:link w:val="BodyTextChar"/>
    <w:uiPriority w:val="99"/>
    <w:semiHidden/>
    <w:unhideWhenUsed/>
    <w:rsid w:val="007268A3"/>
    <w:pPr>
      <w:spacing w:after="120"/>
    </w:pPr>
  </w:style>
  <w:style w:type="character" w:customStyle="1" w:styleId="BodyTextChar">
    <w:name w:val="Body Text Char"/>
    <w:basedOn w:val="DefaultParagraphFont"/>
    <w:link w:val="BodyText"/>
    <w:uiPriority w:val="99"/>
    <w:semiHidden/>
    <w:rsid w:val="007268A3"/>
    <w:rPr>
      <w:rFonts w:ascii="GHEA Grapalat" w:eastAsia="Calibri" w:hAnsi="GHEA Grapalat" w:cs="Times New Roman"/>
      <w:sz w:val="24"/>
    </w:rPr>
  </w:style>
  <w:style w:type="paragraph" w:styleId="BalloonText">
    <w:name w:val="Balloon Text"/>
    <w:basedOn w:val="Normal"/>
    <w:link w:val="BalloonTextChar"/>
    <w:uiPriority w:val="99"/>
    <w:semiHidden/>
    <w:unhideWhenUsed/>
    <w:rsid w:val="007268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A3"/>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B5B47"/>
    <w:pPr>
      <w:spacing w:line="240" w:lineRule="auto"/>
    </w:pPr>
    <w:rPr>
      <w:b/>
      <w:bCs/>
    </w:rPr>
  </w:style>
  <w:style w:type="character" w:customStyle="1" w:styleId="CommentSubjectChar">
    <w:name w:val="Comment Subject Char"/>
    <w:basedOn w:val="CommentTextChar"/>
    <w:link w:val="CommentSubject"/>
    <w:uiPriority w:val="99"/>
    <w:semiHidden/>
    <w:rsid w:val="00DB5B47"/>
    <w:rPr>
      <w:rFonts w:ascii="GHEA Grapalat" w:eastAsia="Calibri" w:hAnsi="GHEA Grapalat" w:cs="Times New Roman"/>
      <w:b/>
      <w:bCs/>
      <w:sz w:val="20"/>
      <w:szCs w:val="20"/>
    </w:rPr>
  </w:style>
  <w:style w:type="paragraph" w:styleId="Revision">
    <w:name w:val="Revision"/>
    <w:hidden/>
    <w:uiPriority w:val="99"/>
    <w:semiHidden/>
    <w:rsid w:val="00C67DA6"/>
    <w:pPr>
      <w:spacing w:after="0" w:line="240" w:lineRule="auto"/>
    </w:pPr>
    <w:rPr>
      <w:rFonts w:ascii="GHEA Grapalat" w:eastAsia="Calibri"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Musaelyan</dc:creator>
  <cp:keywords>https://mul2-minfin.gov.am/tasks/1118602/oneclick?token=d532f6ab18dafdccf9777b89586db568</cp:keywords>
  <dc:description/>
  <cp:lastModifiedBy>Armen Minasyan</cp:lastModifiedBy>
  <cp:revision>15</cp:revision>
  <dcterms:created xsi:type="dcterms:W3CDTF">2026-01-19T13:22:00Z</dcterms:created>
  <dcterms:modified xsi:type="dcterms:W3CDTF">2026-02-10T05:50:00Z</dcterms:modified>
</cp:coreProperties>
</file>