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E861D" w14:textId="77777777" w:rsidR="004E5E2F" w:rsidRDefault="004E5E2F" w:rsidP="005571E2">
      <w:pPr>
        <w:spacing w:after="0" w:line="240" w:lineRule="auto"/>
        <w:jc w:val="right"/>
        <w:rPr>
          <w:rFonts w:ascii="GHEA Grapalat" w:eastAsia="Times New Roman" w:hAnsi="GHEA Grapalat"/>
          <w:lang w:val="af-ZA" w:eastAsia="en-US"/>
        </w:rPr>
      </w:pPr>
      <w:bookmarkStart w:id="0" w:name="_GoBack"/>
      <w:bookmarkEnd w:id="0"/>
      <w:r>
        <w:rPr>
          <w:rFonts w:ascii="GHEA Grapalat" w:hAnsi="GHEA Grapalat"/>
        </w:rPr>
        <w:t>Հավելված</w:t>
      </w:r>
      <w:r>
        <w:rPr>
          <w:rFonts w:ascii="GHEA Grapalat" w:hAnsi="GHEA Grapalat"/>
          <w:lang w:val="af-ZA"/>
        </w:rPr>
        <w:t xml:space="preserve"> </w:t>
      </w:r>
    </w:p>
    <w:p w14:paraId="2EBBCEFE" w14:textId="77777777" w:rsidR="004E5E2F" w:rsidRDefault="004E5E2F" w:rsidP="005571E2">
      <w:pPr>
        <w:spacing w:after="0" w:line="240" w:lineRule="auto"/>
        <w:jc w:val="right"/>
        <w:rPr>
          <w:rFonts w:ascii="GHEA Grapalat" w:hAnsi="GHEA Grapalat"/>
        </w:rPr>
      </w:pPr>
      <w:r>
        <w:rPr>
          <w:rFonts w:ascii="GHEA Grapalat" w:hAnsi="GHEA Grapalat"/>
        </w:rPr>
        <w:t>ՀՀ կառավարության 2025 թվականի</w:t>
      </w:r>
    </w:p>
    <w:p w14:paraId="7600B28C" w14:textId="77777777" w:rsidR="004E5E2F" w:rsidRDefault="004E5E2F" w:rsidP="005571E2">
      <w:pPr>
        <w:spacing w:after="0" w:line="240" w:lineRule="auto"/>
        <w:jc w:val="right"/>
        <w:rPr>
          <w:rFonts w:ascii="GHEA Grapalat" w:hAnsi="GHEA Grapalat"/>
        </w:rPr>
      </w:pPr>
      <w:r>
        <w:rPr>
          <w:rFonts w:ascii="GHEA Grapalat" w:hAnsi="GHEA Grapalat"/>
        </w:rPr>
        <w:t>______________ ____________ -ի</w:t>
      </w:r>
    </w:p>
    <w:p w14:paraId="13CEA19E" w14:textId="77777777" w:rsidR="004E5E2F" w:rsidRDefault="004E5E2F" w:rsidP="005571E2">
      <w:pPr>
        <w:spacing w:after="0" w:line="240" w:lineRule="auto"/>
        <w:jc w:val="right"/>
        <w:rPr>
          <w:rFonts w:ascii="GHEA Grapalat" w:hAnsi="GHEA Grapalat"/>
        </w:rPr>
      </w:pPr>
      <w:r>
        <w:rPr>
          <w:rFonts w:ascii="GHEA Grapalat" w:hAnsi="GHEA Grapalat"/>
        </w:rPr>
        <w:t>N___________ - Ն որոշման</w:t>
      </w:r>
    </w:p>
    <w:p w14:paraId="791AEE81" w14:textId="77777777" w:rsidR="004E5E2F" w:rsidRDefault="004E5E2F" w:rsidP="005571E2">
      <w:pPr>
        <w:spacing w:after="0" w:line="240" w:lineRule="auto"/>
        <w:jc w:val="right"/>
        <w:rPr>
          <w:rFonts w:ascii="GHEA Grapalat" w:hAnsi="GHEA Grapalat"/>
        </w:rPr>
      </w:pPr>
    </w:p>
    <w:p w14:paraId="193CCF57" w14:textId="77777777" w:rsidR="004E5E2F" w:rsidRDefault="004E5E2F" w:rsidP="005571E2">
      <w:pPr>
        <w:pStyle w:val="Bodytext20"/>
        <w:shd w:val="clear" w:color="auto" w:fill="auto"/>
        <w:spacing w:before="0" w:after="0" w:line="240" w:lineRule="auto"/>
        <w:ind w:firstLine="0"/>
        <w:jc w:val="center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14:paraId="4CEAF57A" w14:textId="77777777" w:rsidR="004E5E2F" w:rsidRDefault="004E5E2F" w:rsidP="005571E2">
      <w:pPr>
        <w:pStyle w:val="Bodytext20"/>
        <w:shd w:val="clear" w:color="auto" w:fill="auto"/>
        <w:spacing w:before="0" w:after="0" w:line="240" w:lineRule="auto"/>
        <w:ind w:firstLine="0"/>
        <w:jc w:val="center"/>
        <w:rPr>
          <w:rFonts w:ascii="GHEA Grapalat" w:hAnsi="GHEA Grapalat" w:cs="Arian AMU"/>
          <w:b/>
          <w:sz w:val="24"/>
          <w:szCs w:val="24"/>
          <w:lang w:val="hy-AM"/>
        </w:rPr>
      </w:pPr>
      <w:r>
        <w:rPr>
          <w:rFonts w:ascii="GHEA Grapalat" w:hAnsi="GHEA Grapalat" w:cs="Arian AMU"/>
          <w:b/>
          <w:sz w:val="24"/>
          <w:szCs w:val="24"/>
          <w:lang w:val="hy-AM"/>
        </w:rPr>
        <w:t>ԿԱՐԳ</w:t>
      </w:r>
    </w:p>
    <w:p w14:paraId="6CD81DFD" w14:textId="77777777" w:rsidR="004E5E2F" w:rsidRDefault="004E5E2F" w:rsidP="005571E2">
      <w:pPr>
        <w:pStyle w:val="Bodytext20"/>
        <w:shd w:val="clear" w:color="auto" w:fill="auto"/>
        <w:spacing w:before="0" w:after="0" w:line="240" w:lineRule="auto"/>
        <w:ind w:firstLine="0"/>
        <w:jc w:val="center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Arian AMU"/>
          <w:b/>
          <w:sz w:val="24"/>
          <w:szCs w:val="24"/>
          <w:lang w:val="hy-AM"/>
        </w:rPr>
        <w:t xml:space="preserve">ՊԵՍՏԻՑԻԴՆԵՐԻ ԵՎ ԱԳՐՈՔԻՄԻԿԱՏՆԵՐԻ ԹՈՒՆԱԲԱՆԱՀԻԳԻԵՆԻԿ ԳՆԱՀԱՏՄԱՆ ԱՆՑԿԱՑՄԱՆ </w:t>
      </w:r>
    </w:p>
    <w:p w14:paraId="3A03567E" w14:textId="77777777" w:rsidR="004E5E2F" w:rsidRDefault="004E5E2F" w:rsidP="005571E2">
      <w:pPr>
        <w:shd w:val="clear" w:color="auto" w:fill="FFFFFF"/>
        <w:spacing w:after="0" w:line="240" w:lineRule="auto"/>
        <w:rPr>
          <w:rFonts w:ascii="GHEA Grapalat" w:eastAsia="Times New Roman" w:hAnsi="GHEA Grapalat"/>
          <w:b/>
          <w:bCs/>
          <w:color w:val="000000"/>
          <w:sz w:val="24"/>
          <w:szCs w:val="24"/>
          <w:lang w:eastAsia="ru-RU"/>
        </w:rPr>
      </w:pPr>
    </w:p>
    <w:p w14:paraId="2D19E2B0" w14:textId="77777777" w:rsidR="004E5E2F" w:rsidRDefault="004E5E2F" w:rsidP="005571E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 w:eastAsia="ru-RU"/>
        </w:rPr>
      </w:pP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eastAsia="ru-RU"/>
        </w:rPr>
        <w:t>ԸՆԴՀԱՆՈՒՐ ԴՐՈՒՅԹՆԵՐ</w:t>
      </w:r>
    </w:p>
    <w:p w14:paraId="551A3548" w14:textId="77777777" w:rsidR="004E5E2F" w:rsidRDefault="004E5E2F" w:rsidP="005571E2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eastAsia="ru-RU"/>
        </w:rPr>
      </w:pPr>
    </w:p>
    <w:p w14:paraId="697ADF99" w14:textId="77777777" w:rsidR="004E5E2F" w:rsidRDefault="004E5E2F" w:rsidP="005571E2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 xml:space="preserve">Սույն կարգով կարգավորվում են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պեստիցիդների և ագրոքիմիկատների թունաբանահիգիենիկ գնահատման անցկացման հետ կապված հարաբերությունները։ </w:t>
      </w:r>
    </w:p>
    <w:p w14:paraId="29E0E59F" w14:textId="77777777" w:rsidR="004E5E2F" w:rsidRDefault="004E5E2F" w:rsidP="005571E2">
      <w:pPr>
        <w:pStyle w:val="ListParagraph"/>
        <w:spacing w:after="0" w:line="360" w:lineRule="auto"/>
        <w:ind w:left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2</w:t>
      </w:r>
      <w:r>
        <w:rPr>
          <w:rFonts w:ascii="Cambria Math" w:hAnsi="Cambria Math"/>
          <w:color w:val="000000"/>
          <w:sz w:val="24"/>
          <w:szCs w:val="24"/>
          <w:shd w:val="clear" w:color="auto" w:fill="FFFFFF"/>
        </w:rPr>
        <w:t xml:space="preserve">․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Սույն կարգում օգտագործվող հասկացություններն ունեն «Բուսասանիտարիայի մասին» օրենքով սահմանված իմաստը։</w:t>
      </w:r>
    </w:p>
    <w:p w14:paraId="33D5D3F6" w14:textId="77777777" w:rsidR="004E5E2F" w:rsidRDefault="004E5E2F" w:rsidP="005571E2">
      <w:pPr>
        <w:pStyle w:val="ListParagraph"/>
        <w:spacing w:after="0" w:line="360" w:lineRule="auto"/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3. Պեստիցիդների և ագրոքիմիկատների թունաբանահիգիենիկ գնահատումն իրականացնում են Հայաստանի Հանրապետության օրենսդրությամբ սահմանված կարգով թունաբանահիգիենիկ գնահատում իրականացնելու համար հավատարմագրված կազմակերպությունները (այսուհետ` Կազմակերպություն):</w:t>
      </w:r>
    </w:p>
    <w:p w14:paraId="2D315DFC" w14:textId="77777777" w:rsidR="004E5E2F" w:rsidRDefault="004E5E2F" w:rsidP="005571E2">
      <w:pPr>
        <w:pStyle w:val="ListParagraph"/>
        <w:spacing w:after="0" w:line="360" w:lineRule="auto"/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4. Կազմակերպության կողմից թունաբանահիգիենիկ գնահատումն իրականացվում է «Բուսասանիտարիայի մասին» օրենքով սահմանված սկզբունքների հիման վրա։</w:t>
      </w:r>
    </w:p>
    <w:p w14:paraId="59EF4950" w14:textId="77777777" w:rsidR="004E5E2F" w:rsidRDefault="004E5E2F" w:rsidP="005571E2">
      <w:pPr>
        <w:pStyle w:val="ListParagraph"/>
        <w:spacing w:after="0" w:line="360" w:lineRule="auto"/>
        <w:ind w:left="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5. Կազմակերպությունը թունաբանահիգիենիկ գնահատման եզրակացությունը (այսուհետ՝ Եզրակացություն)  տրամադրում է սույն կարգի 8-րդ կետով սահմանված փաստաթղթերը ներկայացնելուց հետո՝ 30 աշխատանքային օրվա ընթացքում։</w:t>
      </w:r>
      <w:r>
        <w:rPr>
          <w:rFonts w:ascii="GHEA Grapalat" w:hAnsi="GHEA Grapalat" w:cs="Sylfaen"/>
          <w:sz w:val="24"/>
          <w:szCs w:val="24"/>
        </w:rPr>
        <w:t xml:space="preserve"> </w:t>
      </w:r>
    </w:p>
    <w:p w14:paraId="4BDC67D1" w14:textId="77777777" w:rsidR="004E5E2F" w:rsidRDefault="004E5E2F" w:rsidP="005571E2">
      <w:pPr>
        <w:pStyle w:val="ListParagraph"/>
        <w:spacing w:after="0" w:line="360" w:lineRule="auto"/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6. Կազմակերպության կողմից սույն կարգով սահմանված փաստաթղթերն ուսումնասիրվում են ստանալուց հետո 10 աշխատանքային օրվա ընթացքում:</w:t>
      </w:r>
    </w:p>
    <w:p w14:paraId="61878A06" w14:textId="77777777" w:rsidR="004E5E2F" w:rsidRDefault="004E5E2F" w:rsidP="005571E2">
      <w:pPr>
        <w:pStyle w:val="ListParagraph"/>
        <w:spacing w:after="0" w:line="360" w:lineRule="auto"/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7. Կազմակերպությունը ներկայացված փաստաթղթերում անճշտությունների, բացթողումների առկայության, փաստաթղթերը թերի և (կամ) ոչ ընթեռնելի լինելու դեպքում, ինչպես նաև այլ հիմքերի առկայության դեպքում՝ դրանք հայտնաբերելու պահից 2 աշխատանքային օրվա ընթացքում առաջարկում է դիմողին էլեկտրոնային կամ թղթային եղանակով 10 աշխատանքային օրվա ընթացքում վերացնել թերությունները:</w:t>
      </w:r>
    </w:p>
    <w:p w14:paraId="27C704DD" w14:textId="77777777" w:rsidR="004E5E2F" w:rsidRDefault="004E5E2F" w:rsidP="005571E2">
      <w:pPr>
        <w:pStyle w:val="ListParagraph"/>
        <w:spacing w:after="0" w:line="360" w:lineRule="auto"/>
        <w:ind w:left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</w:rPr>
        <w:lastRenderedPageBreak/>
        <w:t>8. Սույն կարգի 6-րդ կետով սահմանված թերությունների վերացման համար նախատեսված ժամկետը չի հաշվարկվում սույն կարգի 5-րդ կետով սահմանված ժամկետում:</w:t>
      </w:r>
    </w:p>
    <w:p w14:paraId="6E7B0AF5" w14:textId="77777777" w:rsidR="004E5E2F" w:rsidRDefault="004E5E2F" w:rsidP="005571E2">
      <w:pPr>
        <w:pStyle w:val="Bodytext20"/>
        <w:shd w:val="clear" w:color="auto" w:fill="auto"/>
        <w:spacing w:before="0" w:after="0" w:line="360" w:lineRule="auto"/>
        <w:ind w:firstLine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2․ ՊԵՍՏԻՑԻԴՆԵՐԻ ԹՈՒՆԱԲԱՆԱՀԻԳԻԵՆԻԿ ԳՆԱՀԱՏՈՒՄ</w:t>
      </w:r>
    </w:p>
    <w:p w14:paraId="01603BFD" w14:textId="77777777" w:rsidR="004E5E2F" w:rsidRDefault="004E5E2F" w:rsidP="005571E2">
      <w:pPr>
        <w:pStyle w:val="Bodytext20"/>
        <w:spacing w:before="0" w:after="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9. Պեստիցիդի թունաբանահիգիենիկ գնահատումն իրականացնելու համար դիմողը ներկայացնում է`</w:t>
      </w:r>
    </w:p>
    <w:p w14:paraId="63EA0A70" w14:textId="77777777" w:rsidR="004E5E2F" w:rsidRDefault="004E5E2F" w:rsidP="005571E2">
      <w:pPr>
        <w:pStyle w:val="Bodytext20"/>
        <w:numPr>
          <w:ilvl w:val="0"/>
          <w:numId w:val="5"/>
        </w:numPr>
        <w:spacing w:before="0" w:after="0" w:line="360" w:lineRule="auto"/>
        <w:ind w:left="126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պեստիցիդի թունաբանական բնութագրի փաստաթղթային փաթեթը (ներառյալ ազդող նյութի, համագործիչ ու օժանդակ նյութերի և պատրաստուկային ձևի բնութագրերը)</w:t>
      </w:r>
      <w:r>
        <w:rPr>
          <w:rFonts w:ascii="Cambria Math" w:hAnsi="Cambria Math"/>
          <w:sz w:val="24"/>
          <w:szCs w:val="24"/>
          <w:lang w:val="hy-AM"/>
        </w:rPr>
        <w:t>․</w:t>
      </w:r>
    </w:p>
    <w:p w14:paraId="249F4701" w14:textId="77777777" w:rsidR="004E5E2F" w:rsidRDefault="004E5E2F" w:rsidP="005571E2">
      <w:pPr>
        <w:pStyle w:val="Bodytext20"/>
        <w:numPr>
          <w:ilvl w:val="0"/>
          <w:numId w:val="5"/>
        </w:numPr>
        <w:spacing w:before="0" w:after="0" w:line="360" w:lineRule="auto"/>
        <w:ind w:left="126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սննդամթերքում, շրջակա միջավայրի օբյեկտներում (ջրում, հողում, մթնոլորտային օդում) և աշխատանքային գոտու օդում պեստիցիդի ազդող նյութի անվտանգության հիգիենիկ նորմատիվները, ինչպես նաև մարդու օրգանիզմ պեստիցիդի ազդող նյութի մուտք գործելու թույլատրելի օրական չափաբաժնի հիմնավորումը.</w:t>
      </w:r>
    </w:p>
    <w:p w14:paraId="0D73A7EA" w14:textId="77777777" w:rsidR="004E5E2F" w:rsidRDefault="004E5E2F" w:rsidP="005571E2">
      <w:pPr>
        <w:pStyle w:val="Bodytext20"/>
        <w:numPr>
          <w:ilvl w:val="0"/>
          <w:numId w:val="5"/>
        </w:numPr>
        <w:spacing w:before="0" w:after="0" w:line="360" w:lineRule="auto"/>
        <w:ind w:left="126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պեստիցիդի պատրաստուկային ձևի անալիտիկ նմուշն արտադրողի՝ տարայի օրիգինալ պիտակով փաթեթվածքով՝ հետազոտությունների համար</w:t>
      </w:r>
      <w:r>
        <w:rPr>
          <w:rFonts w:ascii="Cambria Math" w:hAnsi="Cambria Math"/>
          <w:sz w:val="24"/>
          <w:szCs w:val="24"/>
          <w:lang w:val="hy-AM"/>
        </w:rPr>
        <w:t>․</w:t>
      </w:r>
    </w:p>
    <w:p w14:paraId="28FD787A" w14:textId="77777777" w:rsidR="004E5E2F" w:rsidRDefault="004E5E2F" w:rsidP="005571E2">
      <w:pPr>
        <w:pStyle w:val="Bodytext20"/>
        <w:numPr>
          <w:ilvl w:val="0"/>
          <w:numId w:val="5"/>
        </w:numPr>
        <w:spacing w:before="0" w:after="0" w:line="360" w:lineRule="auto"/>
        <w:ind w:left="126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անվտանգության անձնագիրը, անվտանգության թերթիկը (MSDS) (առկայության դեպքում), մասնագիրը և (կամ) արտադրողի հայտարարագիրը՝ պեստիցիդով թունավորման դեպքում առաջին օգնության միջոցների մասին շարադրմամբ.</w:t>
      </w:r>
    </w:p>
    <w:p w14:paraId="1F03AA34" w14:textId="77777777" w:rsidR="004E5E2F" w:rsidRDefault="004E5E2F" w:rsidP="005571E2">
      <w:pPr>
        <w:pStyle w:val="Bodytext20"/>
        <w:numPr>
          <w:ilvl w:val="0"/>
          <w:numId w:val="5"/>
        </w:numPr>
        <w:spacing w:before="0" w:after="0" w:line="360" w:lineRule="auto"/>
        <w:ind w:left="126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պեստիցիդի ազդող նյութի ստանդարտ նմուշը.</w:t>
      </w:r>
    </w:p>
    <w:p w14:paraId="6AA5441C" w14:textId="77777777" w:rsidR="004E5E2F" w:rsidRDefault="004E5E2F" w:rsidP="005571E2">
      <w:pPr>
        <w:pStyle w:val="Bodytext20"/>
        <w:numPr>
          <w:ilvl w:val="0"/>
          <w:numId w:val="5"/>
        </w:numPr>
        <w:spacing w:before="0" w:after="0" w:line="360" w:lineRule="auto"/>
        <w:ind w:left="126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արտադրողի կողմից տրվող՝ անալիզի ենթարկված լինելու մասին հավաստագիրը (թունաքիմիկատային պատրաստուկի հինգ խմբաքանակների).</w:t>
      </w:r>
    </w:p>
    <w:p w14:paraId="6132E15A" w14:textId="77777777" w:rsidR="004E5E2F" w:rsidRDefault="004E5E2F" w:rsidP="005571E2">
      <w:pPr>
        <w:pStyle w:val="Bodytext20"/>
        <w:numPr>
          <w:ilvl w:val="0"/>
          <w:numId w:val="5"/>
        </w:numPr>
        <w:spacing w:before="0" w:after="0" w:line="360" w:lineRule="auto"/>
        <w:ind w:left="126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համապատասխան միջավայրերում պեստիցիդի կոնկրետ ազդող նյութի անալիտիկ հսկողության մեթոդի (մեթոդների) վերաբերյալ տեղեկատվությունը (սննդամթերքի, ինչպես նաև տնտեսական և խմելու ջրօգտագործման աղբյուրների ջրի, հողի, աշխատանքային գոտու օդի և մթնոլորտային օդի համար). </w:t>
      </w:r>
    </w:p>
    <w:p w14:paraId="77FC2B35" w14:textId="77777777" w:rsidR="004E5E2F" w:rsidRDefault="004E5E2F" w:rsidP="005571E2">
      <w:pPr>
        <w:pStyle w:val="Bodytext20"/>
        <w:numPr>
          <w:ilvl w:val="0"/>
          <w:numId w:val="5"/>
        </w:numPr>
        <w:spacing w:before="0" w:after="0" w:line="360" w:lineRule="auto"/>
        <w:ind w:left="126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ցանքաշրջանառության յուրահատկությունից, շրջանների </w:t>
      </w: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հողակլիմայական պայմաններից, բույսերի հիվանդությունների զարգացման և գյուղատնտեսական մշակաբույսերի վնասատուների առանձնահատկություններից ելնելով՝ </w:t>
      </w:r>
      <w:r>
        <w:rPr>
          <w:rFonts w:ascii="Calibri" w:hAnsi="Calibri" w:cs="Calibri"/>
          <w:sz w:val="24"/>
          <w:szCs w:val="24"/>
          <w:lang w:val="hy-AM"/>
        </w:rPr>
        <w:t> </w:t>
      </w:r>
      <w:r>
        <w:rPr>
          <w:rFonts w:ascii="GHEA Grapalat" w:hAnsi="GHEA Grapalat"/>
          <w:sz w:val="24"/>
          <w:szCs w:val="24"/>
          <w:lang w:val="hy-AM"/>
        </w:rPr>
        <w:t>Եվրասիական տնտեսական միության անդամ պետության (այսուհետ՝ անդամ պետություն)  տարածքում պեստիցիդի գրանցման փորձարկումների արդյունքները: Ընդ որում, կարող են ընդունվել անդամ պետություններից մեկում կատարված գրանցման փորձարկումների արդյունքները՝ փորձարկումների անցկացման մեթոդիկաների և յուրաքանչյուր անդամ պետությունում պատրաստուկների կիրառմանն առաջարկվող կանոնակարգերի համընկնման պայմանով (ըստ</w:t>
      </w:r>
      <w:r>
        <w:rPr>
          <w:rFonts w:ascii="Calibri" w:hAnsi="Calibri" w:cs="Calibri"/>
          <w:sz w:val="24"/>
          <w:szCs w:val="24"/>
          <w:lang w:val="hy-AM"/>
        </w:rPr>
        <w:t> </w:t>
      </w:r>
      <w:r>
        <w:rPr>
          <w:rFonts w:ascii="GHEA Grapalat" w:hAnsi="GHEA Grapalat"/>
          <w:sz w:val="24"/>
          <w:szCs w:val="24"/>
          <w:lang w:val="hy-AM"/>
        </w:rPr>
        <w:t>գյուղատնտեսական մշակաբույսերի սպեկտրի, պատրաստուկների ծախսի նորմերի, մշակումների բազմապատիկության, պեստիցիդների կիրառման տեխնոլոգիայի և այլն).</w:t>
      </w:r>
    </w:p>
    <w:p w14:paraId="044DBE0B" w14:textId="77777777" w:rsidR="004E5E2F" w:rsidRDefault="004E5E2F" w:rsidP="005571E2">
      <w:pPr>
        <w:pStyle w:val="Bodytext20"/>
        <w:numPr>
          <w:ilvl w:val="0"/>
          <w:numId w:val="5"/>
        </w:numPr>
        <w:spacing w:before="0" w:after="0" w:line="360" w:lineRule="auto"/>
        <w:ind w:left="126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բուսաբուծության և անասնապահության արտադրանքում պեստիցիդի ազդող նյութի մնացորդային քանակների, սննդամթերքի սննդային արժեքի և սննդամթերքի զգայորոշման հատկությունների, ինչպես նաև ջրի զգայորոշման հատկությունների ու ջրամբարների ընդհանուր սանիտարական ռեժիմի վրա պեստիցիդի ազդեցության ուսումնասիրության տվյալները.</w:t>
      </w:r>
    </w:p>
    <w:p w14:paraId="35806518" w14:textId="77777777" w:rsidR="004E5E2F" w:rsidRDefault="004E5E2F" w:rsidP="005571E2">
      <w:pPr>
        <w:pStyle w:val="Bodytext20"/>
        <w:numPr>
          <w:ilvl w:val="0"/>
          <w:numId w:val="5"/>
        </w:numPr>
        <w:spacing w:before="0" w:after="0" w:line="360" w:lineRule="auto"/>
        <w:ind w:left="126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պեստիցիդային պատրաստուկի հետ աշխատողների համար և անդամ պետությունների տարածքներում ընդհանուր բնակչության համար պեստիցիդի կիրառման ռիսկի գնահատման արդյունքները:</w:t>
      </w:r>
    </w:p>
    <w:p w14:paraId="19B30CEF" w14:textId="77777777" w:rsidR="004E5E2F" w:rsidRDefault="004E5E2F" w:rsidP="005571E2">
      <w:pPr>
        <w:pStyle w:val="Bodytext20"/>
        <w:spacing w:before="0" w:after="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10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 xml:space="preserve"> Սահմանված փաստաթղթերը դիմողի կողմից կազմակերպությանը ներկայացվում են էլեկտրոնային կամ թղթային եղանակով։</w:t>
      </w:r>
    </w:p>
    <w:p w14:paraId="0503DDAE" w14:textId="77777777" w:rsidR="004E5E2F" w:rsidRDefault="004E5E2F" w:rsidP="005571E2">
      <w:pPr>
        <w:pStyle w:val="Bodytext20"/>
        <w:shd w:val="clear" w:color="auto" w:fill="auto"/>
        <w:spacing w:before="0" w:after="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11. Պեստիցիդի թունաբանահիգիենիկ գնահատման դրական արդյունքներով, որոնք են</w:t>
      </w:r>
      <w:r>
        <w:rPr>
          <w:rFonts w:ascii="GHEA Grapalat" w:eastAsia="Calibri" w:hAnsi="GHEA Grapalat"/>
          <w:sz w:val="24"/>
          <w:szCs w:val="24"/>
          <w:lang w:val="hy-AM" w:eastAsia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շրջակա միջավայրի օբյեկտներում (ջրում, հողում, մթնոլորտային օդում), աշխատանքային գոտու օդում և այլն, պեստիցիդի ազդող նյութի (նյութերի) մնացորդային քանակների պարունակության հիգիենիկ նորմատիվների առկայությունը, պեստիցիդային պատրաստուկների թունաբանահիգիենիկ հատկությունների վերաբերյալ բացասական տեղեկություններ չհայտնաբերելը կամ փորձարարական հետազոտությունների անցկացման ընթացքում բացասական </w:t>
      </w:r>
      <w:r>
        <w:rPr>
          <w:rFonts w:ascii="GHEA Grapalat" w:hAnsi="GHEA Grapalat"/>
          <w:sz w:val="24"/>
          <w:szCs w:val="24"/>
          <w:lang w:val="hy-AM"/>
        </w:rPr>
        <w:lastRenderedPageBreak/>
        <w:t>արդյունքներ չստանալը,  ձևակերպվում է դրական եզրակացություն, որը պարունակում է հետևյալ տեղեկությունները՝</w:t>
      </w:r>
    </w:p>
    <w:p w14:paraId="005C202D" w14:textId="77777777" w:rsidR="004E5E2F" w:rsidRDefault="004E5E2F" w:rsidP="005571E2">
      <w:pPr>
        <w:pStyle w:val="Bodytext20"/>
        <w:numPr>
          <w:ilvl w:val="0"/>
          <w:numId w:val="7"/>
        </w:numPr>
        <w:shd w:val="clear" w:color="auto" w:fill="auto"/>
        <w:spacing w:before="0" w:after="0" w:line="36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պեստիցիդի անվանումը (դրա պատրաստուկային ձևը). պեստիցիդի ազդող նյութի (նյութերի) արտադրողի անվանումը. </w:t>
      </w:r>
    </w:p>
    <w:p w14:paraId="694B0828" w14:textId="77777777" w:rsidR="004E5E2F" w:rsidRDefault="004E5E2F" w:rsidP="005571E2">
      <w:pPr>
        <w:pStyle w:val="Bodytext20"/>
        <w:numPr>
          <w:ilvl w:val="0"/>
          <w:numId w:val="7"/>
        </w:numPr>
        <w:shd w:val="clear" w:color="auto" w:fill="auto"/>
        <w:spacing w:before="0" w:after="0" w:line="36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պեստիցիդի արտադրողի անվանումը.</w:t>
      </w:r>
    </w:p>
    <w:p w14:paraId="7E84CE01" w14:textId="77777777" w:rsidR="004E5E2F" w:rsidRDefault="004E5E2F" w:rsidP="005571E2">
      <w:pPr>
        <w:pStyle w:val="Bodytext20"/>
        <w:numPr>
          <w:ilvl w:val="0"/>
          <w:numId w:val="7"/>
        </w:numPr>
        <w:shd w:val="clear" w:color="auto" w:fill="auto"/>
        <w:spacing w:before="0" w:after="0" w:line="36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պեստիցիդի հիգիենիկ բնութագիրը՝ ներառյալ տեխնիկական արտադրանքի մաքրությունը, դրանում թունաբանապես կարևոր և վտանգավոր խառնուկների ու մետաբոլիտների պարունակությունը (առկայության դեպքում) և պեստիցիդի վտանգավորության դասը (հիգիենիկ դասակարգմանը համապատասխան). </w:t>
      </w:r>
    </w:p>
    <w:p w14:paraId="47E00508" w14:textId="77777777" w:rsidR="004E5E2F" w:rsidRDefault="004E5E2F" w:rsidP="005571E2">
      <w:pPr>
        <w:pStyle w:val="Bodytext20"/>
        <w:numPr>
          <w:ilvl w:val="0"/>
          <w:numId w:val="7"/>
        </w:numPr>
        <w:shd w:val="clear" w:color="auto" w:fill="auto"/>
        <w:spacing w:before="0" w:after="0" w:line="36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պեստիցիդի կիրառման բնագավառը (ոլորտը) (արտադրությունում, գյուղական, ֆերմերային, անտառային, կոմունալ տնտեսությունում, անձնական օժանդակ տնտեսությունում և սենյակային ծաղկաբուծության մեջ). </w:t>
      </w:r>
    </w:p>
    <w:p w14:paraId="782DE9BB" w14:textId="77777777" w:rsidR="004E5E2F" w:rsidRDefault="004E5E2F" w:rsidP="005571E2">
      <w:pPr>
        <w:pStyle w:val="Bodytext20"/>
        <w:numPr>
          <w:ilvl w:val="0"/>
          <w:numId w:val="7"/>
        </w:numPr>
        <w:shd w:val="clear" w:color="auto" w:fill="auto"/>
        <w:spacing w:before="0" w:after="0" w:line="36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պատրաստուկի կիրառման կանոնակարգերը և տեխնոլոգիան (ավիացիոն-քիմիական աշխատանքներ, վերգետնյա մշակում, մշակվող մշակաբույսերի սպեկտր, ծախսի նորմերը, կիրառման բազմապատիկությունը, սպասման առաջարկվող ժամկետները և մշակվող տարածքում  մարդկանց հնարավոր գտնվելու ժամկետները և այլն).</w:t>
      </w:r>
    </w:p>
    <w:p w14:paraId="146CA55F" w14:textId="77777777" w:rsidR="004E5E2F" w:rsidRDefault="004E5E2F" w:rsidP="005571E2">
      <w:pPr>
        <w:pStyle w:val="Bodytext20"/>
        <w:numPr>
          <w:ilvl w:val="0"/>
          <w:numId w:val="7"/>
        </w:numPr>
        <w:shd w:val="clear" w:color="auto" w:fill="auto"/>
        <w:spacing w:before="0" w:after="0" w:line="360" w:lineRule="auto"/>
        <w:rPr>
          <w:rFonts w:ascii="GHEA Grapalat" w:hAnsi="GHEA Grapalat"/>
          <w:spacing w:val="-6"/>
          <w:sz w:val="24"/>
          <w:szCs w:val="24"/>
          <w:lang w:val="hy-AM"/>
        </w:rPr>
      </w:pPr>
      <w:r>
        <w:rPr>
          <w:rFonts w:ascii="GHEA Grapalat" w:hAnsi="GHEA Grapalat"/>
          <w:spacing w:val="-6"/>
          <w:sz w:val="24"/>
          <w:szCs w:val="24"/>
          <w:lang w:val="hy-AM"/>
        </w:rPr>
        <w:t>այն նորմատիվ փաստաթղթերը, որոնց համապատասխան ապահովվում են անվտանգության միջոցները՝ պեստիցիդի հետ գործողություններ կատարելիս:</w:t>
      </w:r>
    </w:p>
    <w:p w14:paraId="2710D97F" w14:textId="77777777" w:rsidR="004E5E2F" w:rsidRDefault="004E5E2F" w:rsidP="005571E2">
      <w:pPr>
        <w:pStyle w:val="Bodytext20"/>
        <w:shd w:val="clear" w:color="auto" w:fill="auto"/>
        <w:spacing w:before="0" w:after="0" w:line="360" w:lineRule="auto"/>
        <w:ind w:left="567" w:firstLine="0"/>
        <w:rPr>
          <w:rFonts w:ascii="GHEA Grapalat" w:hAnsi="GHEA Grapalat"/>
          <w:spacing w:val="-6"/>
          <w:sz w:val="24"/>
          <w:szCs w:val="24"/>
          <w:lang w:val="hy-AM"/>
        </w:rPr>
      </w:pPr>
    </w:p>
    <w:p w14:paraId="4C74A884" w14:textId="77777777" w:rsidR="004E5E2F" w:rsidRDefault="004E5E2F" w:rsidP="005571E2">
      <w:pPr>
        <w:pStyle w:val="Bodytext20"/>
        <w:shd w:val="clear" w:color="auto" w:fill="auto"/>
        <w:spacing w:before="0" w:after="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12. Ներմուծման ենթակա՝ այս կամ այն տեսակի սննդամթերքի համար պեստիցիդի ազդող նյութի (նյութերի) մնացորդային քանակների պարունակության հիգիենիկ</w:t>
      </w:r>
    </w:p>
    <w:p w14:paraId="32719F74" w14:textId="77777777" w:rsidR="004E5E2F" w:rsidRDefault="004E5E2F" w:rsidP="005571E2">
      <w:pPr>
        <w:pStyle w:val="Bodytext20"/>
        <w:shd w:val="clear" w:color="auto" w:fill="auto"/>
        <w:spacing w:before="0" w:after="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նորմատիվների (առավելագույն թույլատրելի մակարդակի) կամ ազդող նյութի (նյութերի) մնացորդային քանակների անալիտիկ հսկողության հաստատված մեթոդի բացակայության դեպքում տվյալ արտադրանքը չի կարող ներառվել այն մշակաբույսերի ցանկում, որոնց առնչությամբ կարող է օգտագործվել տվյալ պատրաստուկը:</w:t>
      </w:r>
    </w:p>
    <w:p w14:paraId="4BFEF444" w14:textId="77777777" w:rsidR="004E5E2F" w:rsidRDefault="004E5E2F" w:rsidP="005571E2">
      <w:pPr>
        <w:pStyle w:val="Bodytext20"/>
        <w:shd w:val="clear" w:color="auto" w:fill="auto"/>
        <w:spacing w:before="0" w:after="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13. Շրջակա միջավայրի օբյեկտներում (ջրում, հողում, մթնոլորտային օդում), աշխատանքային գոտու օդում և այլն, պեստիցիդի ազդող նյութի (նյութերի) մնացորդային քանակների պարունակության հիգիենիկ նորմատիվների բացակայության, պեստիցիդային պատրաստուկների թունաբանահիգիենիկ </w:t>
      </w: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հատկությունների վերաբերյալ բացասական տեղեկությունների հայտնաբերման կամ փորձարարական հետազոտությունների անցկացման ընթացքում բացասական արդյունքներ ստանալու դեպքում տրամադրվում է հիմնավորված բացասական եզրակացություն: </w:t>
      </w:r>
    </w:p>
    <w:p w14:paraId="0EEDA75A" w14:textId="77777777" w:rsidR="004E5E2F" w:rsidRDefault="004E5E2F" w:rsidP="005571E2">
      <w:pPr>
        <w:pStyle w:val="Bodytext20"/>
        <w:shd w:val="clear" w:color="auto" w:fill="auto"/>
        <w:spacing w:before="0" w:after="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</w:p>
    <w:p w14:paraId="1E9C8182" w14:textId="77777777" w:rsidR="004E5E2F" w:rsidRDefault="004E5E2F" w:rsidP="005571E2">
      <w:pPr>
        <w:pStyle w:val="Bodytext20"/>
        <w:shd w:val="clear" w:color="auto" w:fill="auto"/>
        <w:spacing w:before="0" w:after="0" w:line="360" w:lineRule="auto"/>
        <w:ind w:firstLine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3. ԱԳՐՈՔԻՄԻԿԱՏՆԵՐԻ ԹՈՒՆԱԲԱՆԱՀԻԳԻԵՆԻԿ ԳՆԱՀԱՏՈՒՄԸ</w:t>
      </w:r>
    </w:p>
    <w:p w14:paraId="752128D9" w14:textId="77777777" w:rsidR="004E5E2F" w:rsidRDefault="004E5E2F" w:rsidP="005571E2">
      <w:pPr>
        <w:pStyle w:val="Bodytext20"/>
        <w:shd w:val="clear" w:color="auto" w:fill="auto"/>
        <w:spacing w:before="0" w:after="0" w:line="360" w:lineRule="auto"/>
        <w:ind w:left="567" w:firstLine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1428F7C2" w14:textId="77777777" w:rsidR="004E5E2F" w:rsidRDefault="004E5E2F" w:rsidP="005571E2">
      <w:pPr>
        <w:pStyle w:val="Bodytext20"/>
        <w:spacing w:before="0" w:after="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14. Ագրոքիմիկատների թունաբանահիգիենիկ գնահատումն իրականացնելու համար դիմողը ներկայացնում է`</w:t>
      </w:r>
    </w:p>
    <w:p w14:paraId="02B588C0" w14:textId="77777777" w:rsidR="004E5E2F" w:rsidRDefault="004E5E2F" w:rsidP="005571E2">
      <w:pPr>
        <w:pStyle w:val="Bodytext20"/>
        <w:numPr>
          <w:ilvl w:val="0"/>
          <w:numId w:val="6"/>
        </w:numPr>
        <w:spacing w:before="0" w:after="0" w:line="36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ագրոքիմիկատի վերաբերյալ թունաբանական փաստաթղթային փաթեթը (ներառյալ սննդատարրերի և պատրաստուկային ձևի ընդհանուր բնութագիրը)</w:t>
      </w:r>
      <w:r>
        <w:rPr>
          <w:rFonts w:ascii="GHEA Grapalat" w:hAnsi="GHEA Grapalat" w:hint="eastAsia"/>
          <w:sz w:val="24"/>
          <w:szCs w:val="24"/>
          <w:lang w:val="hy-AM"/>
        </w:rPr>
        <w:t>․</w:t>
      </w:r>
    </w:p>
    <w:p w14:paraId="094BD4DE" w14:textId="77777777" w:rsidR="004E5E2F" w:rsidRDefault="004E5E2F" w:rsidP="005571E2">
      <w:pPr>
        <w:pStyle w:val="Bodytext20"/>
        <w:numPr>
          <w:ilvl w:val="0"/>
          <w:numId w:val="6"/>
        </w:numPr>
        <w:spacing w:before="0" w:after="0" w:line="36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անդամ պետության տարածքում ագրոքիմիկատային պատրաստուկի գրանցման փորձարկումների արդյունքները, այդ թվում՝ բուսաբուծության աճեցվող արտադրանքի սննդային արժեքի և զգայորոշման հատկությունների վերաբերյալ: Ընդ որում, կարող են ընդունվել անդամ պետություններից մեկում կատարված գրանցման փորձարկումների արդյունքները՝ յուրաքանչյուր անդամ պետությունում պատրաստուկների կիրառման` առաջարկվող կանոնակարգերը համընկնելու պայմանով (ըստ գյուղատնտեսական մշակաբույսերի սպեկտրի, պատրաստուկների ծախսի նորմերի, մշակումների բազմապատիկության, ագրոքիմիկատների կիրառման տեխնոլոգիայի և այլն).</w:t>
      </w:r>
    </w:p>
    <w:p w14:paraId="3D31F515" w14:textId="77777777" w:rsidR="004E5E2F" w:rsidRDefault="004E5E2F" w:rsidP="005571E2">
      <w:pPr>
        <w:pStyle w:val="Bodytext20"/>
        <w:numPr>
          <w:ilvl w:val="0"/>
          <w:numId w:val="6"/>
        </w:numPr>
        <w:spacing w:before="0" w:after="0" w:line="36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շրջակա միջավայրի օբյեկտներում, բուսաբուծական և անասնապահական հումքում թունավոր և վտանգավոր, ագրոքիմիկատում առկա, գյուղատնտեսական հանդակների հողում դրանց պարունակությունը գերազանցող կոնցենտրացիայով միացությունների (խառնուկների, նյութերի) պարունակության անալիտիկ հսկողության մեթոդների առկայության վերաբերյալ տեղեկատվությունը.</w:t>
      </w:r>
    </w:p>
    <w:p w14:paraId="40940C73" w14:textId="77777777" w:rsidR="004E5E2F" w:rsidRDefault="004E5E2F" w:rsidP="005571E2">
      <w:pPr>
        <w:pStyle w:val="Bodytext20"/>
        <w:numPr>
          <w:ilvl w:val="0"/>
          <w:numId w:val="6"/>
        </w:numPr>
        <w:spacing w:before="0" w:after="0" w:line="36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ագրոքիմիկատի անալիտիկ նմուշն արտադրողի փաթեթվածքում՝ տարայի օրիգինալ պիտակով.</w:t>
      </w:r>
    </w:p>
    <w:p w14:paraId="0AAE5C91" w14:textId="77777777" w:rsidR="004E5E2F" w:rsidRDefault="004E5E2F" w:rsidP="005571E2">
      <w:pPr>
        <w:pStyle w:val="Bodytext20"/>
        <w:numPr>
          <w:ilvl w:val="0"/>
          <w:numId w:val="6"/>
        </w:numPr>
        <w:spacing w:before="0" w:after="0" w:line="36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անվտանգության անձնագիրը, անվտանգության թերթիկը (MSDS) </w:t>
      </w:r>
      <w:r>
        <w:rPr>
          <w:rFonts w:ascii="GHEA Grapalat" w:hAnsi="GHEA Grapalat"/>
          <w:sz w:val="24"/>
          <w:szCs w:val="24"/>
          <w:lang w:val="hy-AM"/>
        </w:rPr>
        <w:lastRenderedPageBreak/>
        <w:t>(առկայության դեպքում), մասնագիրը և (կամ) արտադրողի հայտարարագիրը.</w:t>
      </w:r>
    </w:p>
    <w:p w14:paraId="5E21D069" w14:textId="77777777" w:rsidR="004E5E2F" w:rsidRDefault="004E5E2F" w:rsidP="005571E2">
      <w:pPr>
        <w:pStyle w:val="Bodytext20"/>
        <w:numPr>
          <w:ilvl w:val="0"/>
          <w:numId w:val="6"/>
        </w:numPr>
        <w:spacing w:before="0" w:after="0" w:line="36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ագրոքիմիկատի ֆիզիկաքիմիական հատկությունների, օդային միջավայրում և հոսող ջրերում այլ նյութերի (միացությունների) առկայությամբ թունավոր, հրդեհավտանգ և պայթյունավտանգ միացություններ առաջացնելու դրա ունակության, ոչ պիտանի ագրոքիմիկատների և դրանց տարաների վնասազերծման կամ ուտիլիզացման կարգի վերաբերյալ տեղեկությունները:</w:t>
      </w:r>
    </w:p>
    <w:p w14:paraId="52452CA7" w14:textId="77777777" w:rsidR="004E5E2F" w:rsidRDefault="004E5E2F" w:rsidP="005571E2">
      <w:pPr>
        <w:pStyle w:val="Bodytext20"/>
        <w:spacing w:before="0" w:after="0" w:line="360" w:lineRule="auto"/>
        <w:ind w:left="1287" w:firstLine="0"/>
        <w:rPr>
          <w:rFonts w:ascii="GHEA Grapalat" w:hAnsi="GHEA Grapalat"/>
          <w:sz w:val="24"/>
          <w:szCs w:val="24"/>
          <w:lang w:val="hy-AM"/>
        </w:rPr>
      </w:pPr>
    </w:p>
    <w:p w14:paraId="42CEDAB5" w14:textId="77777777" w:rsidR="004E5E2F" w:rsidRDefault="004E5E2F" w:rsidP="005571E2">
      <w:pPr>
        <w:pStyle w:val="Bodytext20"/>
        <w:shd w:val="clear" w:color="auto" w:fill="auto"/>
        <w:spacing w:before="0" w:after="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15. Ագրոքիմիկատների թունաբանահիգիենիկ գնահատման դրական արդյունքներով, որոնք են թունաբանահիգիենիկ գնահատման համար անհրաժեշտ տեղեկատվության առկայությունը, ագրոքիմիկատային պատրաստուկների թունաբանահիգիենիկ հատկությունների վերաբերյալ բացասական տեղեկություններ չհայտնաբերելը կամ փորձարարական հետազոտությունների անցկացման ընթացքում բացասական արդյունքներ չստանալը, ձևակերպվում է դրական եզրակացություն, որը պարունակում է հետևյալ տեղեկությունները՝</w:t>
      </w:r>
    </w:p>
    <w:p w14:paraId="14A93C01" w14:textId="77777777" w:rsidR="004E5E2F" w:rsidRDefault="004E5E2F" w:rsidP="005571E2">
      <w:pPr>
        <w:pStyle w:val="Bodytext20"/>
        <w:numPr>
          <w:ilvl w:val="0"/>
          <w:numId w:val="3"/>
        </w:numPr>
        <w:shd w:val="clear" w:color="auto" w:fill="auto"/>
        <w:spacing w:before="0" w:after="0" w:line="360" w:lineRule="auto"/>
        <w:ind w:left="810" w:hanging="27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ագրոքիմիական պատրաստուկի անվանում.</w:t>
      </w:r>
    </w:p>
    <w:p w14:paraId="3B6FBB92" w14:textId="77777777" w:rsidR="004E5E2F" w:rsidRDefault="004E5E2F" w:rsidP="005571E2">
      <w:pPr>
        <w:pStyle w:val="Bodytext20"/>
        <w:numPr>
          <w:ilvl w:val="0"/>
          <w:numId w:val="4"/>
        </w:numPr>
        <w:shd w:val="clear" w:color="auto" w:fill="auto"/>
        <w:spacing w:before="0" w:after="0" w:line="360" w:lineRule="auto"/>
        <w:ind w:hanging="18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արտադրող (անվանում, կոնտակտային տվյալներ, ՀՎՀՀ) .</w:t>
      </w:r>
    </w:p>
    <w:p w14:paraId="487B9546" w14:textId="77777777" w:rsidR="004E5E2F" w:rsidRDefault="004E5E2F" w:rsidP="005571E2">
      <w:pPr>
        <w:pStyle w:val="Bodytext20"/>
        <w:numPr>
          <w:ilvl w:val="0"/>
          <w:numId w:val="4"/>
        </w:numPr>
        <w:shd w:val="clear" w:color="auto" w:fill="auto"/>
        <w:spacing w:before="0" w:after="0" w:line="360" w:lineRule="auto"/>
        <w:ind w:left="0" w:firstLine="54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ագրոքիմիկատի հիգիենիկ բնութագիր՝ ներառյալ դրանում թունաբանական առումով կարևոր և վտանգավոր խառնուկների պարունակությունը (առկայության դեպքում) և ագրոքիմիկատային պատրաստուկի վտանգավորության դասը (գործող հիգիենիկ դասակարգմանը համապատասխան).</w:t>
      </w:r>
    </w:p>
    <w:p w14:paraId="481A71F9" w14:textId="77777777" w:rsidR="004E5E2F" w:rsidRDefault="004E5E2F" w:rsidP="005571E2">
      <w:pPr>
        <w:pStyle w:val="Bodytext20"/>
        <w:numPr>
          <w:ilvl w:val="0"/>
          <w:numId w:val="4"/>
        </w:numPr>
        <w:shd w:val="clear" w:color="auto" w:fill="auto"/>
        <w:spacing w:before="0" w:after="0" w:line="360" w:lineRule="auto"/>
        <w:ind w:left="0" w:firstLine="567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ագրոքիմիկատի կիրառման բնագավառը (ոլորտը) (գյուղական, ֆերմերային, անտառային, կոմունալ տնտեսությունում, անձնական օժանդակ տնտեսությունում և սենյակային ծաղկաբուծության մեջ).</w:t>
      </w:r>
    </w:p>
    <w:p w14:paraId="39934B9A" w14:textId="77777777" w:rsidR="004E5E2F" w:rsidRDefault="004E5E2F" w:rsidP="005571E2">
      <w:pPr>
        <w:pStyle w:val="Bodytext20"/>
        <w:numPr>
          <w:ilvl w:val="0"/>
          <w:numId w:val="4"/>
        </w:numPr>
        <w:shd w:val="clear" w:color="auto" w:fill="auto"/>
        <w:spacing w:before="0" w:after="0" w:line="360" w:lineRule="auto"/>
        <w:ind w:left="0" w:firstLine="567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ագրոքիմիական պատրաստուկի կիրառման կանոնակարգերը և տեխնոլոգիան (ավիացիոն-քիմիական աշխատանքներ, վերգետնյա մշակում, մշակվող մշակաբույսերի սպեկտր, ծախսի նորմերը, կիրառման բազմապատիկությունը, սպասման առաջարկվող ժամկետները՝ մինչև բերքահավաքը և այլն).</w:t>
      </w:r>
    </w:p>
    <w:p w14:paraId="62C82D3B" w14:textId="77777777" w:rsidR="004E5E2F" w:rsidRDefault="004E5E2F" w:rsidP="005571E2">
      <w:pPr>
        <w:pStyle w:val="Bodytext20"/>
        <w:numPr>
          <w:ilvl w:val="0"/>
          <w:numId w:val="4"/>
        </w:numPr>
        <w:shd w:val="clear" w:color="auto" w:fill="auto"/>
        <w:spacing w:before="0" w:after="0" w:line="360" w:lineRule="auto"/>
        <w:ind w:left="0" w:firstLine="567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այն նորմատիվ փաստաթղթերը, որոնց համապատասխան, </w:t>
      </w:r>
      <w:r>
        <w:rPr>
          <w:rFonts w:ascii="GHEA Grapalat" w:hAnsi="GHEA Grapalat"/>
          <w:sz w:val="24"/>
          <w:szCs w:val="24"/>
          <w:lang w:val="hy-AM"/>
        </w:rPr>
        <w:lastRenderedPageBreak/>
        <w:t>ագրոքիմիկատային պատրաստուկի հետ գործողություններ կատարելիս ապահովվում են անվտանգության միջոցները:</w:t>
      </w:r>
    </w:p>
    <w:p w14:paraId="13F60DF0" w14:textId="15C46064" w:rsidR="00421CBC" w:rsidRPr="004E5E2F" w:rsidRDefault="004E5E2F" w:rsidP="005571E2">
      <w:pPr>
        <w:pStyle w:val="Bodytext20"/>
        <w:shd w:val="clear" w:color="auto" w:fill="auto"/>
        <w:spacing w:before="0" w:after="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16. Թունաբանահիգիենիկ գնահատման համար անհրաժեշտ տեղեկատվության բացակայության, ագրոքիմիկատային պատրաստուկների թունաբանահիգիենիկ հատկությունների վերաբերյալ բացասական տեղեկությունների հայտնաբերման կամ փորձարարական հետազոտությունների անցկացման ընթացքում բացասական արդյունքներ ստանալու դեպքում տրամադրվում է հիմնավորված բացասական եզրակացություն:</w:t>
      </w:r>
    </w:p>
    <w:sectPr w:rsidR="00421CBC" w:rsidRPr="004E5E2F" w:rsidSect="004E5E2F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04B91"/>
    <w:multiLevelType w:val="hybridMultilevel"/>
    <w:tmpl w:val="5A887940"/>
    <w:lvl w:ilvl="0" w:tplc="0C185C6C">
      <w:start w:val="1"/>
      <w:numFmt w:val="decimal"/>
      <w:lvlText w:val="%1)"/>
      <w:lvlJc w:val="left"/>
      <w:pPr>
        <w:ind w:left="1287" w:hanging="360"/>
      </w:pPr>
    </w:lvl>
    <w:lvl w:ilvl="1" w:tplc="0736DD0E">
      <w:start w:val="1"/>
      <w:numFmt w:val="lowerLetter"/>
      <w:lvlText w:val="%2."/>
      <w:lvlJc w:val="left"/>
      <w:pPr>
        <w:ind w:left="2007" w:hanging="360"/>
      </w:pPr>
    </w:lvl>
    <w:lvl w:ilvl="2" w:tplc="18CEF686">
      <w:start w:val="1"/>
      <w:numFmt w:val="lowerRoman"/>
      <w:lvlText w:val="%3."/>
      <w:lvlJc w:val="right"/>
      <w:pPr>
        <w:ind w:left="2727" w:hanging="180"/>
      </w:pPr>
    </w:lvl>
    <w:lvl w:ilvl="3" w:tplc="F4D4331A">
      <w:start w:val="1"/>
      <w:numFmt w:val="decimal"/>
      <w:lvlText w:val="%4."/>
      <w:lvlJc w:val="left"/>
      <w:pPr>
        <w:ind w:left="3447" w:hanging="360"/>
      </w:pPr>
    </w:lvl>
    <w:lvl w:ilvl="4" w:tplc="CE5AC80A">
      <w:start w:val="1"/>
      <w:numFmt w:val="lowerLetter"/>
      <w:lvlText w:val="%5."/>
      <w:lvlJc w:val="left"/>
      <w:pPr>
        <w:ind w:left="4167" w:hanging="360"/>
      </w:pPr>
    </w:lvl>
    <w:lvl w:ilvl="5" w:tplc="AD16A964">
      <w:start w:val="1"/>
      <w:numFmt w:val="lowerRoman"/>
      <w:lvlText w:val="%6."/>
      <w:lvlJc w:val="right"/>
      <w:pPr>
        <w:ind w:left="4887" w:hanging="180"/>
      </w:pPr>
    </w:lvl>
    <w:lvl w:ilvl="6" w:tplc="F0F46D90">
      <w:start w:val="1"/>
      <w:numFmt w:val="decimal"/>
      <w:lvlText w:val="%7."/>
      <w:lvlJc w:val="left"/>
      <w:pPr>
        <w:ind w:left="5607" w:hanging="360"/>
      </w:pPr>
    </w:lvl>
    <w:lvl w:ilvl="7" w:tplc="9DAEB358">
      <w:start w:val="1"/>
      <w:numFmt w:val="lowerLetter"/>
      <w:lvlText w:val="%8."/>
      <w:lvlJc w:val="left"/>
      <w:pPr>
        <w:ind w:left="6327" w:hanging="360"/>
      </w:pPr>
    </w:lvl>
    <w:lvl w:ilvl="8" w:tplc="DCD69C4E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1CE44F7"/>
    <w:multiLevelType w:val="hybridMultilevel"/>
    <w:tmpl w:val="0E123FB0"/>
    <w:lvl w:ilvl="0" w:tplc="BCF20EC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8207914">
      <w:start w:val="1"/>
      <w:numFmt w:val="lowerLetter"/>
      <w:lvlText w:val="%2."/>
      <w:lvlJc w:val="left"/>
      <w:pPr>
        <w:ind w:left="1440" w:hanging="360"/>
      </w:pPr>
    </w:lvl>
    <w:lvl w:ilvl="2" w:tplc="94529AD4">
      <w:start w:val="1"/>
      <w:numFmt w:val="lowerRoman"/>
      <w:lvlText w:val="%3."/>
      <w:lvlJc w:val="right"/>
      <w:pPr>
        <w:ind w:left="2160" w:hanging="180"/>
      </w:pPr>
    </w:lvl>
    <w:lvl w:ilvl="3" w:tplc="536CE748">
      <w:start w:val="1"/>
      <w:numFmt w:val="decimal"/>
      <w:lvlText w:val="%4."/>
      <w:lvlJc w:val="left"/>
      <w:pPr>
        <w:ind w:left="2880" w:hanging="360"/>
      </w:pPr>
    </w:lvl>
    <w:lvl w:ilvl="4" w:tplc="3A86AAE4">
      <w:start w:val="1"/>
      <w:numFmt w:val="lowerLetter"/>
      <w:lvlText w:val="%5."/>
      <w:lvlJc w:val="left"/>
      <w:pPr>
        <w:ind w:left="3600" w:hanging="360"/>
      </w:pPr>
    </w:lvl>
    <w:lvl w:ilvl="5" w:tplc="7228049E">
      <w:start w:val="1"/>
      <w:numFmt w:val="lowerRoman"/>
      <w:lvlText w:val="%6."/>
      <w:lvlJc w:val="right"/>
      <w:pPr>
        <w:ind w:left="4320" w:hanging="180"/>
      </w:pPr>
    </w:lvl>
    <w:lvl w:ilvl="6" w:tplc="8774FAC8">
      <w:start w:val="1"/>
      <w:numFmt w:val="decimal"/>
      <w:lvlText w:val="%7."/>
      <w:lvlJc w:val="left"/>
      <w:pPr>
        <w:ind w:left="5040" w:hanging="360"/>
      </w:pPr>
    </w:lvl>
    <w:lvl w:ilvl="7" w:tplc="8F6482C2">
      <w:start w:val="1"/>
      <w:numFmt w:val="lowerLetter"/>
      <w:lvlText w:val="%8."/>
      <w:lvlJc w:val="left"/>
      <w:pPr>
        <w:ind w:left="5760" w:hanging="360"/>
      </w:pPr>
    </w:lvl>
    <w:lvl w:ilvl="8" w:tplc="BD6E985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D36FB"/>
    <w:multiLevelType w:val="hybridMultilevel"/>
    <w:tmpl w:val="17B49B9A"/>
    <w:lvl w:ilvl="0" w:tplc="F65820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4E73CE">
      <w:start w:val="1"/>
      <w:numFmt w:val="lowerLetter"/>
      <w:lvlText w:val="%2."/>
      <w:lvlJc w:val="left"/>
      <w:pPr>
        <w:ind w:left="1440" w:hanging="360"/>
      </w:pPr>
    </w:lvl>
    <w:lvl w:ilvl="2" w:tplc="00BC8A90">
      <w:start w:val="1"/>
      <w:numFmt w:val="lowerRoman"/>
      <w:lvlText w:val="%3."/>
      <w:lvlJc w:val="right"/>
      <w:pPr>
        <w:ind w:left="2160" w:hanging="180"/>
      </w:pPr>
    </w:lvl>
    <w:lvl w:ilvl="3" w:tplc="612066A6">
      <w:start w:val="1"/>
      <w:numFmt w:val="decimal"/>
      <w:lvlText w:val="%4."/>
      <w:lvlJc w:val="left"/>
      <w:pPr>
        <w:ind w:left="2880" w:hanging="360"/>
      </w:pPr>
    </w:lvl>
    <w:lvl w:ilvl="4" w:tplc="7ADAA314">
      <w:start w:val="1"/>
      <w:numFmt w:val="lowerLetter"/>
      <w:lvlText w:val="%5."/>
      <w:lvlJc w:val="left"/>
      <w:pPr>
        <w:ind w:left="3600" w:hanging="360"/>
      </w:pPr>
    </w:lvl>
    <w:lvl w:ilvl="5" w:tplc="A2D67F8C">
      <w:start w:val="1"/>
      <w:numFmt w:val="lowerRoman"/>
      <w:lvlText w:val="%6."/>
      <w:lvlJc w:val="right"/>
      <w:pPr>
        <w:ind w:left="4320" w:hanging="180"/>
      </w:pPr>
    </w:lvl>
    <w:lvl w:ilvl="6" w:tplc="BCB851D0">
      <w:start w:val="1"/>
      <w:numFmt w:val="decimal"/>
      <w:lvlText w:val="%7."/>
      <w:lvlJc w:val="left"/>
      <w:pPr>
        <w:ind w:left="5040" w:hanging="360"/>
      </w:pPr>
    </w:lvl>
    <w:lvl w:ilvl="7" w:tplc="FE686CBC">
      <w:start w:val="1"/>
      <w:numFmt w:val="lowerLetter"/>
      <w:lvlText w:val="%8."/>
      <w:lvlJc w:val="left"/>
      <w:pPr>
        <w:ind w:left="5760" w:hanging="360"/>
      </w:pPr>
    </w:lvl>
    <w:lvl w:ilvl="8" w:tplc="EC00835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8650B"/>
    <w:multiLevelType w:val="hybridMultilevel"/>
    <w:tmpl w:val="4DF05BC8"/>
    <w:lvl w:ilvl="0" w:tplc="641CFE40">
      <w:start w:val="1"/>
      <w:numFmt w:val="decimal"/>
      <w:lvlText w:val="%1)"/>
      <w:lvlJc w:val="left"/>
      <w:pPr>
        <w:ind w:left="1287" w:hanging="360"/>
      </w:pPr>
    </w:lvl>
    <w:lvl w:ilvl="1" w:tplc="A0B4A7E8">
      <w:start w:val="1"/>
      <w:numFmt w:val="lowerLetter"/>
      <w:lvlText w:val="%2."/>
      <w:lvlJc w:val="left"/>
      <w:pPr>
        <w:ind w:left="2007" w:hanging="360"/>
      </w:pPr>
    </w:lvl>
    <w:lvl w:ilvl="2" w:tplc="1D7EB992">
      <w:start w:val="1"/>
      <w:numFmt w:val="lowerRoman"/>
      <w:lvlText w:val="%3."/>
      <w:lvlJc w:val="right"/>
      <w:pPr>
        <w:ind w:left="2727" w:hanging="180"/>
      </w:pPr>
    </w:lvl>
    <w:lvl w:ilvl="3" w:tplc="842AAD76">
      <w:start w:val="1"/>
      <w:numFmt w:val="decimal"/>
      <w:lvlText w:val="%4."/>
      <w:lvlJc w:val="left"/>
      <w:pPr>
        <w:ind w:left="3447" w:hanging="360"/>
      </w:pPr>
    </w:lvl>
    <w:lvl w:ilvl="4" w:tplc="1362E52C">
      <w:start w:val="1"/>
      <w:numFmt w:val="lowerLetter"/>
      <w:lvlText w:val="%5."/>
      <w:lvlJc w:val="left"/>
      <w:pPr>
        <w:ind w:left="4167" w:hanging="360"/>
      </w:pPr>
    </w:lvl>
    <w:lvl w:ilvl="5" w:tplc="68FE6798">
      <w:start w:val="1"/>
      <w:numFmt w:val="lowerRoman"/>
      <w:lvlText w:val="%6."/>
      <w:lvlJc w:val="right"/>
      <w:pPr>
        <w:ind w:left="4887" w:hanging="180"/>
      </w:pPr>
    </w:lvl>
    <w:lvl w:ilvl="6" w:tplc="D2D239A4">
      <w:start w:val="1"/>
      <w:numFmt w:val="decimal"/>
      <w:lvlText w:val="%7."/>
      <w:lvlJc w:val="left"/>
      <w:pPr>
        <w:ind w:left="5607" w:hanging="360"/>
      </w:pPr>
    </w:lvl>
    <w:lvl w:ilvl="7" w:tplc="A52C30EE">
      <w:start w:val="1"/>
      <w:numFmt w:val="lowerLetter"/>
      <w:lvlText w:val="%8."/>
      <w:lvlJc w:val="left"/>
      <w:pPr>
        <w:ind w:left="6327" w:hanging="360"/>
      </w:pPr>
    </w:lvl>
    <w:lvl w:ilvl="8" w:tplc="9948D092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5AF4886"/>
    <w:multiLevelType w:val="hybridMultilevel"/>
    <w:tmpl w:val="0CBA7EC6"/>
    <w:lvl w:ilvl="0" w:tplc="EBFE28EE">
      <w:start w:val="1"/>
      <w:numFmt w:val="decimal"/>
      <w:lvlText w:val="%1)"/>
      <w:lvlJc w:val="left"/>
      <w:pPr>
        <w:ind w:left="720" w:hanging="360"/>
      </w:pPr>
    </w:lvl>
    <w:lvl w:ilvl="1" w:tplc="8CA28A26">
      <w:start w:val="1"/>
      <w:numFmt w:val="lowerLetter"/>
      <w:lvlText w:val="%2."/>
      <w:lvlJc w:val="left"/>
      <w:pPr>
        <w:ind w:left="1440" w:hanging="360"/>
      </w:pPr>
    </w:lvl>
    <w:lvl w:ilvl="2" w:tplc="36D8633C">
      <w:start w:val="1"/>
      <w:numFmt w:val="lowerRoman"/>
      <w:lvlText w:val="%3."/>
      <w:lvlJc w:val="right"/>
      <w:pPr>
        <w:ind w:left="2160" w:hanging="180"/>
      </w:pPr>
    </w:lvl>
    <w:lvl w:ilvl="3" w:tplc="91ECAFB8">
      <w:start w:val="1"/>
      <w:numFmt w:val="decimal"/>
      <w:lvlText w:val="%4."/>
      <w:lvlJc w:val="left"/>
      <w:pPr>
        <w:ind w:left="2880" w:hanging="360"/>
      </w:pPr>
    </w:lvl>
    <w:lvl w:ilvl="4" w:tplc="A262143A">
      <w:start w:val="1"/>
      <w:numFmt w:val="lowerLetter"/>
      <w:lvlText w:val="%5."/>
      <w:lvlJc w:val="left"/>
      <w:pPr>
        <w:ind w:left="3600" w:hanging="360"/>
      </w:pPr>
    </w:lvl>
    <w:lvl w:ilvl="5" w:tplc="48E8843C">
      <w:start w:val="1"/>
      <w:numFmt w:val="lowerRoman"/>
      <w:lvlText w:val="%6."/>
      <w:lvlJc w:val="right"/>
      <w:pPr>
        <w:ind w:left="4320" w:hanging="180"/>
      </w:pPr>
    </w:lvl>
    <w:lvl w:ilvl="6" w:tplc="8996BE64">
      <w:start w:val="1"/>
      <w:numFmt w:val="decimal"/>
      <w:lvlText w:val="%7."/>
      <w:lvlJc w:val="left"/>
      <w:pPr>
        <w:ind w:left="5040" w:hanging="360"/>
      </w:pPr>
    </w:lvl>
    <w:lvl w:ilvl="7" w:tplc="7BEC7454">
      <w:start w:val="1"/>
      <w:numFmt w:val="lowerLetter"/>
      <w:lvlText w:val="%8."/>
      <w:lvlJc w:val="left"/>
      <w:pPr>
        <w:ind w:left="5760" w:hanging="360"/>
      </w:pPr>
    </w:lvl>
    <w:lvl w:ilvl="8" w:tplc="46FEE38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140393"/>
    <w:multiLevelType w:val="hybridMultilevel"/>
    <w:tmpl w:val="822689AE"/>
    <w:lvl w:ilvl="0" w:tplc="6394B4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A3C560C">
      <w:start w:val="1"/>
      <w:numFmt w:val="lowerLetter"/>
      <w:lvlText w:val="%2."/>
      <w:lvlJc w:val="left"/>
      <w:pPr>
        <w:ind w:left="1440" w:hanging="360"/>
      </w:pPr>
    </w:lvl>
    <w:lvl w:ilvl="2" w:tplc="81729242">
      <w:start w:val="1"/>
      <w:numFmt w:val="lowerRoman"/>
      <w:lvlText w:val="%3."/>
      <w:lvlJc w:val="right"/>
      <w:pPr>
        <w:ind w:left="2160" w:hanging="180"/>
      </w:pPr>
    </w:lvl>
    <w:lvl w:ilvl="3" w:tplc="698215F4">
      <w:start w:val="1"/>
      <w:numFmt w:val="decimal"/>
      <w:lvlText w:val="%4."/>
      <w:lvlJc w:val="left"/>
      <w:pPr>
        <w:ind w:left="2880" w:hanging="360"/>
      </w:pPr>
    </w:lvl>
    <w:lvl w:ilvl="4" w:tplc="8EF4B11E">
      <w:start w:val="1"/>
      <w:numFmt w:val="lowerLetter"/>
      <w:lvlText w:val="%5."/>
      <w:lvlJc w:val="left"/>
      <w:pPr>
        <w:ind w:left="3600" w:hanging="360"/>
      </w:pPr>
    </w:lvl>
    <w:lvl w:ilvl="5" w:tplc="4A7022AE">
      <w:start w:val="1"/>
      <w:numFmt w:val="lowerRoman"/>
      <w:lvlText w:val="%6."/>
      <w:lvlJc w:val="right"/>
      <w:pPr>
        <w:ind w:left="4320" w:hanging="180"/>
      </w:pPr>
    </w:lvl>
    <w:lvl w:ilvl="6" w:tplc="C5FCE3E4">
      <w:start w:val="1"/>
      <w:numFmt w:val="decimal"/>
      <w:lvlText w:val="%7."/>
      <w:lvlJc w:val="left"/>
      <w:pPr>
        <w:ind w:left="5040" w:hanging="360"/>
      </w:pPr>
    </w:lvl>
    <w:lvl w:ilvl="7" w:tplc="2F3C7EDA">
      <w:start w:val="1"/>
      <w:numFmt w:val="lowerLetter"/>
      <w:lvlText w:val="%8."/>
      <w:lvlJc w:val="left"/>
      <w:pPr>
        <w:ind w:left="5760" w:hanging="360"/>
      </w:pPr>
    </w:lvl>
    <w:lvl w:ilvl="8" w:tplc="D5D62E2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8C5FA3"/>
    <w:multiLevelType w:val="hybridMultilevel"/>
    <w:tmpl w:val="687AA1A0"/>
    <w:lvl w:ilvl="0" w:tplc="015455DA">
      <w:start w:val="1"/>
      <w:numFmt w:val="decimal"/>
      <w:lvlText w:val="%1)"/>
      <w:lvlJc w:val="left"/>
      <w:pPr>
        <w:ind w:left="720" w:hanging="360"/>
      </w:pPr>
    </w:lvl>
    <w:lvl w:ilvl="1" w:tplc="EAD0AFAE">
      <w:start w:val="1"/>
      <w:numFmt w:val="lowerLetter"/>
      <w:lvlText w:val="%2."/>
      <w:lvlJc w:val="left"/>
      <w:pPr>
        <w:ind w:left="1440" w:hanging="360"/>
      </w:pPr>
    </w:lvl>
    <w:lvl w:ilvl="2" w:tplc="241E15C6">
      <w:start w:val="1"/>
      <w:numFmt w:val="lowerRoman"/>
      <w:lvlText w:val="%3."/>
      <w:lvlJc w:val="right"/>
      <w:pPr>
        <w:ind w:left="2160" w:hanging="180"/>
      </w:pPr>
    </w:lvl>
    <w:lvl w:ilvl="3" w:tplc="AA5E6DE8">
      <w:start w:val="1"/>
      <w:numFmt w:val="decimal"/>
      <w:lvlText w:val="%4."/>
      <w:lvlJc w:val="left"/>
      <w:pPr>
        <w:ind w:left="2880" w:hanging="360"/>
      </w:pPr>
    </w:lvl>
    <w:lvl w:ilvl="4" w:tplc="E5D0F626">
      <w:start w:val="1"/>
      <w:numFmt w:val="lowerLetter"/>
      <w:lvlText w:val="%5."/>
      <w:lvlJc w:val="left"/>
      <w:pPr>
        <w:ind w:left="3600" w:hanging="360"/>
      </w:pPr>
    </w:lvl>
    <w:lvl w:ilvl="5" w:tplc="9DFEAA0A">
      <w:start w:val="1"/>
      <w:numFmt w:val="lowerRoman"/>
      <w:lvlText w:val="%6."/>
      <w:lvlJc w:val="right"/>
      <w:pPr>
        <w:ind w:left="4320" w:hanging="180"/>
      </w:pPr>
    </w:lvl>
    <w:lvl w:ilvl="6" w:tplc="E8FCD29A">
      <w:start w:val="1"/>
      <w:numFmt w:val="decimal"/>
      <w:lvlText w:val="%7."/>
      <w:lvlJc w:val="left"/>
      <w:pPr>
        <w:ind w:left="5040" w:hanging="360"/>
      </w:pPr>
    </w:lvl>
    <w:lvl w:ilvl="7" w:tplc="DCD6AF3E">
      <w:start w:val="1"/>
      <w:numFmt w:val="lowerLetter"/>
      <w:lvlText w:val="%8."/>
      <w:lvlJc w:val="left"/>
      <w:pPr>
        <w:ind w:left="5760" w:hanging="360"/>
      </w:pPr>
    </w:lvl>
    <w:lvl w:ilvl="8" w:tplc="5F769C9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E2F"/>
    <w:rsid w:val="00092FA3"/>
    <w:rsid w:val="00296A89"/>
    <w:rsid w:val="00312D14"/>
    <w:rsid w:val="003940E7"/>
    <w:rsid w:val="00421CBC"/>
    <w:rsid w:val="004E5E2F"/>
    <w:rsid w:val="005571E2"/>
    <w:rsid w:val="00563ADD"/>
    <w:rsid w:val="006C2247"/>
    <w:rsid w:val="00983264"/>
    <w:rsid w:val="00A6180F"/>
    <w:rsid w:val="00CA1EA9"/>
    <w:rsid w:val="00F8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A525405"/>
  <w15:chartTrackingRefBased/>
  <w15:docId w15:val="{5EF65FB8-DD79-45F4-96AF-31127D7D7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5E2F"/>
    <w:pPr>
      <w:spacing w:after="200" w:line="276" w:lineRule="auto"/>
    </w:pPr>
    <w:rPr>
      <w:rFonts w:ascii="Calibri" w:eastAsia="Calibri" w:hAnsi="Calibri"/>
      <w:sz w:val="22"/>
      <w:szCs w:val="22"/>
      <w:lang w:val="hy-AM" w:eastAsia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1EA9"/>
    <w:rPr>
      <w:rFonts w:ascii="Tahoma" w:hAnsi="Tahoma" w:cs="Tahoma"/>
      <w:sz w:val="16"/>
      <w:szCs w:val="16"/>
    </w:rPr>
  </w:style>
  <w:style w:type="character" w:customStyle="1" w:styleId="Bodytext2">
    <w:name w:val="Body text (2)_"/>
    <w:basedOn w:val="DefaultParagraphFont"/>
    <w:link w:val="Bodytext20"/>
    <w:rsid w:val="004E5E2F"/>
    <w:rPr>
      <w:sz w:val="30"/>
      <w:szCs w:val="3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4E5E2F"/>
    <w:pPr>
      <w:widowControl w:val="0"/>
      <w:shd w:val="clear" w:color="auto" w:fill="FFFFFF"/>
      <w:spacing w:before="420" w:after="540" w:line="0" w:lineRule="atLeast"/>
      <w:ind w:hanging="1400"/>
      <w:jc w:val="both"/>
    </w:pPr>
    <w:rPr>
      <w:rFonts w:ascii="Times New Roman" w:eastAsia="Times New Roman" w:hAnsi="Times New Roman"/>
      <w:sz w:val="30"/>
      <w:szCs w:val="30"/>
      <w:lang w:val="ru-RU" w:eastAsia="ru-RU"/>
    </w:rPr>
  </w:style>
  <w:style w:type="paragraph" w:styleId="ListParagraph">
    <w:name w:val="List Paragraph"/>
    <w:basedOn w:val="Normal"/>
    <w:uiPriority w:val="34"/>
    <w:qFormat/>
    <w:rsid w:val="004E5E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1490</Words>
  <Characters>8496</Characters>
  <Application>Microsoft Office Word</Application>
  <DocSecurity>0</DocSecurity>
  <Lines>70</Lines>
  <Paragraphs>19</Paragraphs>
  <ScaleCrop>false</ScaleCrop>
  <Company/>
  <LinksUpToDate>false</LinksUpToDate>
  <CharactersWithSpaces>9967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Araqsya Hambardzumyan</dc:creator>
  <cp:keywords/>
  <dc:description/>
  <cp:lastModifiedBy>Araqsya Hambardzumyan</cp:lastModifiedBy>
  <cp:revision>2</cp:revision>
  <cp:lastPrinted>2008-01-25T12:43:00Z</cp:lastPrinted>
  <dcterms:created xsi:type="dcterms:W3CDTF">2026-01-09T11:53:00Z</dcterms:created>
  <dcterms:modified xsi:type="dcterms:W3CDTF">2026-01-09T11:55:00Z</dcterms:modified>
</cp:coreProperties>
</file>