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CDA8" w14:textId="1E64CE9A" w:rsidR="002D5E31" w:rsidRPr="00BF2DFF" w:rsidRDefault="00BF2DFF" w:rsidP="00BB7BC5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BF2DFF">
        <w:rPr>
          <w:rFonts w:ascii="GHEA Grapalat" w:hAnsi="GHEA Grapalat"/>
          <w:bCs/>
          <w:sz w:val="24"/>
          <w:szCs w:val="24"/>
          <w:lang w:val="hy-AM"/>
        </w:rPr>
        <w:t>ՀԻՄՆԱՎՈՐՈՒՄ</w:t>
      </w:r>
    </w:p>
    <w:p w14:paraId="30EE8770" w14:textId="482CBA9F" w:rsidR="006C5DFA" w:rsidRPr="00BF2DFF" w:rsidRDefault="00BF2DFF" w:rsidP="00BB7BC5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BF2DFF">
        <w:rPr>
          <w:rFonts w:ascii="GHEA Grapalat" w:hAnsi="GHEA Grapalat"/>
          <w:bCs/>
          <w:sz w:val="24"/>
          <w:szCs w:val="24"/>
          <w:lang w:val="hy-AM"/>
        </w:rPr>
        <w:t>«</w:t>
      </w:r>
      <w:bookmarkStart w:id="0" w:name="_Hlk217220221"/>
      <w:r w:rsidRPr="00BF2DFF">
        <w:rPr>
          <w:rFonts w:ascii="GHEA Grapalat" w:hAnsi="GHEA Grapalat"/>
          <w:bCs/>
          <w:sz w:val="24"/>
          <w:szCs w:val="24"/>
          <w:lang w:val="hy-AM"/>
        </w:rPr>
        <w:t>ԲԺՇԿԱԿԱՆ ՕԳՆՈՒԹՅԱՆ ԵՎ ՍՊԱՍԱՐԿՄԱՆ ԾԱՌԱՅՈՒԹՅՈՒՆՆԵՐԻ ԾԱԽՍԵՐԻ ԱՊԱՀՈՎԱԳՐԱԿԱՆ ՀԱՏՈՒՑՄԱՆ ԿԱՐԳԸ ՀԱՍՏԱՏԵԼՈՒ ՄԱՍԻՆ</w:t>
      </w:r>
      <w:bookmarkEnd w:id="0"/>
      <w:r w:rsidRPr="00BF2DFF">
        <w:rPr>
          <w:rFonts w:ascii="GHEA Grapalat" w:hAnsi="GHEA Grapalat"/>
          <w:bCs/>
          <w:sz w:val="24"/>
          <w:szCs w:val="24"/>
          <w:lang w:val="hy-AM"/>
        </w:rPr>
        <w:t>» ԿԱՌԱՎԱՐՈՒԹՅԱՆ ՈՐՈՇՄԱՆ ՆԱԽԱԳԾԻ</w:t>
      </w:r>
    </w:p>
    <w:p w14:paraId="49CEB29F" w14:textId="77777777" w:rsidR="002D5E31" w:rsidRPr="00F6420C" w:rsidRDefault="002D5E31" w:rsidP="00BB7BC5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7C4B986C" w14:textId="2FE68F40" w:rsidR="003638C5" w:rsidRPr="00F6420C" w:rsidRDefault="007F2B73" w:rsidP="00BB7BC5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6420C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F6420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F6420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D021F" w:rsidRPr="00F6420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7D021F" w:rsidRPr="00F6420C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DE790A" w:rsidRPr="00F6420C">
        <w:rPr>
          <w:rFonts w:ascii="GHEA Grapalat" w:hAnsi="GHEA Grapalat"/>
          <w:bCs/>
          <w:sz w:val="24"/>
          <w:szCs w:val="24"/>
          <w:lang w:val="hy-AM"/>
        </w:rPr>
        <w:tab/>
      </w:r>
      <w:r w:rsidR="008E5B0B" w:rsidRPr="00F6420C">
        <w:rPr>
          <w:rFonts w:ascii="GHEA Grapalat" w:hAnsi="GHEA Grapalat"/>
          <w:bCs/>
          <w:sz w:val="24"/>
          <w:szCs w:val="24"/>
          <w:lang w:val="hy-AM"/>
        </w:rPr>
        <w:t xml:space="preserve">Կառավարության որոշման </w:t>
      </w:r>
      <w:r w:rsidR="003638C5" w:rsidRPr="00F6420C">
        <w:rPr>
          <w:rFonts w:ascii="GHEA Grapalat" w:hAnsi="GHEA Grapalat"/>
          <w:bCs/>
          <w:sz w:val="24"/>
          <w:szCs w:val="24"/>
          <w:lang w:val="hy-AM"/>
        </w:rPr>
        <w:t xml:space="preserve">սույն </w:t>
      </w:r>
      <w:r w:rsidR="00144D8C" w:rsidRPr="00F6420C">
        <w:rPr>
          <w:rFonts w:ascii="GHEA Grapalat" w:hAnsi="GHEA Grapalat"/>
          <w:bCs/>
          <w:sz w:val="24"/>
          <w:szCs w:val="24"/>
          <w:lang w:val="hy-AM"/>
        </w:rPr>
        <w:t>ն</w:t>
      </w:r>
      <w:r w:rsidR="007D021F" w:rsidRPr="00F6420C">
        <w:rPr>
          <w:rFonts w:ascii="GHEA Grapalat" w:hAnsi="GHEA Grapalat" w:cs="Sylfaen"/>
          <w:bCs/>
          <w:sz w:val="24"/>
          <w:szCs w:val="24"/>
          <w:lang w:val="hy-AM"/>
        </w:rPr>
        <w:t xml:space="preserve">ախագծի ընդունումը պայմանավորված է </w:t>
      </w:r>
      <w:r w:rsidR="00DE790A" w:rsidRPr="00F6420C">
        <w:rPr>
          <w:rFonts w:ascii="GHEA Grapalat" w:hAnsi="GHEA Grapalat" w:cs="Sylfaen"/>
          <w:bCs/>
          <w:sz w:val="24"/>
          <w:szCs w:val="24"/>
          <w:lang w:val="hy-AM"/>
        </w:rPr>
        <w:t></w:t>
      </w:r>
      <w:r w:rsidR="00DE790A" w:rsidRPr="00F6420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Առողջության համընդհանուր ապահովագրության մասին օրենքի </w:t>
      </w:r>
      <w:r w:rsidR="006E6E42" w:rsidRPr="00F6420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(այսուհետ՝ Օրենք) </w:t>
      </w:r>
      <w:r w:rsidR="00DE790A" w:rsidRPr="00F6420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ընդունումով, որտեղ ՀՀ կառավարությանը </w:t>
      </w:r>
      <w:r w:rsidR="003638C5" w:rsidRPr="00F6420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լիազորություն</w:t>
      </w:r>
      <w:r w:rsidR="00BB7B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3638C5" w:rsidRPr="00F6420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է վերապահվել սահմանելու </w:t>
      </w:r>
      <w:r w:rsidR="003638C5" w:rsidRPr="00BF2D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Օ</w:t>
      </w:r>
      <w:r w:rsidR="003638C5" w:rsidRPr="00BF2DFF">
        <w:rPr>
          <w:rFonts w:ascii="GHEA Grapalat" w:hAnsi="GHEA Grapalat"/>
          <w:sz w:val="24"/>
          <w:szCs w:val="24"/>
          <w:lang w:val="hy-AM"/>
        </w:rPr>
        <w:t xml:space="preserve">րենքի </w:t>
      </w:r>
      <w:r w:rsidR="00FA58D6" w:rsidRPr="00BF2DFF">
        <w:rPr>
          <w:rFonts w:ascii="GHEA Grapalat" w:hAnsi="GHEA Grapalat"/>
          <w:sz w:val="24"/>
          <w:szCs w:val="24"/>
          <w:lang w:val="hy-AM"/>
        </w:rPr>
        <w:t>8</w:t>
      </w:r>
      <w:r w:rsidR="003638C5" w:rsidRPr="00BF2DFF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FA58D6" w:rsidRPr="00BF2DFF">
        <w:rPr>
          <w:rFonts w:ascii="GHEA Grapalat" w:hAnsi="GHEA Grapalat"/>
          <w:sz w:val="24"/>
          <w:szCs w:val="24"/>
          <w:lang w:val="hy-AM"/>
        </w:rPr>
        <w:t>3</w:t>
      </w:r>
      <w:r w:rsidR="003638C5" w:rsidRPr="00BF2DFF">
        <w:rPr>
          <w:rFonts w:ascii="GHEA Grapalat" w:hAnsi="GHEA Grapalat"/>
          <w:sz w:val="24"/>
          <w:szCs w:val="24"/>
          <w:lang w:val="hy-AM"/>
        </w:rPr>
        <w:t>-րդ մասով նախատեսված</w:t>
      </w:r>
      <w:r w:rsidR="003638C5" w:rsidRPr="00F6420C">
        <w:rPr>
          <w:rFonts w:ascii="GHEA Grapalat" w:hAnsi="GHEA Grapalat"/>
          <w:sz w:val="24"/>
          <w:szCs w:val="24"/>
          <w:lang w:val="hy-AM"/>
        </w:rPr>
        <w:t xml:space="preserve"> </w:t>
      </w:r>
      <w:r w:rsidR="00FA58D6">
        <w:rPr>
          <w:rFonts w:ascii="GHEA Grapalat" w:hAnsi="GHEA Grapalat" w:cs="Arial"/>
          <w:bCs/>
          <w:lang w:val="hy-AM"/>
        </w:rPr>
        <w:t>բ</w:t>
      </w:r>
      <w:r w:rsidR="00FA58D6" w:rsidRPr="00FA58D6">
        <w:rPr>
          <w:rFonts w:ascii="GHEA Grapalat" w:hAnsi="GHEA Grapalat" w:cs="Arial"/>
          <w:bCs/>
          <w:lang w:val="hy-AM"/>
        </w:rPr>
        <w:t>ժշկական օգնության և սպասարկման ծառայությունների ծախսերի ապահովագրական հատուցման կարգը</w:t>
      </w:r>
      <w:r w:rsidR="00F36608" w:rsidRPr="00F6420C">
        <w:rPr>
          <w:rFonts w:ascii="GHEA Grapalat" w:hAnsi="GHEA Grapalat"/>
          <w:sz w:val="24"/>
          <w:szCs w:val="24"/>
          <w:lang w:val="hy-AM"/>
        </w:rPr>
        <w:t>։</w:t>
      </w:r>
    </w:p>
    <w:p w14:paraId="45E59269" w14:textId="2419CF70" w:rsidR="00D007BF" w:rsidRDefault="00FA58D6" w:rsidP="00BB7BC5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առնելով, որ առողջության համընդհանուր ապահովագրության ներդրման նախապատրաստական աշխատանքների իրականացման ընթացքում իրականացվել են ապահովագրական փաթեթի գնահատման աշխատանքներ՝ հիմնված ակտուարական մոդելի վրա, որտեղ հիմքում ընկած է եղել հիմնական ծառայությունների փաթեթում ներառված ծառայությունները, որոնք ունեն որոշակի փոխհատուցման սկզբունքներ, անհրաժեշտ է հստակեցնել դրանց պայմանները և եղանակները՝ հետագայում թե՛ ապահովագրված անձանց, թե՛ բժշկական օգնություն և սսպասարկում իրաականացնող կազմակերպությունների համար անորոշություններ </w:t>
      </w:r>
      <w:r w:rsidR="005E0AB3">
        <w:rPr>
          <w:rFonts w:ascii="GHEA Grapalat" w:hAnsi="GHEA Grapalat"/>
          <w:sz w:val="24"/>
          <w:szCs w:val="24"/>
          <w:lang w:val="hy-AM"/>
        </w:rPr>
        <w:t xml:space="preserve">չառաջացնելու նպատակով։ </w:t>
      </w:r>
    </w:p>
    <w:p w14:paraId="51830C89" w14:textId="305AF487" w:rsidR="006F108C" w:rsidRPr="00F6420C" w:rsidRDefault="007F2B73" w:rsidP="00BB7BC5">
      <w:pPr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F6420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F6420C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Pr="00F6420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F5072" w:rsidRPr="00F6420C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2095E8AC" w14:textId="48D377D7" w:rsidR="005E0AB3" w:rsidRDefault="005E0AB3" w:rsidP="00BB7BC5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Սույն կարգով կարգավորվում են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ապահովագրական փաթեթի շրջանակներում</w:t>
      </w:r>
      <w:r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բժշկական օգնություն և սպասարկում իրականացնող կազմակերպություններում (այսուհետ` կազմակերպություն)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առողջության համընդհանուր ապահովագրության</w:t>
      </w:r>
      <w:r w:rsidR="00BB7BC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շրջանակներում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ապահովագրված անձանց </w:t>
      </w:r>
      <w:r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համար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բժշկական օգնության և սպասարկման ծառայությունների ծախսերի ապահովագրական հատուցման</w:t>
      </w:r>
      <w:r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հետ կապված հարաբերությունները</w:t>
      </w:r>
      <w:r>
        <w:rPr>
          <w:rFonts w:ascii="GHEA Grapalat" w:hAnsi="GHEA Grapalat"/>
          <w:sz w:val="24"/>
          <w:szCs w:val="24"/>
          <w:lang w:val="hy-AM"/>
        </w:rPr>
        <w:t>, որոնք պայմանավորված են փոխհատուցման սկզբունքներով, ծառայությունների դիմաց ֆինանսավորման եղանակներով, ինչպես նաև ծաախսերի հաշվարկման հիմքերով։</w:t>
      </w:r>
    </w:p>
    <w:p w14:paraId="0B43FE51" w14:textId="435B162B" w:rsidR="003B7C4A" w:rsidRDefault="005E0AB3" w:rsidP="00BB7BC5">
      <w:pPr>
        <w:spacing w:after="0" w:line="360" w:lineRule="auto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3B7C4A">
        <w:rPr>
          <w:rFonts w:ascii="GHEA Grapalat" w:hAnsi="GHEA Grapalat"/>
          <w:sz w:val="24"/>
          <w:szCs w:val="24"/>
          <w:lang w:val="hy-AM"/>
        </w:rPr>
        <w:lastRenderedPageBreak/>
        <w:t xml:space="preserve">Ըստ այդմ կարգով սահմանվում են հիմնական հասկացությունները՝ </w:t>
      </w:r>
      <w:r w:rsidR="003B7C4A" w:rsidRPr="003B7C4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Ապահովագրական հատուցում</w:t>
      </w:r>
      <w:r w:rsidR="003B7C4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ը</w:t>
      </w:r>
      <w:r w:rsidR="003B7C4A">
        <w:rPr>
          <w:rFonts w:eastAsia="Times New Roman" w:cs="Calibri"/>
          <w:color w:val="000000" w:themeColor="text1"/>
          <w:sz w:val="24"/>
          <w:szCs w:val="24"/>
          <w:lang w:val="hy-AM"/>
        </w:rPr>
        <w:t xml:space="preserve"> որպես </w:t>
      </w:r>
      <w:r w:rsidR="003B7C4A" w:rsidRP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առողջության հանընդհանուր ապահովագրության շրջանակներում ապահովագրված անձանց տրամադրված բժշկական ծառայությունների, դեղերի և բժշկական պարագաների արժեքի ամբողջությամբ կամ համավճարային հատուցում,</w:t>
      </w:r>
      <w:r w:rsid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3B7C4A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Ապահովագրական փաթեթի համավճարի հատուցումը որպես</w:t>
      </w:r>
      <w:r w:rsidR="003B7C4A" w:rsidRPr="00B50407">
        <w:rPr>
          <w:rFonts w:eastAsia="Times New Roman" w:cs="Calibri"/>
          <w:color w:val="000000" w:themeColor="text1"/>
          <w:sz w:val="24"/>
          <w:szCs w:val="24"/>
          <w:lang w:val="hy-AM"/>
        </w:rPr>
        <w:t> </w:t>
      </w:r>
      <w:r w:rsid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առողջության հանընդհանուր ապահովագրության</w:t>
      </w:r>
      <w:r w:rsidR="003B7C4A"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շրջանակներում </w:t>
      </w:r>
      <w:r w:rsid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ապահովագրվածներին</w:t>
      </w:r>
      <w:r w:rsidR="003B7C4A"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տրամադրված բժշկական ծառայությունների, դեղերի և բժշկական պարագաների արժեքի</w:t>
      </w:r>
      <w:r w:rsid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3B7C4A"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հատուցում</w:t>
      </w:r>
      <w:r w:rsid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, </w:t>
      </w:r>
      <w:r w:rsidR="003B7C4A" w:rsidRPr="00B50407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համավճար</w:t>
      </w:r>
      <w:r w:rsidR="003B7C4A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ը, որպես</w:t>
      </w:r>
      <w:r w:rsidR="00BB7BC5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առողջության հանընդհանուր ապահովագրության</w:t>
      </w:r>
      <w:r w:rsidR="003B7C4A"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շրջանակներում </w:t>
      </w:r>
      <w:r w:rsid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ապահովագրվածների կողմից </w:t>
      </w:r>
      <w:r w:rsidR="003B7C4A"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կատարվող լրավճար՝ </w:t>
      </w:r>
      <w:r w:rsidR="003B7C4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Հիմնադրամի</w:t>
      </w:r>
      <w:r w:rsidR="003B7C4A"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կողմից սահմանած գների և նույն ծառայության համար հաշվարկված իրական ծախսերի տարբերության կամ հաստատագրված գումարի չափով</w:t>
      </w:r>
      <w:r w:rsidR="003B7C4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642957BC" w14:textId="5B46F70E" w:rsidR="003B7C4A" w:rsidRPr="00B50407" w:rsidRDefault="003B7C4A" w:rsidP="00BB7BC5">
      <w:pPr>
        <w:spacing w:after="0" w:line="360" w:lineRule="auto"/>
        <w:ind w:firstLine="851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3B7C4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Ապահովագրական փաթեթի շրջանակներում </w:t>
      </w:r>
      <w:r w:rsidRPr="003B7C4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տրամադրվող ծառայությունների ֆինանսավորումն իրականացնում է</w:t>
      </w:r>
      <w:r w:rsidR="00BB7BC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3B7C4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Հիմնադրամը՝ իրավաբանական անձանց կամ անհատ ձեռնարկատերերի (այսուհետ՝ կազմակերպություններ) հետ կնքված օֆերտայի կամ հրապարակային օֆերտայի պայմանագրերի հիման վրա։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Ֆինանսավորման գումարները նախատեսվում են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Հիմնադրամի բյուջեի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գործառնական ծախսերի՝ </w:t>
      </w:r>
      <w:r w:rsidRPr="000F549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առողջության համընդհանուր ապահովագրության գծով հատուցման հետ կապված ծախսեր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ում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Մատուցված ծառայությունների դիմաց կազմակերպություններին ֆինանսավորումն իրականացվում է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ապահովագրական փաթեթի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շրջանակներում կատարված ծավալների դիմաց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ինչպես նաև բժշկական օգնության և սպասարկման որակի ցուցանիշների գնահատման հիման վրա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։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Ապահովագրության շրջանակներում մեծ տեղ է տրվում որակյալ բժշկական օգնության և սպասարկման ապահովմանը, ուստի նախատեսվում է, որ մ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ատուցված ծառայությունների դիմաց ֆինանսական հատկացումներ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 պետք է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իրականացվեն տվյալ ծառայությունները մատուցող բոլոր կազմակերպությունների կողմից կատարված աշխատանքների հանրագումարի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որակի գնահատման ցուցանիշների հիման վրա հաշվարկված բոնուսային ֆինանսավորման չափով</w:t>
      </w:r>
      <w:r w:rsidRPr="00B5040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39BF1CFA" w14:textId="4A8015C8" w:rsidR="005E0AB3" w:rsidRPr="00F6420C" w:rsidRDefault="005E0AB3" w:rsidP="00BB7BC5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4649BD43" w14:textId="670205DD" w:rsidR="00DD27E5" w:rsidRPr="00F6420C" w:rsidRDefault="00DD27E5" w:rsidP="00BB7BC5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color w:val="333333"/>
          <w:lang w:val="hy-AM"/>
        </w:rPr>
      </w:pPr>
    </w:p>
    <w:p w14:paraId="17FE591E" w14:textId="75757E07" w:rsidR="002D5E31" w:rsidRPr="00F6420C" w:rsidRDefault="00452480" w:rsidP="00BB7BC5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F6420C">
        <w:rPr>
          <w:rFonts w:ascii="GHEA Grapalat" w:hAnsi="GHEA Grapalat" w:cs="Arial"/>
          <w:color w:val="333333"/>
          <w:lang w:val="hy-AM"/>
        </w:rPr>
        <w:lastRenderedPageBreak/>
        <w:t xml:space="preserve"> </w:t>
      </w:r>
      <w:r w:rsidR="006F5072" w:rsidRPr="00F6420C">
        <w:rPr>
          <w:rFonts w:ascii="GHEA Grapalat" w:hAnsi="GHEA Grapalat"/>
          <w:b/>
          <w:lang w:val="hy-AM"/>
        </w:rPr>
        <w:t xml:space="preserve">3. </w:t>
      </w:r>
      <w:r w:rsidR="00BE7791" w:rsidRPr="00F6420C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14:paraId="13AD8248" w14:textId="1A601158" w:rsidR="002D5E31" w:rsidRPr="00F6420C" w:rsidRDefault="005C434D" w:rsidP="00BB7BC5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6420C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623B8D" w:rsidRPr="00F6420C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նախարարության </w:t>
      </w:r>
      <w:r w:rsidRPr="00F6420C">
        <w:rPr>
          <w:rFonts w:ascii="GHEA Grapalat" w:hAnsi="GHEA Grapalat"/>
          <w:sz w:val="24"/>
          <w:szCs w:val="24"/>
          <w:lang w:val="hy-AM"/>
        </w:rPr>
        <w:t>աշխատակիցների կողմից:</w:t>
      </w:r>
    </w:p>
    <w:p w14:paraId="615A0DB6" w14:textId="77777777" w:rsidR="006225B2" w:rsidRPr="00F6420C" w:rsidRDefault="006225B2" w:rsidP="00BB7BC5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26BC858" w14:textId="4C318C0F" w:rsidR="007D021F" w:rsidRPr="00F6420C" w:rsidRDefault="00BB7BC5" w:rsidP="00BB7BC5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F5072" w:rsidRPr="00F6420C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F6420C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20A014BD" w14:textId="2C639D03" w:rsidR="00FF7362" w:rsidRDefault="007D021F" w:rsidP="00BB7BC5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F642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ընդունման արդյունքում </w:t>
      </w:r>
      <w:r w:rsidR="00C25293" w:rsidRPr="00F642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ակնկալվում է ապահովել </w:t>
      </w:r>
      <w:r w:rsidR="00623B8D" w:rsidRPr="00F6420C">
        <w:rPr>
          <w:rFonts w:ascii="GHEA Grapalat" w:hAnsi="GHEA Grapalat" w:cs="Sylfaen"/>
          <w:bCs/>
          <w:sz w:val="24"/>
          <w:szCs w:val="24"/>
          <w:lang w:val="hy-AM"/>
        </w:rPr>
        <w:t></w:t>
      </w:r>
      <w:r w:rsidR="00623B8D" w:rsidRPr="00F6420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Առողջության համընդհանուր ապահովագրության մասին</w:t>
      </w:r>
      <w:r w:rsidR="00C25293" w:rsidRPr="00F6420C">
        <w:rPr>
          <w:rFonts w:ascii="GHEA Grapalat" w:hAnsi="GHEA Grapalat" w:cs="Sylfaen"/>
          <w:sz w:val="24"/>
          <w:szCs w:val="24"/>
          <w:lang w:val="hy-AM"/>
        </w:rPr>
        <w:t xml:space="preserve"> օրենքի կիրարկումը, </w:t>
      </w:r>
      <w:r w:rsidR="00FF7362" w:rsidRPr="00F6420C">
        <w:rPr>
          <w:rFonts w:ascii="GHEA Grapalat" w:hAnsi="GHEA Grapalat" w:cs="Sylfaen"/>
          <w:sz w:val="24"/>
          <w:szCs w:val="24"/>
          <w:lang w:val="hy-AM"/>
        </w:rPr>
        <w:t xml:space="preserve">օրենսդրական հիմքեր ստեղծել </w:t>
      </w:r>
      <w:r w:rsidR="00792FCE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առողջության համընդհանուր ապահովագրության</w:t>
      </w:r>
      <w:r w:rsidR="00BB7BC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792FCE"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շրջանակներում </w:t>
      </w:r>
      <w:r w:rsidR="00792FCE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ապահովագրված անձանց </w:t>
      </w:r>
      <w:r w:rsidR="00792FCE"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համար </w:t>
      </w:r>
      <w:r w:rsidR="00792FCE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բժշկական օգնության և սպասարկման ծառայությունների ծախսերի ապահովագրական հատուցման</w:t>
      </w:r>
      <w:r w:rsidR="00792FCE" w:rsidRPr="00B5040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792FCE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ապահովման համար</w:t>
      </w:r>
      <w:r w:rsidR="00FF7362" w:rsidRPr="00F6420C">
        <w:rPr>
          <w:rFonts w:ascii="GHEA Grapalat" w:hAnsi="GHEA Grapalat"/>
          <w:sz w:val="24"/>
          <w:szCs w:val="24"/>
          <w:lang w:val="hy-AM"/>
        </w:rPr>
        <w:t>։</w:t>
      </w:r>
    </w:p>
    <w:p w14:paraId="4F548A44" w14:textId="77777777" w:rsidR="00F6420C" w:rsidRPr="00F6420C" w:rsidRDefault="00F6420C" w:rsidP="00BB7BC5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4F0EA2D9" w14:textId="38A62E3D" w:rsidR="00796E15" w:rsidRPr="00755042" w:rsidRDefault="00FF7362" w:rsidP="00BB7BC5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6420C">
        <w:rPr>
          <w:rFonts w:ascii="GHEA Grapalat" w:hAnsi="GHEA Grapalat"/>
          <w:sz w:val="24"/>
          <w:szCs w:val="24"/>
          <w:lang w:val="hy-AM"/>
        </w:rPr>
        <w:t xml:space="preserve"> </w:t>
      </w:r>
      <w:r w:rsidR="00796E15" w:rsidRPr="00F6420C">
        <w:rPr>
          <w:rFonts w:ascii="GHEA Grapalat" w:eastAsia="Times New Roman" w:hAnsi="GHEA Grapalat"/>
          <w:b/>
          <w:sz w:val="24"/>
          <w:szCs w:val="24"/>
          <w:lang w:val="hy-AM"/>
        </w:rPr>
        <w:t>5.</w:t>
      </w:r>
      <w:r w:rsidR="00796E15" w:rsidRPr="00F6420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796E15" w:rsidRPr="00F6420C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կապակցությամբ ֆինանսական միջոցների անհրաժեշտության և պետական բյուջեի եկամուտներում և ծախսերում սպասվելիք փոփոխությունների </w:t>
      </w:r>
      <w:r w:rsidR="00796E15" w:rsidRPr="00755042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7F8A3BBD" w14:textId="20190EF9" w:rsidR="00796E15" w:rsidRPr="00F6420C" w:rsidRDefault="00796E15" w:rsidP="00BB7BC5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75504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</w:t>
      </w:r>
      <w:r w:rsidRPr="00755042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755042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6AF03073" w14:textId="77777777" w:rsidR="00370143" w:rsidRPr="00F6420C" w:rsidRDefault="00370143" w:rsidP="00BB7BC5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7522CADA" w14:textId="77777777" w:rsidR="00796E15" w:rsidRPr="00F6420C" w:rsidRDefault="00796E15" w:rsidP="00BB7BC5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hy-AM"/>
        </w:rPr>
      </w:pPr>
      <w:r w:rsidRPr="00F6420C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 w:rsidRPr="00F6420C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0A0A1146" w14:textId="6825E0D7" w:rsidR="004E3FC0" w:rsidRPr="00F6420C" w:rsidRDefault="00BA71EA" w:rsidP="00BB7BC5">
      <w:pPr>
        <w:spacing w:after="0" w:line="360" w:lineRule="auto"/>
        <w:ind w:firstLine="851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6420C">
        <w:rPr>
          <w:rFonts w:ascii="GHEA Grapalat" w:hAnsi="GHEA Grapalat"/>
          <w:sz w:val="24"/>
          <w:szCs w:val="24"/>
          <w:lang w:val="hy-AM"/>
        </w:rPr>
        <w:t>Նախագիծ</w:t>
      </w:r>
      <w:r w:rsidR="00493265" w:rsidRPr="00F6420C">
        <w:rPr>
          <w:rFonts w:ascii="GHEA Grapalat" w:hAnsi="GHEA Grapalat"/>
          <w:sz w:val="24"/>
          <w:szCs w:val="24"/>
          <w:lang w:val="hy-AM"/>
        </w:rPr>
        <w:t>ն</w:t>
      </w:r>
      <w:r w:rsidR="00796E15" w:rsidRPr="00F6420C">
        <w:rPr>
          <w:rFonts w:ascii="GHEA Grapalat" w:hAnsi="GHEA Grapalat"/>
          <w:sz w:val="24"/>
          <w:szCs w:val="24"/>
          <w:lang w:val="hy-AM"/>
        </w:rPr>
        <w:t xml:space="preserve"> </w:t>
      </w:r>
      <w:r w:rsidR="00907B1B" w:rsidRPr="00F6420C">
        <w:rPr>
          <w:rFonts w:ascii="GHEA Grapalat" w:hAnsi="GHEA Grapalat"/>
          <w:sz w:val="24"/>
          <w:szCs w:val="24"/>
          <w:lang w:val="hy-AM"/>
        </w:rPr>
        <w:t>անմիջականոր</w:t>
      </w:r>
      <w:r w:rsidR="005A40C4" w:rsidRPr="00F6420C">
        <w:rPr>
          <w:rFonts w:ascii="GHEA Grapalat" w:hAnsi="GHEA Grapalat"/>
          <w:sz w:val="24"/>
          <w:szCs w:val="24"/>
          <w:lang w:val="hy-AM"/>
        </w:rPr>
        <w:t>են</w:t>
      </w:r>
      <w:r w:rsidR="003E31B0" w:rsidRPr="00F6420C">
        <w:rPr>
          <w:rFonts w:ascii="GHEA Grapalat" w:hAnsi="GHEA Grapalat"/>
          <w:sz w:val="24"/>
          <w:szCs w:val="24"/>
          <w:lang w:val="hy-AM"/>
        </w:rPr>
        <w:t xml:space="preserve"> կապված է </w:t>
      </w:r>
      <w:r w:rsidR="00574113" w:rsidRPr="00F6420C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 </w:t>
      </w:r>
      <w:r w:rsidR="003E31B0" w:rsidRPr="00F6420C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BD1319" w:rsidRPr="00F6420C">
        <w:rPr>
          <w:rFonts w:ascii="GHEA Grapalat" w:hAnsi="GHEA Grapalat"/>
          <w:sz w:val="24"/>
          <w:szCs w:val="24"/>
          <w:lang w:val="hy-AM"/>
        </w:rPr>
        <w:t xml:space="preserve">2021-2026 </w:t>
      </w:r>
      <w:r w:rsidR="0099657F" w:rsidRPr="00F6420C">
        <w:rPr>
          <w:rFonts w:ascii="GHEA Grapalat" w:hAnsi="GHEA Grapalat"/>
          <w:sz w:val="24"/>
          <w:szCs w:val="24"/>
          <w:lang w:val="hy-AM"/>
        </w:rPr>
        <w:t>թվականների</w:t>
      </w:r>
      <w:r w:rsidR="00BD1319" w:rsidRPr="00F6420C">
        <w:rPr>
          <w:rFonts w:ascii="GHEA Grapalat" w:hAnsi="GHEA Grapalat"/>
          <w:sz w:val="24"/>
          <w:szCs w:val="24"/>
          <w:lang w:val="hy-AM"/>
        </w:rPr>
        <w:t xml:space="preserve"> գործունեության միջոցառումների ծրագ</w:t>
      </w:r>
      <w:r w:rsidR="00574113" w:rsidRPr="00F6420C">
        <w:rPr>
          <w:rFonts w:ascii="GHEA Grapalat" w:hAnsi="GHEA Grapalat"/>
          <w:sz w:val="24"/>
          <w:szCs w:val="24"/>
          <w:lang w:val="hy-AM"/>
        </w:rPr>
        <w:t>իրը հաստատելու մասին թիվ 1902-Լ որոշման</w:t>
      </w:r>
      <w:r w:rsidR="00BD1319" w:rsidRPr="00F6420C">
        <w:rPr>
          <w:rFonts w:ascii="GHEA Grapalat" w:hAnsi="GHEA Grapalat"/>
          <w:sz w:val="24"/>
          <w:szCs w:val="24"/>
          <w:lang w:val="hy-AM"/>
        </w:rPr>
        <w:t xml:space="preserve"> 1-ին հավելվածի </w:t>
      </w:r>
      <w:r w:rsidR="00C71A90" w:rsidRPr="00F6420C">
        <w:rPr>
          <w:rFonts w:ascii="GHEA Grapalat" w:hAnsi="GHEA Grapalat"/>
          <w:sz w:val="24"/>
          <w:szCs w:val="24"/>
          <w:lang w:val="hy-AM"/>
        </w:rPr>
        <w:t>Առողջապահության նախարարություն բաժնի 1-ի կետի 1</w:t>
      </w:r>
      <w:r w:rsidR="00C71A90" w:rsidRPr="00F6420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71A90" w:rsidRPr="00F6420C">
        <w:rPr>
          <w:rFonts w:ascii="GHEA Grapalat" w:eastAsia="MS Mincho" w:hAnsi="GHEA Grapalat" w:cs="MS Mincho"/>
          <w:sz w:val="24"/>
          <w:szCs w:val="24"/>
          <w:lang w:val="hy-AM"/>
        </w:rPr>
        <w:t>3-րդ ենթակետով նախատեսված միջոցառման իրականացման հետ, որով սահմանված է առողջության համապարփակ ապահովագրության ներդրումն ապահովող ենթաօրենսդրական ակտերի ընդունումը։</w:t>
      </w:r>
    </w:p>
    <w:p w14:paraId="188E512F" w14:textId="102F9251" w:rsidR="004E3FC0" w:rsidRPr="00F6420C" w:rsidRDefault="00E71253" w:rsidP="00BB7BC5">
      <w:pPr>
        <w:spacing w:after="0" w:line="360" w:lineRule="auto"/>
        <w:ind w:firstLine="851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6420C">
        <w:rPr>
          <w:rFonts w:ascii="GHEA Grapalat" w:eastAsia="MS Mincho" w:hAnsi="GHEA Grapalat" w:cs="MS Mincho"/>
          <w:sz w:val="24"/>
          <w:szCs w:val="24"/>
          <w:lang w:val="hy-AM"/>
        </w:rPr>
        <w:t>Բացի այդ, նախագիծն անմիջականորեն կապված է</w:t>
      </w:r>
      <w:r w:rsidR="004E3FC0" w:rsidRPr="00F6420C">
        <w:rPr>
          <w:rFonts w:ascii="GHEA Grapalat" w:eastAsia="MS Mincho" w:hAnsi="GHEA Grapalat" w:cs="MS Mincho"/>
          <w:sz w:val="24"/>
          <w:szCs w:val="24"/>
          <w:lang w:val="hy-AM"/>
        </w:rPr>
        <w:t xml:space="preserve"> ՀՀ կառավարության 2023 թվականի փետրվարի 9-ի Հայաստանի Հանրապետության առողջապահության համակարգի 2023-2026 թվականների զարգացման ռազմավարությունը և դրանից բխող միջոցառումների ցանկը հաստատելու մասին </w:t>
      </w:r>
      <w:r w:rsidR="004E3FC0" w:rsidRPr="00F6420C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թիվ 174-Լ որոշման Հավելված 2-ի </w:t>
      </w:r>
      <w:r w:rsidR="00B316B2" w:rsidRPr="00F6420C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B316B2" w:rsidRPr="00F6420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316B2" w:rsidRPr="00F6420C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="004E3FC0" w:rsidRPr="00F6420C">
        <w:rPr>
          <w:rFonts w:ascii="GHEA Grapalat" w:eastAsia="MS Mincho" w:hAnsi="GHEA Grapalat" w:cs="MS Mincho"/>
          <w:sz w:val="24"/>
          <w:szCs w:val="24"/>
          <w:lang w:val="hy-AM"/>
        </w:rPr>
        <w:t>-րդ բաժնի 3-րդ կետի՝ Առողջության համապարփակ ապահովագրության հիմնադրամի և դրա կառավարման խորհրդի ստեղծում, վերջինիս գործունեությունը կարգավորող ենթաօրենսդրական նորմատիվ իրավական ակտերի փաթեթի մշակում, առողջության համապարփակ ապահովագրության ներդրումն ապահովող</w:t>
      </w:r>
      <w:r w:rsidR="00BB7BC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E3FC0" w:rsidRPr="00F6420C">
        <w:rPr>
          <w:rFonts w:ascii="GHEA Grapalat" w:eastAsia="MS Mincho" w:hAnsi="GHEA Grapalat" w:cs="MS Mincho"/>
          <w:sz w:val="24"/>
          <w:szCs w:val="24"/>
          <w:lang w:val="hy-AM"/>
        </w:rPr>
        <w:t>ենթաօրենսդրական ակտերի ընդունում</w:t>
      </w:r>
      <w:r w:rsidR="004E3FC0" w:rsidRPr="00F6420C">
        <w:rPr>
          <w:rFonts w:ascii="GHEA Grapalat" w:eastAsia="Times New Roman" w:hAnsi="GHEA Grapalat"/>
          <w:sz w:val="24"/>
          <w:szCs w:val="24"/>
          <w:lang w:val="hy-AM"/>
        </w:rPr>
        <w:t> միջոցառման իրականացման հետ։</w:t>
      </w:r>
    </w:p>
    <w:sectPr w:rsidR="004E3FC0" w:rsidRPr="00F6420C" w:rsidSect="00BB7BC5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1FBE"/>
    <w:multiLevelType w:val="hybridMultilevel"/>
    <w:tmpl w:val="CC9055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65394"/>
    <w:multiLevelType w:val="hybridMultilevel"/>
    <w:tmpl w:val="50288670"/>
    <w:lvl w:ilvl="0" w:tplc="042B0011">
      <w:start w:val="18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010" w:hanging="360"/>
      </w:pPr>
    </w:lvl>
    <w:lvl w:ilvl="2" w:tplc="042B001B" w:tentative="1">
      <w:start w:val="1"/>
      <w:numFmt w:val="lowerRoman"/>
      <w:lvlText w:val="%3."/>
      <w:lvlJc w:val="right"/>
      <w:pPr>
        <w:ind w:left="2730" w:hanging="180"/>
      </w:pPr>
    </w:lvl>
    <w:lvl w:ilvl="3" w:tplc="042B000F" w:tentative="1">
      <w:start w:val="1"/>
      <w:numFmt w:val="decimal"/>
      <w:lvlText w:val="%4."/>
      <w:lvlJc w:val="left"/>
      <w:pPr>
        <w:ind w:left="3450" w:hanging="360"/>
      </w:pPr>
    </w:lvl>
    <w:lvl w:ilvl="4" w:tplc="042B0019" w:tentative="1">
      <w:start w:val="1"/>
      <w:numFmt w:val="lowerLetter"/>
      <w:lvlText w:val="%5."/>
      <w:lvlJc w:val="left"/>
      <w:pPr>
        <w:ind w:left="4170" w:hanging="360"/>
      </w:pPr>
    </w:lvl>
    <w:lvl w:ilvl="5" w:tplc="042B001B" w:tentative="1">
      <w:start w:val="1"/>
      <w:numFmt w:val="lowerRoman"/>
      <w:lvlText w:val="%6."/>
      <w:lvlJc w:val="right"/>
      <w:pPr>
        <w:ind w:left="4890" w:hanging="180"/>
      </w:pPr>
    </w:lvl>
    <w:lvl w:ilvl="6" w:tplc="042B000F" w:tentative="1">
      <w:start w:val="1"/>
      <w:numFmt w:val="decimal"/>
      <w:lvlText w:val="%7."/>
      <w:lvlJc w:val="left"/>
      <w:pPr>
        <w:ind w:left="5610" w:hanging="360"/>
      </w:pPr>
    </w:lvl>
    <w:lvl w:ilvl="7" w:tplc="042B0019" w:tentative="1">
      <w:start w:val="1"/>
      <w:numFmt w:val="lowerLetter"/>
      <w:lvlText w:val="%8."/>
      <w:lvlJc w:val="left"/>
      <w:pPr>
        <w:ind w:left="6330" w:hanging="360"/>
      </w:pPr>
    </w:lvl>
    <w:lvl w:ilvl="8" w:tplc="042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4EDF0D86"/>
    <w:multiLevelType w:val="multilevel"/>
    <w:tmpl w:val="BF967508"/>
    <w:lvl w:ilvl="0">
      <w:start w:val="1"/>
      <w:numFmt w:val="decimal"/>
      <w:lvlText w:val="%1."/>
      <w:lvlJc w:val="left"/>
      <w:pPr>
        <w:ind w:left="845" w:hanging="360"/>
      </w:pPr>
      <w:rPr>
        <w:rFonts w:ascii="GHEA Grapalat" w:hAnsi="GHEA Grapalat" w:cs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1" w:hanging="2160"/>
      </w:pPr>
      <w:rPr>
        <w:rFonts w:hint="default"/>
      </w:rPr>
    </w:lvl>
  </w:abstractNum>
  <w:abstractNum w:abstractNumId="5" w15:restartNumberingAfterBreak="0">
    <w:nsid w:val="6E615184"/>
    <w:multiLevelType w:val="hybridMultilevel"/>
    <w:tmpl w:val="E4C871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50"/>
    <w:rsid w:val="00012458"/>
    <w:rsid w:val="00017D37"/>
    <w:rsid w:val="000558E2"/>
    <w:rsid w:val="00056B84"/>
    <w:rsid w:val="000602BC"/>
    <w:rsid w:val="00070D59"/>
    <w:rsid w:val="00071220"/>
    <w:rsid w:val="0008750C"/>
    <w:rsid w:val="00087D3E"/>
    <w:rsid w:val="000C6964"/>
    <w:rsid w:val="000D5904"/>
    <w:rsid w:val="0010421B"/>
    <w:rsid w:val="0011737F"/>
    <w:rsid w:val="00144D8C"/>
    <w:rsid w:val="001468F5"/>
    <w:rsid w:val="00161D60"/>
    <w:rsid w:val="00162D38"/>
    <w:rsid w:val="00167AFC"/>
    <w:rsid w:val="00176BF6"/>
    <w:rsid w:val="00182169"/>
    <w:rsid w:val="00182BAA"/>
    <w:rsid w:val="00194784"/>
    <w:rsid w:val="001F1FF0"/>
    <w:rsid w:val="00202346"/>
    <w:rsid w:val="00225D87"/>
    <w:rsid w:val="002273FE"/>
    <w:rsid w:val="00253CEE"/>
    <w:rsid w:val="00257A40"/>
    <w:rsid w:val="002D5E31"/>
    <w:rsid w:val="003009FC"/>
    <w:rsid w:val="00302EBB"/>
    <w:rsid w:val="003074E6"/>
    <w:rsid w:val="00316FAB"/>
    <w:rsid w:val="003533AD"/>
    <w:rsid w:val="003638C5"/>
    <w:rsid w:val="00370143"/>
    <w:rsid w:val="00382459"/>
    <w:rsid w:val="003A492F"/>
    <w:rsid w:val="003B7C4A"/>
    <w:rsid w:val="003E31B0"/>
    <w:rsid w:val="004068B0"/>
    <w:rsid w:val="00445696"/>
    <w:rsid w:val="00452480"/>
    <w:rsid w:val="00493265"/>
    <w:rsid w:val="004B4AB9"/>
    <w:rsid w:val="004E3FC0"/>
    <w:rsid w:val="0050121C"/>
    <w:rsid w:val="0051744F"/>
    <w:rsid w:val="00517F7F"/>
    <w:rsid w:val="00525A27"/>
    <w:rsid w:val="00546553"/>
    <w:rsid w:val="005707F6"/>
    <w:rsid w:val="0057217A"/>
    <w:rsid w:val="00574113"/>
    <w:rsid w:val="005A40C4"/>
    <w:rsid w:val="005C434D"/>
    <w:rsid w:val="005E0AB3"/>
    <w:rsid w:val="005E3B2D"/>
    <w:rsid w:val="005E79E5"/>
    <w:rsid w:val="00600C3A"/>
    <w:rsid w:val="00607A0E"/>
    <w:rsid w:val="006225B2"/>
    <w:rsid w:val="00623B8D"/>
    <w:rsid w:val="00623CDC"/>
    <w:rsid w:val="006308AB"/>
    <w:rsid w:val="00650763"/>
    <w:rsid w:val="00650B72"/>
    <w:rsid w:val="006800C3"/>
    <w:rsid w:val="00691753"/>
    <w:rsid w:val="006B70CD"/>
    <w:rsid w:val="006C0755"/>
    <w:rsid w:val="006C5402"/>
    <w:rsid w:val="006C5DFA"/>
    <w:rsid w:val="006E382B"/>
    <w:rsid w:val="006E6E42"/>
    <w:rsid w:val="006E7754"/>
    <w:rsid w:val="006E7FB6"/>
    <w:rsid w:val="006F108C"/>
    <w:rsid w:val="006F5072"/>
    <w:rsid w:val="00736B62"/>
    <w:rsid w:val="00755042"/>
    <w:rsid w:val="00767FC4"/>
    <w:rsid w:val="00792FCE"/>
    <w:rsid w:val="00796E15"/>
    <w:rsid w:val="007A167C"/>
    <w:rsid w:val="007D021F"/>
    <w:rsid w:val="007D60D7"/>
    <w:rsid w:val="007F2B73"/>
    <w:rsid w:val="00803CB7"/>
    <w:rsid w:val="00805F5C"/>
    <w:rsid w:val="00823CA0"/>
    <w:rsid w:val="00831743"/>
    <w:rsid w:val="00834243"/>
    <w:rsid w:val="008A040A"/>
    <w:rsid w:val="008A4167"/>
    <w:rsid w:val="008B57A4"/>
    <w:rsid w:val="008E035E"/>
    <w:rsid w:val="008E5B0B"/>
    <w:rsid w:val="00906D2A"/>
    <w:rsid w:val="00907B1B"/>
    <w:rsid w:val="0091404B"/>
    <w:rsid w:val="00923FC4"/>
    <w:rsid w:val="009246BD"/>
    <w:rsid w:val="00946EFB"/>
    <w:rsid w:val="0096046F"/>
    <w:rsid w:val="0099657F"/>
    <w:rsid w:val="009B1C92"/>
    <w:rsid w:val="009B3A8F"/>
    <w:rsid w:val="009B74EC"/>
    <w:rsid w:val="009D6AD1"/>
    <w:rsid w:val="00A4554C"/>
    <w:rsid w:val="00A4627A"/>
    <w:rsid w:val="00A569F8"/>
    <w:rsid w:val="00A6779C"/>
    <w:rsid w:val="00A80DDD"/>
    <w:rsid w:val="00AA78E6"/>
    <w:rsid w:val="00AA7BD6"/>
    <w:rsid w:val="00AC1F87"/>
    <w:rsid w:val="00AC6A9F"/>
    <w:rsid w:val="00AD473C"/>
    <w:rsid w:val="00AD7926"/>
    <w:rsid w:val="00AE75A6"/>
    <w:rsid w:val="00B15896"/>
    <w:rsid w:val="00B316B2"/>
    <w:rsid w:val="00B42DC7"/>
    <w:rsid w:val="00B55E5A"/>
    <w:rsid w:val="00B83483"/>
    <w:rsid w:val="00BA15E5"/>
    <w:rsid w:val="00BA71EA"/>
    <w:rsid w:val="00BB3E18"/>
    <w:rsid w:val="00BB7BC5"/>
    <w:rsid w:val="00BD1319"/>
    <w:rsid w:val="00BD3669"/>
    <w:rsid w:val="00BD4C32"/>
    <w:rsid w:val="00BE7791"/>
    <w:rsid w:val="00BF0641"/>
    <w:rsid w:val="00BF2DFF"/>
    <w:rsid w:val="00C10C52"/>
    <w:rsid w:val="00C25293"/>
    <w:rsid w:val="00C3426D"/>
    <w:rsid w:val="00C45A3E"/>
    <w:rsid w:val="00C66F7E"/>
    <w:rsid w:val="00C71A90"/>
    <w:rsid w:val="00C74E81"/>
    <w:rsid w:val="00C8517A"/>
    <w:rsid w:val="00C86F9F"/>
    <w:rsid w:val="00CC1135"/>
    <w:rsid w:val="00CF4F6D"/>
    <w:rsid w:val="00CF75FE"/>
    <w:rsid w:val="00D007BF"/>
    <w:rsid w:val="00D07AB5"/>
    <w:rsid w:val="00D250D9"/>
    <w:rsid w:val="00D508DC"/>
    <w:rsid w:val="00D5243E"/>
    <w:rsid w:val="00D54C17"/>
    <w:rsid w:val="00D66FB3"/>
    <w:rsid w:val="00D90A7B"/>
    <w:rsid w:val="00D93ECE"/>
    <w:rsid w:val="00DA5B4C"/>
    <w:rsid w:val="00DA79E3"/>
    <w:rsid w:val="00DC082C"/>
    <w:rsid w:val="00DD27E5"/>
    <w:rsid w:val="00DE790A"/>
    <w:rsid w:val="00DF174D"/>
    <w:rsid w:val="00E22817"/>
    <w:rsid w:val="00E22B52"/>
    <w:rsid w:val="00E24C4B"/>
    <w:rsid w:val="00E3180F"/>
    <w:rsid w:val="00E4012B"/>
    <w:rsid w:val="00E44786"/>
    <w:rsid w:val="00E613D3"/>
    <w:rsid w:val="00E71253"/>
    <w:rsid w:val="00EB2525"/>
    <w:rsid w:val="00EE618C"/>
    <w:rsid w:val="00EE697E"/>
    <w:rsid w:val="00F13BF6"/>
    <w:rsid w:val="00F2233D"/>
    <w:rsid w:val="00F24CF9"/>
    <w:rsid w:val="00F26E50"/>
    <w:rsid w:val="00F36608"/>
    <w:rsid w:val="00F37CE0"/>
    <w:rsid w:val="00F506A3"/>
    <w:rsid w:val="00F6037D"/>
    <w:rsid w:val="00F6420C"/>
    <w:rsid w:val="00F75CD4"/>
    <w:rsid w:val="00F81C1F"/>
    <w:rsid w:val="00F9439B"/>
    <w:rsid w:val="00FA58D6"/>
    <w:rsid w:val="00FA705A"/>
    <w:rsid w:val="00FA731C"/>
    <w:rsid w:val="00FB4198"/>
    <w:rsid w:val="00FC4C0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96FE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C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, webb Char"/>
    <w:link w:val="NormalWeb"/>
    <w:uiPriority w:val="99"/>
    <w:qFormat/>
    <w:locked/>
    <w:rsid w:val="007F2B7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6046F"/>
  </w:style>
  <w:style w:type="paragraph" w:styleId="Header">
    <w:name w:val="header"/>
    <w:basedOn w:val="Normal"/>
    <w:link w:val="HeaderChar"/>
    <w:rsid w:val="00DD27E5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DD2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https:/mul2-moh.gov.am/tasks/157962/oneclick/d49f67f680bf299834fe23d83856c3a10d2626c8ed143a02b978ef040ab0c00e.docx?token=f269f8d28c6c6ae394492fc7f5668656</cp:keywords>
  <dc:description/>
  <cp:lastModifiedBy>Araqsya Hambardzumyan</cp:lastModifiedBy>
  <cp:revision>4</cp:revision>
  <dcterms:created xsi:type="dcterms:W3CDTF">2025-12-18T15:18:00Z</dcterms:created>
  <dcterms:modified xsi:type="dcterms:W3CDTF">2025-12-21T10:45:00Z</dcterms:modified>
</cp:coreProperties>
</file>