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63" w:tblpY="-848"/>
        <w:tblW w:w="15588" w:type="dxa"/>
        <w:tblLook w:val="04A0" w:firstRow="1" w:lastRow="0" w:firstColumn="1" w:lastColumn="0" w:noHBand="0" w:noVBand="1"/>
      </w:tblPr>
      <w:tblGrid>
        <w:gridCol w:w="3964"/>
        <w:gridCol w:w="11624"/>
      </w:tblGrid>
      <w:tr w:rsidR="009C1F4D" w:rsidRPr="00046A8B" w14:paraId="7A945ADC" w14:textId="77777777" w:rsidTr="009C1F4D">
        <w:trPr>
          <w:trHeight w:val="405"/>
        </w:trPr>
        <w:tc>
          <w:tcPr>
            <w:tcW w:w="15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E469" w14:textId="77777777" w:rsidR="009C1F4D" w:rsidRDefault="009C1F4D" w:rsidP="009C1F4D">
            <w:pPr>
              <w:ind w:firstLine="0"/>
              <w:jc w:val="righ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0B71E49" w14:textId="2AD0FC99" w:rsidR="00570743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Հավելված N </w:t>
            </w:r>
            <w:r w:rsidR="00046A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  <w:p w14:paraId="6C11C5A3" w14:textId="77777777" w:rsidR="00570743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ՀՀ կառավարության</w:t>
            </w:r>
          </w:p>
          <w:p w14:paraId="00D7E65F" w14:textId="77777777" w:rsidR="00570743" w:rsidRDefault="00570743" w:rsidP="00570743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2025թ. N -Ն որոշման</w:t>
            </w:r>
          </w:p>
          <w:p w14:paraId="3A41CB33" w14:textId="77777777" w:rsidR="009C1F4D" w:rsidRPr="00411498" w:rsidRDefault="009C1F4D" w:rsidP="009C1F4D">
            <w:pPr>
              <w:spacing w:line="36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ՑԱՆԿ</w:t>
            </w:r>
          </w:p>
          <w:p w14:paraId="091D26D1" w14:textId="77777777" w:rsidR="009C1F4D" w:rsidRDefault="009C1F4D" w:rsidP="009C1F4D">
            <w:pPr>
              <w:tabs>
                <w:tab w:val="left" w:pos="6120"/>
              </w:tabs>
              <w:spacing w:line="360" w:lineRule="auto"/>
              <w:ind w:firstLine="0"/>
              <w:jc w:val="center"/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</w:pPr>
            <w:r w:rsidRPr="009D499E"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 xml:space="preserve">ԱՐՏԱՀԻՎԱՆԴԱՆՈՑԱՅԻՆ ՊԱՅՄԱՆՆԵՐՈՒՄ ԲՈՒԺՄԱՆ ԵՆԹԱԿԱ ԱԽՏՈՐՈՇՈՒՄՆԵՐԻ </w:t>
            </w:r>
            <w:r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>ԵՎ</w:t>
            </w:r>
            <w:r w:rsidRPr="009D499E"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 xml:space="preserve"> ԱԽՏԱԲԱՆԱԿԱՆ ՎԻՃԱԿՆԵՐԻ </w:t>
            </w:r>
            <w:r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>ՀԻՎԱՆԴԱՆՈՑԱՅԻՆ ԲՈՒԺՄԱՆ ՈՒՂԵԳՐՄԱՆ</w:t>
            </w:r>
            <w:r w:rsidRPr="009C1F4D"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Times Armenian"/>
                <w:iCs/>
                <w:sz w:val="24"/>
                <w:szCs w:val="24"/>
                <w:lang w:val="hy-AM" w:eastAsia="en-US"/>
              </w:rPr>
              <w:t>ՑՈՒՑՈՒՄՆԵՐԻ</w:t>
            </w:r>
          </w:p>
          <w:p w14:paraId="6AC3F4D4" w14:textId="77777777" w:rsidR="009C1F4D" w:rsidRPr="00F15962" w:rsidRDefault="009C1F4D" w:rsidP="009C1F4D">
            <w:pPr>
              <w:ind w:firstLine="0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</w:p>
        </w:tc>
      </w:tr>
      <w:tr w:rsidR="00706A71" w:rsidRPr="00F15962" w14:paraId="4D63E0E1" w14:textId="77777777" w:rsidTr="009C1F4D">
        <w:trPr>
          <w:trHeight w:val="405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2122" w14:textId="677258D4" w:rsidR="00706A71" w:rsidRPr="00F15962" w:rsidRDefault="00706A71" w:rsidP="009C1F4D">
            <w:pPr>
              <w:ind w:firstLine="0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t>Սրտանոթային</w:t>
            </w:r>
          </w:p>
        </w:tc>
      </w:tr>
      <w:tr w:rsidR="00F15962" w:rsidRPr="00046A8B" w14:paraId="74B46434" w14:textId="77777777" w:rsidTr="00E54011">
        <w:trPr>
          <w:trHeight w:val="17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018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Սրտի իշեմիկ հիվանդություն (I 25, I 25.0, I25.1, I25.2, 20, I25.9)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09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 Անկայուն կրծքահեղձուկ (ստենոկարդիա),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Առանց ST-բարձրացման սրտամկանի ինֆարկտ (ոչ-STԲՍԻ),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 .ST-բարձրացումով սրտամկանի ինֆարկտ (STԲՍԻ),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 Սուր սրտային անբավարարություն,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ե. Կյանքին վտանգ սպառնացող առիթմիաներ</w:t>
            </w:r>
          </w:p>
        </w:tc>
      </w:tr>
      <w:tr w:rsidR="00F15962" w:rsidRPr="00046A8B" w14:paraId="786AA449" w14:textId="77777777" w:rsidTr="00E54011">
        <w:trPr>
          <w:trHeight w:val="24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11AE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Սրտային անբավարարություն (I 50, I 50.0, I 50.1 և I 50.9)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48A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ա.Սրտային անբավարարության ախտանիշների հարաճուն կամ կտրուկ վատացում, առաջին անգամ սրտային անբավարարության ախտանիշների կամ նշանների առաջացում,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Քրոնիկ սրտային անբավարարության IV ՖԴ (NYHA),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գ. Քրոնիկ սրտային անբավարարության I-IV ՖԴ (NYHA)՝ դեկոմպենսացիայի շրջան,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 Սուր սրտային անբավարարության ցանկացած կլինիկական դրսևորման դեպքում (սուր դեկոմպենսացված սրտային անբավարարություն, թոքի սուր այուց, մեկուսացված աջ փորոքային անբավարարություն, կարդիոգեն շոկ)</w:t>
            </w:r>
          </w:p>
        </w:tc>
      </w:tr>
      <w:tr w:rsidR="00F15962" w:rsidRPr="00046A8B" w14:paraId="7EFE499E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2E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Ուշագնացություն և կոլապս (R 55)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20F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ա.Կարդիոգեն սինկոպեի դեպքում՝ կյանքի համար վտանգավոր առիթմիաների ժամանակ,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Այլ սինկոպեների դեպքում՝ տարբերակիչ ախտորոշում իրականացնելու համար</w:t>
            </w:r>
          </w:p>
        </w:tc>
      </w:tr>
      <w:tr w:rsidR="00F15962" w:rsidRPr="00046A8B" w14:paraId="76C321D5" w14:textId="77777777" w:rsidTr="00E54011">
        <w:trPr>
          <w:trHeight w:val="44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403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lastRenderedPageBreak/>
              <w:t>Զարկերակային գերճնշում (I 10, I 15)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3827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Ծանր (3 աստիճան) գերճնշում՝ զուգակցված սուր սիմպտոմատիկ ԹՕԱ-ի հետ։ Պահանջում է անհապաղ միջամտություն ԶՃ իջեցնելու համար, սովորաբար ներերակային թերապիայի միջոցով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ա. Սուր ինսուլտ (հեմոռագիկ կամ իշեմիկ/թրոմբոլիտիկ) աորտայի անևրիզմա կամ շերտազատում,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Սուր սրտային անբավարարություն,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 Սուր կորոնար համախտանիշ,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 սուր երիկամային անբավարարություն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ե. Ֆեոխրոմոցիտոմայի կամ էկզոգեն սիմպատոմիմետիկ նյութերի հետևանքով առաջացած գերճնշում, օրինակ՝ մետամֆետամին կամ կոկային թմրամիջոցների չարաշահումից կարող են առաջացնել զարկերակային ճնշման սուր և ծանր բարձրացում, որը կարող է հանգեցնել սուր ԹՕԱ-ի ախտանիշների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զ. Հղիների գերծնշման ծանր ձևեր, այդ թվում՝ պրեէկլամպսիա/էկլամպսիա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է. Չարորակ գերծնշում թրոմբոտիկ մկիրոանգիոպաթիայով կամ առանց դրա, երիկամների սուր անբավարարություն, որը բնութագրվում է երիկամների, ցանցաթաղանթի և ուղեղի փոքր զարկերակների ֆիբրինոիդ նեկրոզով։ Հիպերտոնիկ էնցեֆալոպաթիայով պացիենտների մոտ քնկոտության, անտարբերութփյան, տոնիկ-կլոնիկ ցնցումների և կեղևային կուրության առկայությունը կարող են նախորդել գտակցության կորստին։ </w:t>
            </w:r>
          </w:p>
        </w:tc>
      </w:tr>
      <w:tr w:rsidR="00F15962" w:rsidRPr="00F15962" w14:paraId="10506BAE" w14:textId="77777777" w:rsidTr="00706A71">
        <w:trPr>
          <w:trHeight w:val="405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D746" w14:textId="77777777" w:rsidR="00F15962" w:rsidRPr="00F15962" w:rsidRDefault="00F15962" w:rsidP="00706A7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t>Գաստրոէնտերոլոգիա</w:t>
            </w:r>
          </w:p>
        </w:tc>
      </w:tr>
      <w:tr w:rsidR="00F15962" w:rsidRPr="00046A8B" w14:paraId="49A8CD2E" w14:textId="77777777" w:rsidTr="00E54011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E1E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Աուտոիմուն հեպատիտ (K75.4)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FA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հեպատիտի արտահայտված կլինիկական դրսևորումների, լյարդային ֆերմենտների խիստ բարձր մակարդակի, բարդությունների դեպքում </w:t>
            </w:r>
          </w:p>
        </w:tc>
      </w:tr>
      <w:tr w:rsidR="00F15962" w:rsidRPr="00046A8B" w14:paraId="2E8983AC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336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Լյարդի ալկոհոլային ցիռոզ, լյարդի այլ կամ չճշտված ցիռոզ (K70.3, K74.6)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502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բարդությունների դեպքում (արյունահոսություն, կոմայով կամ պրեկոմայով էնցեֆալոպաթիա, հետապոռենալ համախտանիշ, սպոնտան բակտերիալ պերիտոնիտ) ցուցված է շտապ հոսպիտալացում </w:t>
            </w:r>
          </w:p>
        </w:tc>
      </w:tr>
      <w:tr w:rsidR="00F15962" w:rsidRPr="00046A8B" w14:paraId="0DC8DEF7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1E12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Լյարդի ֆիբրոզ կամ սկլերոզ (K74.0, K74.1, K74.2)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867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Երբ կլինիկական պատկերը հնարավոր չէ տարբերակել լյարդի ցիրոզից և նախնական ախտորոշվում է լյարդի ցիրոզ, որը կարող է հիվանդանոցային պայմաններում հետազոտման ընթացքում վերանայվել </w:t>
            </w:r>
          </w:p>
        </w:tc>
      </w:tr>
      <w:tr w:rsidR="00F15962" w:rsidRPr="00046A8B" w14:paraId="6117C777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3D5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Ստամոքսակերակրափողային ռեֆլուքս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(K21, K21.0, K21.9, K22.1, K22.8, K22.9)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A4DF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Արյունահոսություն, դիսֆագիայի հետևանքով առաջացած թերսնուցում </w:t>
            </w:r>
          </w:p>
        </w:tc>
      </w:tr>
      <w:tr w:rsidR="00F15962" w:rsidRPr="00046A8B" w14:paraId="539418D1" w14:textId="77777777" w:rsidTr="00E54011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2DE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lastRenderedPageBreak/>
              <w:t>Խոցային պրոկտիտ, խոցային ռեկտոսիգմոիդիտ և ձախակողմյան կոլիտ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(K51.2, K51.3, K51.5)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CB67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Ծանր հիվանդության ակտիվության և բարդությունների դեպքում</w:t>
            </w:r>
          </w:p>
        </w:tc>
      </w:tr>
      <w:tr w:rsidR="00F15962" w:rsidRPr="00046A8B" w14:paraId="5DCC31D9" w14:textId="77777777" w:rsidTr="00E5401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111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Բարակ աղու չճշտված և այլ Կրոնի հիվանդություն (K50, K50.0, K50.8, K50.9)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C87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միջին-ծանր հիվանդության ակտիվության և բարդությունների դեպքում (աղիքային անանցանելիություն, արյունահոսություն, թափածակման, թարախակույտի ձևավորման դեպքում կարող է լինել շտապ հոսպիտալացման ցուցում)</w:t>
            </w:r>
          </w:p>
        </w:tc>
      </w:tr>
      <w:tr w:rsidR="00F15962" w:rsidRPr="00046A8B" w14:paraId="45C9F94E" w14:textId="77777777" w:rsidTr="00E54011">
        <w:trPr>
          <w:trHeight w:val="17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46DE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Սուր վարակային դիարեա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(A02, A03, A04, A08)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A836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 Կլինիկական ցուցումներ՝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հիվանդության բոլոր ծանր և բարդացած ձևերը անկախ տարիքից, սուր աղիքային վարակիչ հիվանդությունների միջին ծանրության դեպքերը ծանր կամ քրոնիկ ուղեկցող հիվանդություններով անձանց մոտ, հիվանդության ձգձգվող, քրոնիկ ձևերը սրացման դեպքում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 համաճարակաբանական ցուցումներ՝ հակահամաճարակաբանական ցուցումներ՝ հակահամաճարակաբանական ռեժիմի պահպանման անհնարինությանը պացիենտի բնակության վայրում, ՀՀ կառավարության 2003 թվականի մարտի 23-ի թիվ 347-Ն որոշման 2-րդ հավելվածով հաստատված ցանկում ներառված </w:t>
            </w:r>
          </w:p>
        </w:tc>
      </w:tr>
      <w:tr w:rsidR="00F15962" w:rsidRPr="00F15962" w14:paraId="0ED8E28F" w14:textId="77777777" w:rsidTr="00E54011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F6F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Ստամոքսի մակերեսային գաստրիտ, քրոնիկ ատրոֆիկ , չճշտված գաստրիտներ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(K29, K29.3, K30)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6F5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կիրառելի չէ</w:t>
            </w:r>
          </w:p>
        </w:tc>
      </w:tr>
      <w:tr w:rsidR="00F15962" w:rsidRPr="00046A8B" w14:paraId="7A274490" w14:textId="77777777" w:rsidTr="00E5401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B5A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Ստամոքսի խոց, 12 մատնյա աղու խոց, դուոդենիտ (K25, K25.3, K25.7, K25.9, K26, K26.3, K26.9, K29.8)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665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Բարդությունների դեպքում (անզուսպ փսխումների հետևանքով ջրազրկում, թերսնուցման նշաններ)</w:t>
            </w:r>
          </w:p>
        </w:tc>
      </w:tr>
    </w:tbl>
    <w:p w14:paraId="421292C9" w14:textId="77777777" w:rsidR="00E54011" w:rsidRPr="009C1F4D" w:rsidRDefault="00E54011">
      <w:pPr>
        <w:rPr>
          <w:lang w:val="hy-AM"/>
        </w:rPr>
      </w:pPr>
      <w:r w:rsidRPr="009C1F4D">
        <w:rPr>
          <w:lang w:val="hy-AM"/>
        </w:rPr>
        <w:br w:type="page"/>
      </w:r>
    </w:p>
    <w:tbl>
      <w:tblPr>
        <w:tblpPr w:leftFromText="180" w:rightFromText="180" w:vertAnchor="text" w:horzAnchor="page" w:tblpX="563" w:tblpY="-848"/>
        <w:tblW w:w="15588" w:type="dxa"/>
        <w:tblLook w:val="04A0" w:firstRow="1" w:lastRow="0" w:firstColumn="1" w:lastColumn="0" w:noHBand="0" w:noVBand="1"/>
      </w:tblPr>
      <w:tblGrid>
        <w:gridCol w:w="3964"/>
        <w:gridCol w:w="11624"/>
      </w:tblGrid>
      <w:tr w:rsidR="00F15962" w:rsidRPr="00F15962" w14:paraId="38E4D665" w14:textId="77777777" w:rsidTr="00706A71">
        <w:trPr>
          <w:trHeight w:val="540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3C87" w14:textId="5D95FD03" w:rsidR="00F15962" w:rsidRPr="00F15962" w:rsidRDefault="00F15962" w:rsidP="00E5401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lastRenderedPageBreak/>
              <w:t>Էնդոկրինոլոգիական</w:t>
            </w:r>
          </w:p>
        </w:tc>
      </w:tr>
      <w:tr w:rsidR="00F15962" w:rsidRPr="00046A8B" w14:paraId="66E053A0" w14:textId="77777777" w:rsidTr="00E54011">
        <w:trPr>
          <w:trHeight w:val="27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1E1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Ինսուլինակախյալ շաքարային դիաբետ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(E11, E11.2-E11.9)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FA0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Պլանային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-հիվանդության դեկոմպենսացիայի ժամանակ ինսուլինոթերապիայի դոզաների տրտրացիա, պոմպային ինսուլինոթերապիայի մեկնարկ/սկիղբ, դիաբետիկ նեյրոպաթիայի ցավոտ ձևի դեպքում հակաջղաձգային միջոցներով թերապիայի մեկնարկ, ցանկացած էթիոլոգիայի վերքի առկայություն, վերջույթի կրիտիկական իշեմիա ստորին վերջույթների զարկերակների հիվանդությամբ պացիենտների մոտ, նեֆրոտիկ համախտանիշի զարգացում և երիկամների ֆիլտրացիոն ֆունկցիայի զգալի նվազում, հիմնական հիվանդության, դրա բարդությունների և ուղեկցող հիվանդությունների կլինիկական նշանակալի վատթարացում, բարդությունների և համակցված վիճակների համապարփակ սկրինինգ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Շտապ անհետաձգելի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-Դիաբետիկ կետոացիդոզ, պրեկոմատոզ վիճակ, դիաբետիկ կետոացիտոտիկ կոմա, հիպոգլիկէմիկ կոմա, լակտատ ացիդոզ, հիպերօսմոլյար հիպերգլիկեմիկ կոմա, հիպոգլիկեմիկ կոմա, որն ուղեկցվում է ապակողմնորոշմամբ, շարժումների, խոսքի խանգարումով, ցնցումներով, գիտակցության խանգարումով, ՇԴ-ով պացիենտների կյանքին սպառնացող ցանկացած վիճակ։</w:t>
            </w:r>
          </w:p>
        </w:tc>
      </w:tr>
      <w:tr w:rsidR="00F15962" w:rsidRPr="00046A8B" w14:paraId="4EF588B1" w14:textId="77777777" w:rsidTr="00E54011">
        <w:trPr>
          <w:trHeight w:val="17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D8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Դիաբետիկ ռետինոպաթիա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(E10.3, E11.3, E13.3, H36.0)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754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Pr="00F1596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hy-AM" w:eastAsia="hy-AM"/>
              </w:rPr>
              <w:t>Պլանային հոսպիտալիզացիայի ցուցումներ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- Դեղերի ինտրավիտրեալ ներարկումներիկ կամ վիտրեոռետինալ վիրաբուժական միջամտությունների կատարման անհրաժեշտության դեպքում, պրոլիֆերատիվ դիաբետիկ ռետինոպաթիա՝ մակուլայի շրջանում ինտենսիվ ենթահիալոիդ արյունահոսության առկայությամբ, տրակցիոն գործոնի առկայությամբ, պրոլիֆերատիվ դիաբետիկ ռետինոպաթիա, որը բարդանում է մասնակի հեմոֆթալմով, զուգակցված առաջնային հատվածի պրոգրեսիվող նեովասկուլյարիզացիայի հետ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 Անհետաձգելի հոսպիտալիզացիայի ցուցումներ-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էնդոֆթալմիտը որպես դեղորայքի ինտրավիտրեալ ներարկումների բարդություն</w:t>
            </w:r>
          </w:p>
        </w:tc>
      </w:tr>
      <w:tr w:rsidR="00F15962" w:rsidRPr="00046A8B" w14:paraId="64688078" w14:textId="77777777" w:rsidTr="00E5401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CCB6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Ինսուլինակախյալ շաքարային դիաբետ՝ երիկամների ախտահարմամբ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(E11.2, E14.2, E13.2, N18, N19)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6D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Պլանային հոսպիտալիզացիայի ցուցումներ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- բեֆևոտիկ համախտանիշի առկայություն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Շտապ անհետաձգելի -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անասարկա և (կամ) անուրիա</w:t>
            </w:r>
          </w:p>
        </w:tc>
      </w:tr>
      <w:tr w:rsidR="00F15962" w:rsidRPr="00046A8B" w14:paraId="04BA9FA1" w14:textId="77777777" w:rsidTr="00E54011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0A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Դիաբետիկ նեյրոոպաթիայով և ծայրամասային անոթների չճշտված հիվանդությունների վարում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(E10.4, E11.4, I73.9, E13.4, G63.2)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819A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 Ընդմիջվող կաղություն՝ ֆունկցիոնալության խանգարումով, իշեմիկ ցավեր հանգիստ վիճակում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Ստորի վերջույթների խոցոտում կամ փթախտ</w:t>
            </w:r>
          </w:p>
        </w:tc>
      </w:tr>
      <w:tr w:rsidR="00F15962" w:rsidRPr="00046A8B" w14:paraId="0036C4BD" w14:textId="77777777" w:rsidTr="00E54011">
        <w:trPr>
          <w:trHeight w:val="27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D30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lastRenderedPageBreak/>
              <w:t>Ոչ շաքարային դիաբետ (E22, E23.2, R63.1, N25.1)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E8A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Պլանային հոսպիտալիզացիայի ցուցումներ -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  <w:t xml:space="preserve">ա.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նեֆրոգեն ոչ շաքարային դիաբետի ախտորոշումը հաստատելու և բուժման մարտավարությունը որոշելու անհրաժեշտություն, կամ հետազոտություն՝ ցերեկային ստացիոնարի պայմաններում,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Վիրաբուժական բուժման անհրաժեշտություն՝ հոսպիտալացում նյարդավիրաբուժական բաժանմունք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Շտապ անհետաձգելի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 տեսողության կտրուկ ծավալվող վատթարացում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արտահայտված ջրազրկում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 գլխուղեղի այտուցի նշաններ</w:t>
            </w:r>
          </w:p>
        </w:tc>
      </w:tr>
      <w:tr w:rsidR="00F15962" w:rsidRPr="00046A8B" w14:paraId="7E90DB4A" w14:textId="77777777" w:rsidTr="00E54011">
        <w:trPr>
          <w:trHeight w:val="20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741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Հիպոֆիզի գերֆունկցիա(E22, E22.1)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2FA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Շտապ հոսպիտալացման ցուցումներ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ա. Տեսողության սուր կորուստբ.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 Հիպոֆիզի ապոպլեքսիա՝ տեսողության խանգարումներով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 Ողնուղեղային հեղուկւ արտահոսքի խանգարում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 Հիդրոցեֆալիա և ներգանգային գերճնշում, լիկվորեա</w:t>
            </w:r>
          </w:p>
        </w:tc>
      </w:tr>
      <w:tr w:rsidR="00F15962" w:rsidRPr="00046A8B" w14:paraId="3ECDC5EA" w14:textId="77777777" w:rsidTr="00E54011">
        <w:trPr>
          <w:trHeight w:val="24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A5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Թիրեոտոքսիկոզ (E05, E05.0, E05.1, E05.2, E05.3, E05.5, E05.8, E05.9)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444B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>Պլանային հոսպիտալիզացիայի ցուցումներ՝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 Թիրեոտոքսիկոզի դեկոմպենսաացիա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Էնդոկրին օֆթալմոպաթիյով բարդացած թիրեոտոքսիկոզի դեկոմպենսացիա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t xml:space="preserve">Շտապ և անհետաձգելի </w:t>
            </w:r>
            <w:r w:rsidRPr="00F15962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u w:val="single"/>
                <w:lang w:val="hy-AM" w:eastAsia="hy-AM"/>
              </w:rPr>
              <w:br/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 Թիրեոտոքսիկոզի բարդացած ձևեր՝ նախասրտերի ֆիբրիլացիա, սրտային անբավարարություն, թրոմբոէմբոլիկ բարդություններ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բ. մակերիկամի անբավարարություն, թունավոր հեպատիտ, պարենխօմային օրգանների դեգեներատիվ փոփոխություններ, փսիպոզ, կախեքսիա և այլն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 թիրեոտոքսիկ կրիզ  (շտապ հոսպիտացալում)</w:t>
            </w:r>
          </w:p>
        </w:tc>
      </w:tr>
      <w:tr w:rsidR="00F15962" w:rsidRPr="00046A8B" w14:paraId="5E6BC50A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596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Հիպոթիրեոզ (E03, E03.3, E03.2, E03.8, E03.9, E89.0)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B4B1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Վահանաձև գեղձի դիսֆունկցիա, երբ հնարավոր չէ բուժում իրականացնել  արտահիվանդանոցային պայմաններում: </w:t>
            </w:r>
          </w:p>
        </w:tc>
      </w:tr>
      <w:tr w:rsidR="00F15962" w:rsidRPr="00F15962" w14:paraId="60C3F2BC" w14:textId="77777777" w:rsidTr="00E54011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E932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Թիրեոիդիտ (E06, E06.1-06.3, E06.9)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7D4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Արտահայտված ցավային համախտանիշ</w:t>
            </w:r>
          </w:p>
        </w:tc>
      </w:tr>
      <w:tr w:rsidR="00F15962" w:rsidRPr="00F15962" w14:paraId="446E1D36" w14:textId="77777777" w:rsidTr="00706A71">
        <w:trPr>
          <w:trHeight w:val="405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92BD" w14:textId="77777777" w:rsidR="00E54011" w:rsidRDefault="00E54011" w:rsidP="00E5401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</w:p>
          <w:p w14:paraId="58440484" w14:textId="6BC03790" w:rsidR="00F15962" w:rsidRPr="00F15962" w:rsidRDefault="00F15962" w:rsidP="00E5401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t>Ալերգոլոգիա</w:t>
            </w:r>
          </w:p>
        </w:tc>
      </w:tr>
      <w:tr w:rsidR="00F15962" w:rsidRPr="00046A8B" w14:paraId="6E2E44A3" w14:textId="77777777" w:rsidTr="00E54011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19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lastRenderedPageBreak/>
              <w:t xml:space="preserve">Էրիթեմա, ալերգիկ հպումային մաշկաբորբ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(L51, L51.1, L51.8, L51.9, L23, L23.0, L23.6, L23.9)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B70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ա.տարածուն ախտահարում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 տեղային բուժման նկատմամբ կայունություն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գ. Տարածուն վարակային բարդությունների զարգացում </w:t>
            </w:r>
          </w:p>
        </w:tc>
      </w:tr>
      <w:tr w:rsidR="00F15962" w:rsidRPr="00F15962" w14:paraId="7BCB281A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FF7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Վազոմոտոր և ալերգիկ ռինիտ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(J30, J30.0, J30.1- J30.4)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5D3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կիրառելի չէ</w:t>
            </w:r>
          </w:p>
        </w:tc>
      </w:tr>
      <w:tr w:rsidR="00F15962" w:rsidRPr="00046A8B" w14:paraId="411C6A92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CD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Սուր և խրոնիկ եղնջայտուց (L50.0, L50.3, L50.5, L50.6, L50.8, L50.9)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804" w14:textId="04B70008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ա.</w:t>
            </w:r>
            <w:r w:rsidR="00E540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Անաֆիլաքսիայի կասկածով տարածուն եղնջացան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բ</w:t>
            </w:r>
            <w:r w:rsidR="00E54011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.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Անոթային այտուցներ</w:t>
            </w:r>
          </w:p>
        </w:tc>
      </w:tr>
      <w:tr w:rsidR="00F15962" w:rsidRPr="00F15962" w14:paraId="504F3A82" w14:textId="77777777" w:rsidTr="00706A71">
        <w:trPr>
          <w:trHeight w:val="300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14C76" w14:textId="77777777" w:rsidR="00F15962" w:rsidRPr="00F15962" w:rsidRDefault="00F15962" w:rsidP="00706A7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t>Թոքաբանություն</w:t>
            </w:r>
          </w:p>
        </w:tc>
      </w:tr>
      <w:tr w:rsidR="00F15962" w:rsidRPr="00046A8B" w14:paraId="15E159ED" w14:textId="77777777" w:rsidTr="00E54011">
        <w:trPr>
          <w:trHeight w:val="3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FF2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Բրոնխոէկտատիկ հիվանդություն (J47.9, J47.1, J47.0)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DEA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Բացարձակ ցուցումներ`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ա. ցիանոտիկ և գիտակցության խանգարումներով պացիենտներ,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 շնչառության հաճախությունը 25/8-ից ավել,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 սիրտ-թոքային անբավարարության նշաններ՝ արտահայտված հևոց, դժվարաշնչություն, հարաճուն ծայրամասային այտուց, SpO2&lt;93% առանց թթվածնի,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դ. կայուն տենդ՝ &gt;38C,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ե. բերանացի ներմուծվող դեղի անարդյունավետություն,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զ. ուժեղ պլևրալ ցավ, որն ընկճում է հազն ու խորխի դուրս բերումը,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է. վիրահատական բուժում պահանջող դեպքեր՝ օջախային բրոնխոէկտազ, ախտանշանային բրոնխոէկտազ՝ չնայած դեղերով բուժմանը,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թ. պրոֆուզ արյունահոսություն, կարող է կիրառվել նաև բրոնխային զարկերակի էմբոլիզացիա,   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 Հարաբերական ցուցումներ՝  երկարատև ներերակային և ինհալյացիոն բուժում պահանջող դեպքեր:  </w:t>
            </w:r>
          </w:p>
        </w:tc>
      </w:tr>
      <w:tr w:rsidR="00F15962" w:rsidRPr="00046A8B" w14:paraId="18CCA0AF" w14:textId="77777777" w:rsidTr="00E54011">
        <w:trPr>
          <w:trHeight w:val="8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A41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Բրոնխիալ ասթմա J45.0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916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ա.տախիպնոե 30 և ավել ակտ/րոպե,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բ.տախիկարդիա 120 զարկ/րոպե,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գ.հավելյալ շնչառական մկանների ներգրավումով շնչառություն,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դ.ոչ լիարժեք նախադասությունների արտաբերում,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 ե.հորիզոնական դիրքի անհնարինություն` դժվարաշնչության պատճառով,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զ.սիստոլիկ զարկերակային ճնշման իջեցում 12մմ/սս ներշնչման ժամանակ,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 է. PEF ` արտաշնչման առավելագույն արագություն (ԱԱԱ) &lt;50% արդյունքի դեպքում՝ եթե պացիենտն ի վիճակի է իրականացնել</w:t>
            </w:r>
          </w:p>
        </w:tc>
      </w:tr>
      <w:tr w:rsidR="00F15962" w:rsidRPr="00046A8B" w14:paraId="5DE1713F" w14:textId="77777777" w:rsidTr="00E54011">
        <w:trPr>
          <w:trHeight w:val="31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7AF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lastRenderedPageBreak/>
              <w:t>Թոքերի խրոնիկ խցանող հիվանդություն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(J40, J41-44, J68.4, T 65.2)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F6C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ա.ընդհանուր վիճակ. հեմոդինամիկ անկայուն վիճակ,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 xml:space="preserve">բ. շնչական խանգարումներ. ծանր աստիճանի սրացում (հանկարծակի առաջացած հևոց, շնչառական անբավարարություն կամ ցիանոզի արտահայտվածություն, գիտակցության մթագնում, ծայրամասային այտուց, կենտրոնական ցիանոզ, կրծքավանդակի ստորին հատվածի ներքաշումներ, պուլսօքսիմետրիան 90% և ցածր, բարձր տախիպնոէ՝ 70 և ավել կամ բրադիպնոէ, պարբերական շնչառություն, 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գ.սիրտանոթային (հեմոդինամիկ) խանգարումներ. լուրջ բարդությունների առկայություն, ինչպես օրինակ՝ սրտային անբավարարություն կամ սրտի ռիթմի խանգարում,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br/>
              <w:t>դ.ուղեկցվող հիվանդություններ. ծանր թերսնուցում՝ մարմնի զանգվածը ըստ հասակի ցածր է ավելի քան 3 ստանդարտ շեղում, միջին և ծանր անեմիա՝ հեմոգլոբինը ցածր  90 գ/ լ-ից, այլ ծանր կամ սրացման փուլում քրոնիկ հիվանդություն (շաքարային դիաբետ, սրտային անբավարարություն, զարկերակային հիպերտենզիա  և այլն):</w:t>
            </w:r>
          </w:p>
        </w:tc>
      </w:tr>
      <w:tr w:rsidR="00F15962" w:rsidRPr="00F15962" w14:paraId="3B0A79EF" w14:textId="77777777" w:rsidTr="00706A71">
        <w:trPr>
          <w:trHeight w:val="405"/>
        </w:trPr>
        <w:tc>
          <w:tcPr>
            <w:tcW w:w="15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274E0" w14:textId="77777777" w:rsidR="00F15962" w:rsidRPr="00F15962" w:rsidRDefault="00F15962" w:rsidP="00706A71">
            <w:pPr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</w:pPr>
            <w:r w:rsidRPr="00F15962">
              <w:rPr>
                <w:rFonts w:ascii="GHEA Grapalat" w:hAnsi="GHEA Grapalat" w:cs="Calibri"/>
                <w:b/>
                <w:bCs/>
                <w:color w:val="000000"/>
                <w:lang w:val="hy-AM" w:eastAsia="hy-AM"/>
              </w:rPr>
              <w:t>Ուրոլոգիա</w:t>
            </w:r>
          </w:p>
        </w:tc>
      </w:tr>
      <w:tr w:rsidR="00F15962" w:rsidRPr="00046A8B" w14:paraId="32F10617" w14:textId="77777777" w:rsidTr="00E5401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762" w14:textId="10D43C0A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Ցիստիտ (N30, N30.0-N30.4</w:t>
            </w:r>
            <w:r w:rsidR="00E54011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hy-AM"/>
              </w:rPr>
              <w:t>)</w:t>
            </w: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 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11D" w14:textId="77777777" w:rsidR="00F15962" w:rsidRPr="00F15962" w:rsidRDefault="00F15962" w:rsidP="00706A71">
            <w:pPr>
              <w:ind w:firstLine="0"/>
              <w:jc w:val="left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</w:pPr>
            <w:r w:rsidRPr="00F15962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 xml:space="preserve">Երբ արտահիվանդանոցային պայմաններում բուժումը չի ունենում ակնկալվող արդյունք, երբ որոշում է կայացվում բուժել ռիսկի գործոն հանդիսացող պաթոլոգիան (օրինակ հեռացնել միզապարկի քարը, վերացնել օբստրուկցիան և այլն),  երբ բորբոքային պրոցեսում ընդգրկվում են նաև վերին միզուղիները։  </w:t>
            </w:r>
          </w:p>
        </w:tc>
      </w:tr>
    </w:tbl>
    <w:p w14:paraId="7E941F5D" w14:textId="3EF34E6A" w:rsidR="005C61B8" w:rsidRPr="005C61B8" w:rsidRDefault="00F15962" w:rsidP="00706A71">
      <w:pPr>
        <w:tabs>
          <w:tab w:val="left" w:pos="6120"/>
        </w:tabs>
        <w:spacing w:line="360" w:lineRule="auto"/>
        <w:ind w:firstLine="0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5C61B8" w:rsidRPr="005C61B8" w:rsidSect="00E54011">
      <w:pgSz w:w="16838" w:h="11906" w:orient="landscape" w:code="9"/>
      <w:pgMar w:top="567" w:right="850" w:bottom="1138" w:left="540" w:header="850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1872" w14:textId="77777777" w:rsidR="00DC7519" w:rsidRDefault="00DC7519">
      <w:r>
        <w:separator/>
      </w:r>
    </w:p>
  </w:endnote>
  <w:endnote w:type="continuationSeparator" w:id="0">
    <w:p w14:paraId="46DED394" w14:textId="77777777" w:rsidR="00DC7519" w:rsidRDefault="00DC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3FC4" w14:textId="77777777" w:rsidR="00DC7519" w:rsidRDefault="00DC7519">
      <w:r>
        <w:separator/>
      </w:r>
    </w:p>
  </w:footnote>
  <w:footnote w:type="continuationSeparator" w:id="0">
    <w:p w14:paraId="70F77A0E" w14:textId="77777777" w:rsidR="00DC7519" w:rsidRDefault="00DC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D7"/>
    <w:multiLevelType w:val="hybridMultilevel"/>
    <w:tmpl w:val="44D2B0D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C63D5"/>
    <w:multiLevelType w:val="hybridMultilevel"/>
    <w:tmpl w:val="E7F06A4A"/>
    <w:lvl w:ilvl="0" w:tplc="14401D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73" w:hanging="360"/>
      </w:pPr>
    </w:lvl>
    <w:lvl w:ilvl="2" w:tplc="042B001B" w:tentative="1">
      <w:start w:val="1"/>
      <w:numFmt w:val="lowerRoman"/>
      <w:lvlText w:val="%3."/>
      <w:lvlJc w:val="right"/>
      <w:pPr>
        <w:ind w:left="2793" w:hanging="180"/>
      </w:pPr>
    </w:lvl>
    <w:lvl w:ilvl="3" w:tplc="042B000F" w:tentative="1">
      <w:start w:val="1"/>
      <w:numFmt w:val="decimal"/>
      <w:lvlText w:val="%4."/>
      <w:lvlJc w:val="left"/>
      <w:pPr>
        <w:ind w:left="3513" w:hanging="360"/>
      </w:pPr>
    </w:lvl>
    <w:lvl w:ilvl="4" w:tplc="042B0019" w:tentative="1">
      <w:start w:val="1"/>
      <w:numFmt w:val="lowerLetter"/>
      <w:lvlText w:val="%5."/>
      <w:lvlJc w:val="left"/>
      <w:pPr>
        <w:ind w:left="4233" w:hanging="360"/>
      </w:pPr>
    </w:lvl>
    <w:lvl w:ilvl="5" w:tplc="042B001B" w:tentative="1">
      <w:start w:val="1"/>
      <w:numFmt w:val="lowerRoman"/>
      <w:lvlText w:val="%6."/>
      <w:lvlJc w:val="right"/>
      <w:pPr>
        <w:ind w:left="4953" w:hanging="180"/>
      </w:pPr>
    </w:lvl>
    <w:lvl w:ilvl="6" w:tplc="042B000F" w:tentative="1">
      <w:start w:val="1"/>
      <w:numFmt w:val="decimal"/>
      <w:lvlText w:val="%7."/>
      <w:lvlJc w:val="left"/>
      <w:pPr>
        <w:ind w:left="5673" w:hanging="360"/>
      </w:pPr>
    </w:lvl>
    <w:lvl w:ilvl="7" w:tplc="042B0019" w:tentative="1">
      <w:start w:val="1"/>
      <w:numFmt w:val="lowerLetter"/>
      <w:lvlText w:val="%8."/>
      <w:lvlJc w:val="left"/>
      <w:pPr>
        <w:ind w:left="6393" w:hanging="360"/>
      </w:pPr>
    </w:lvl>
    <w:lvl w:ilvl="8" w:tplc="042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65"/>
    <w:rsid w:val="00000036"/>
    <w:rsid w:val="00004DAC"/>
    <w:rsid w:val="00005087"/>
    <w:rsid w:val="00016841"/>
    <w:rsid w:val="00022D1D"/>
    <w:rsid w:val="0002305F"/>
    <w:rsid w:val="00030CA3"/>
    <w:rsid w:val="000314EE"/>
    <w:rsid w:val="000318EC"/>
    <w:rsid w:val="00032E56"/>
    <w:rsid w:val="0003326D"/>
    <w:rsid w:val="00033C4C"/>
    <w:rsid w:val="00043439"/>
    <w:rsid w:val="000440EF"/>
    <w:rsid w:val="00046894"/>
    <w:rsid w:val="00046A8B"/>
    <w:rsid w:val="00065D27"/>
    <w:rsid w:val="00065DF9"/>
    <w:rsid w:val="00066897"/>
    <w:rsid w:val="000702B3"/>
    <w:rsid w:val="00081902"/>
    <w:rsid w:val="000835A8"/>
    <w:rsid w:val="00092FA3"/>
    <w:rsid w:val="00093243"/>
    <w:rsid w:val="00095F58"/>
    <w:rsid w:val="000A5BE0"/>
    <w:rsid w:val="000A6117"/>
    <w:rsid w:val="000A7820"/>
    <w:rsid w:val="000B3F70"/>
    <w:rsid w:val="000C6929"/>
    <w:rsid w:val="000D17C0"/>
    <w:rsid w:val="000D314C"/>
    <w:rsid w:val="000D4BDC"/>
    <w:rsid w:val="000E1382"/>
    <w:rsid w:val="000E531C"/>
    <w:rsid w:val="000F074C"/>
    <w:rsid w:val="000F0F54"/>
    <w:rsid w:val="000F4AEC"/>
    <w:rsid w:val="00101040"/>
    <w:rsid w:val="00103204"/>
    <w:rsid w:val="00103A32"/>
    <w:rsid w:val="001072E6"/>
    <w:rsid w:val="00107E39"/>
    <w:rsid w:val="001102AC"/>
    <w:rsid w:val="001103F9"/>
    <w:rsid w:val="00113F8A"/>
    <w:rsid w:val="001141E0"/>
    <w:rsid w:val="00115EEF"/>
    <w:rsid w:val="001219BE"/>
    <w:rsid w:val="00123BFB"/>
    <w:rsid w:val="00133760"/>
    <w:rsid w:val="00134EF8"/>
    <w:rsid w:val="00136447"/>
    <w:rsid w:val="001531BB"/>
    <w:rsid w:val="001535A5"/>
    <w:rsid w:val="001542D2"/>
    <w:rsid w:val="00157AB3"/>
    <w:rsid w:val="00160E17"/>
    <w:rsid w:val="00162B9E"/>
    <w:rsid w:val="00170298"/>
    <w:rsid w:val="00173A07"/>
    <w:rsid w:val="0017475A"/>
    <w:rsid w:val="001771FC"/>
    <w:rsid w:val="00180920"/>
    <w:rsid w:val="00181BF0"/>
    <w:rsid w:val="00183EE3"/>
    <w:rsid w:val="00191DB5"/>
    <w:rsid w:val="00195899"/>
    <w:rsid w:val="001A06E7"/>
    <w:rsid w:val="001B3878"/>
    <w:rsid w:val="001B3F38"/>
    <w:rsid w:val="001B5865"/>
    <w:rsid w:val="001C19C1"/>
    <w:rsid w:val="001C34EF"/>
    <w:rsid w:val="001C66B2"/>
    <w:rsid w:val="001C7F0D"/>
    <w:rsid w:val="001D6C6B"/>
    <w:rsid w:val="001E1C07"/>
    <w:rsid w:val="001E43DB"/>
    <w:rsid w:val="0020439E"/>
    <w:rsid w:val="0020445A"/>
    <w:rsid w:val="00213B56"/>
    <w:rsid w:val="002152D6"/>
    <w:rsid w:val="00221D08"/>
    <w:rsid w:val="00222FD0"/>
    <w:rsid w:val="00223DE4"/>
    <w:rsid w:val="00230297"/>
    <w:rsid w:val="00231D74"/>
    <w:rsid w:val="00235784"/>
    <w:rsid w:val="00236D2D"/>
    <w:rsid w:val="00237B1D"/>
    <w:rsid w:val="00250057"/>
    <w:rsid w:val="00255164"/>
    <w:rsid w:val="002614B8"/>
    <w:rsid w:val="00262912"/>
    <w:rsid w:val="002700FF"/>
    <w:rsid w:val="00272AC6"/>
    <w:rsid w:val="00275B0E"/>
    <w:rsid w:val="002776E6"/>
    <w:rsid w:val="00277F91"/>
    <w:rsid w:val="00282E9C"/>
    <w:rsid w:val="00287061"/>
    <w:rsid w:val="0029507F"/>
    <w:rsid w:val="0029584E"/>
    <w:rsid w:val="00295C89"/>
    <w:rsid w:val="00296A89"/>
    <w:rsid w:val="002B1ED3"/>
    <w:rsid w:val="002B410E"/>
    <w:rsid w:val="002C20D8"/>
    <w:rsid w:val="002C3008"/>
    <w:rsid w:val="002C3225"/>
    <w:rsid w:val="002C5A1F"/>
    <w:rsid w:val="002C6D98"/>
    <w:rsid w:val="002C7534"/>
    <w:rsid w:val="002D1EC9"/>
    <w:rsid w:val="002D3321"/>
    <w:rsid w:val="002D4690"/>
    <w:rsid w:val="002D6948"/>
    <w:rsid w:val="002E6B9C"/>
    <w:rsid w:val="002F0370"/>
    <w:rsid w:val="002F2081"/>
    <w:rsid w:val="002F2289"/>
    <w:rsid w:val="002F249D"/>
    <w:rsid w:val="002F3346"/>
    <w:rsid w:val="002F4400"/>
    <w:rsid w:val="002F5DAC"/>
    <w:rsid w:val="002F747C"/>
    <w:rsid w:val="003040A9"/>
    <w:rsid w:val="00305704"/>
    <w:rsid w:val="00305875"/>
    <w:rsid w:val="00306C62"/>
    <w:rsid w:val="00311FE1"/>
    <w:rsid w:val="00312D14"/>
    <w:rsid w:val="00316E32"/>
    <w:rsid w:val="003245A4"/>
    <w:rsid w:val="003338B2"/>
    <w:rsid w:val="0035111E"/>
    <w:rsid w:val="003515D7"/>
    <w:rsid w:val="00351E97"/>
    <w:rsid w:val="00354EEE"/>
    <w:rsid w:val="00364CF8"/>
    <w:rsid w:val="00367B7F"/>
    <w:rsid w:val="00370FD6"/>
    <w:rsid w:val="00374D1C"/>
    <w:rsid w:val="0037672B"/>
    <w:rsid w:val="00377BDD"/>
    <w:rsid w:val="003911A8"/>
    <w:rsid w:val="00393250"/>
    <w:rsid w:val="003947EE"/>
    <w:rsid w:val="0039596B"/>
    <w:rsid w:val="003A2B28"/>
    <w:rsid w:val="003A443E"/>
    <w:rsid w:val="003A5CD5"/>
    <w:rsid w:val="003A6723"/>
    <w:rsid w:val="003A74AC"/>
    <w:rsid w:val="003B0A8F"/>
    <w:rsid w:val="003B4204"/>
    <w:rsid w:val="003C50E4"/>
    <w:rsid w:val="003C528E"/>
    <w:rsid w:val="003D0664"/>
    <w:rsid w:val="003D0BDD"/>
    <w:rsid w:val="003D3182"/>
    <w:rsid w:val="003D3A70"/>
    <w:rsid w:val="003D3FDD"/>
    <w:rsid w:val="003D7B1B"/>
    <w:rsid w:val="003D7E6C"/>
    <w:rsid w:val="003E04A4"/>
    <w:rsid w:val="003E17C0"/>
    <w:rsid w:val="003E5A96"/>
    <w:rsid w:val="003F07EF"/>
    <w:rsid w:val="003F0A0C"/>
    <w:rsid w:val="004022FC"/>
    <w:rsid w:val="00406C11"/>
    <w:rsid w:val="00411498"/>
    <w:rsid w:val="00411715"/>
    <w:rsid w:val="00412B2B"/>
    <w:rsid w:val="00413AD2"/>
    <w:rsid w:val="00416D3A"/>
    <w:rsid w:val="004209C4"/>
    <w:rsid w:val="00421CBC"/>
    <w:rsid w:val="00421DD0"/>
    <w:rsid w:val="00425898"/>
    <w:rsid w:val="004344F6"/>
    <w:rsid w:val="0043633C"/>
    <w:rsid w:val="00442950"/>
    <w:rsid w:val="00445844"/>
    <w:rsid w:val="00451501"/>
    <w:rsid w:val="00452C86"/>
    <w:rsid w:val="004603CD"/>
    <w:rsid w:val="00461FAC"/>
    <w:rsid w:val="00467A9B"/>
    <w:rsid w:val="00470E80"/>
    <w:rsid w:val="00471530"/>
    <w:rsid w:val="0047166F"/>
    <w:rsid w:val="00473F81"/>
    <w:rsid w:val="0047597F"/>
    <w:rsid w:val="00475B1A"/>
    <w:rsid w:val="00476001"/>
    <w:rsid w:val="0047715C"/>
    <w:rsid w:val="00482F99"/>
    <w:rsid w:val="004B482D"/>
    <w:rsid w:val="004B4B91"/>
    <w:rsid w:val="004B598A"/>
    <w:rsid w:val="004C27CF"/>
    <w:rsid w:val="004D0DEF"/>
    <w:rsid w:val="004E3D87"/>
    <w:rsid w:val="004E7BE8"/>
    <w:rsid w:val="004F18ED"/>
    <w:rsid w:val="004F416F"/>
    <w:rsid w:val="004F4D04"/>
    <w:rsid w:val="005019D6"/>
    <w:rsid w:val="005049E2"/>
    <w:rsid w:val="005067E1"/>
    <w:rsid w:val="005147B9"/>
    <w:rsid w:val="00514E99"/>
    <w:rsid w:val="005200CB"/>
    <w:rsid w:val="00520326"/>
    <w:rsid w:val="0052668F"/>
    <w:rsid w:val="00526F6F"/>
    <w:rsid w:val="00527FFB"/>
    <w:rsid w:val="00532050"/>
    <w:rsid w:val="00533422"/>
    <w:rsid w:val="0053622E"/>
    <w:rsid w:val="005363E6"/>
    <w:rsid w:val="0054662A"/>
    <w:rsid w:val="005623D5"/>
    <w:rsid w:val="00563ADD"/>
    <w:rsid w:val="0056677E"/>
    <w:rsid w:val="00570743"/>
    <w:rsid w:val="00573487"/>
    <w:rsid w:val="00573A35"/>
    <w:rsid w:val="00580368"/>
    <w:rsid w:val="00580FA0"/>
    <w:rsid w:val="00591530"/>
    <w:rsid w:val="00597880"/>
    <w:rsid w:val="005A0A88"/>
    <w:rsid w:val="005A3721"/>
    <w:rsid w:val="005A516B"/>
    <w:rsid w:val="005B15C9"/>
    <w:rsid w:val="005B18B5"/>
    <w:rsid w:val="005B1B1B"/>
    <w:rsid w:val="005B57EF"/>
    <w:rsid w:val="005B72A5"/>
    <w:rsid w:val="005C0374"/>
    <w:rsid w:val="005C11DB"/>
    <w:rsid w:val="005C5C82"/>
    <w:rsid w:val="005C61B8"/>
    <w:rsid w:val="005C7E6C"/>
    <w:rsid w:val="005D4A4A"/>
    <w:rsid w:val="005D57BE"/>
    <w:rsid w:val="005F44DA"/>
    <w:rsid w:val="00601360"/>
    <w:rsid w:val="006030BD"/>
    <w:rsid w:val="00604009"/>
    <w:rsid w:val="006041A0"/>
    <w:rsid w:val="00605DEC"/>
    <w:rsid w:val="00606716"/>
    <w:rsid w:val="00607A48"/>
    <w:rsid w:val="00610070"/>
    <w:rsid w:val="006146D2"/>
    <w:rsid w:val="00617DE7"/>
    <w:rsid w:val="0062195E"/>
    <w:rsid w:val="0062330B"/>
    <w:rsid w:val="006257FD"/>
    <w:rsid w:val="00625FF5"/>
    <w:rsid w:val="00627A93"/>
    <w:rsid w:val="0063633E"/>
    <w:rsid w:val="00645F3C"/>
    <w:rsid w:val="00656C80"/>
    <w:rsid w:val="00657BD8"/>
    <w:rsid w:val="00665F50"/>
    <w:rsid w:val="006704D5"/>
    <w:rsid w:val="00674030"/>
    <w:rsid w:val="00674408"/>
    <w:rsid w:val="00677D14"/>
    <w:rsid w:val="0068733A"/>
    <w:rsid w:val="006927DF"/>
    <w:rsid w:val="00692F11"/>
    <w:rsid w:val="00694CE9"/>
    <w:rsid w:val="00695CA0"/>
    <w:rsid w:val="006A2FC3"/>
    <w:rsid w:val="006B2211"/>
    <w:rsid w:val="006B4ABF"/>
    <w:rsid w:val="006D2700"/>
    <w:rsid w:val="006D4DF9"/>
    <w:rsid w:val="006F0ED2"/>
    <w:rsid w:val="006F3A24"/>
    <w:rsid w:val="006F5574"/>
    <w:rsid w:val="006F5E4D"/>
    <w:rsid w:val="006F73C8"/>
    <w:rsid w:val="006F756C"/>
    <w:rsid w:val="00703CFE"/>
    <w:rsid w:val="00704433"/>
    <w:rsid w:val="00706A71"/>
    <w:rsid w:val="00711F38"/>
    <w:rsid w:val="007123BB"/>
    <w:rsid w:val="00716A0A"/>
    <w:rsid w:val="00716B0D"/>
    <w:rsid w:val="00720A46"/>
    <w:rsid w:val="0072248F"/>
    <w:rsid w:val="00724F89"/>
    <w:rsid w:val="007301F8"/>
    <w:rsid w:val="00734BFB"/>
    <w:rsid w:val="00735744"/>
    <w:rsid w:val="0073700C"/>
    <w:rsid w:val="00737165"/>
    <w:rsid w:val="00740857"/>
    <w:rsid w:val="007411BA"/>
    <w:rsid w:val="00741736"/>
    <w:rsid w:val="00742486"/>
    <w:rsid w:val="007468C6"/>
    <w:rsid w:val="0075694F"/>
    <w:rsid w:val="00757651"/>
    <w:rsid w:val="00757D61"/>
    <w:rsid w:val="00761097"/>
    <w:rsid w:val="00761DF2"/>
    <w:rsid w:val="00763CBA"/>
    <w:rsid w:val="00764B70"/>
    <w:rsid w:val="007755B6"/>
    <w:rsid w:val="007833E8"/>
    <w:rsid w:val="007840B5"/>
    <w:rsid w:val="007877D4"/>
    <w:rsid w:val="0079024F"/>
    <w:rsid w:val="00790302"/>
    <w:rsid w:val="007962FF"/>
    <w:rsid w:val="007A3A71"/>
    <w:rsid w:val="007A7F0D"/>
    <w:rsid w:val="007B6830"/>
    <w:rsid w:val="007B71CD"/>
    <w:rsid w:val="007B756F"/>
    <w:rsid w:val="007C34F1"/>
    <w:rsid w:val="007C3D75"/>
    <w:rsid w:val="007D013C"/>
    <w:rsid w:val="007D18B8"/>
    <w:rsid w:val="007D20A1"/>
    <w:rsid w:val="007D54F6"/>
    <w:rsid w:val="007E172D"/>
    <w:rsid w:val="007E4B2D"/>
    <w:rsid w:val="007E4E26"/>
    <w:rsid w:val="007E5B22"/>
    <w:rsid w:val="007F3E86"/>
    <w:rsid w:val="00816ABC"/>
    <w:rsid w:val="0083142B"/>
    <w:rsid w:val="008327C4"/>
    <w:rsid w:val="00840E77"/>
    <w:rsid w:val="00841EDC"/>
    <w:rsid w:val="00853287"/>
    <w:rsid w:val="00854A5B"/>
    <w:rsid w:val="00855956"/>
    <w:rsid w:val="00860C78"/>
    <w:rsid w:val="008610A2"/>
    <w:rsid w:val="00865792"/>
    <w:rsid w:val="008A1A82"/>
    <w:rsid w:val="008A6D58"/>
    <w:rsid w:val="008B1506"/>
    <w:rsid w:val="008B1BE5"/>
    <w:rsid w:val="008B1CD1"/>
    <w:rsid w:val="008B73BE"/>
    <w:rsid w:val="008B7FEC"/>
    <w:rsid w:val="008C3FC4"/>
    <w:rsid w:val="008C5481"/>
    <w:rsid w:val="008D22C4"/>
    <w:rsid w:val="008D4B2F"/>
    <w:rsid w:val="008D4FF0"/>
    <w:rsid w:val="008E18EC"/>
    <w:rsid w:val="008E42BF"/>
    <w:rsid w:val="008E569D"/>
    <w:rsid w:val="008E6BB7"/>
    <w:rsid w:val="008F5CE1"/>
    <w:rsid w:val="00903700"/>
    <w:rsid w:val="009125EA"/>
    <w:rsid w:val="00913966"/>
    <w:rsid w:val="00914C38"/>
    <w:rsid w:val="0092004C"/>
    <w:rsid w:val="00920109"/>
    <w:rsid w:val="00923A2C"/>
    <w:rsid w:val="00932820"/>
    <w:rsid w:val="00942D7C"/>
    <w:rsid w:val="00944C1C"/>
    <w:rsid w:val="00953C2C"/>
    <w:rsid w:val="00962CC3"/>
    <w:rsid w:val="00966389"/>
    <w:rsid w:val="00971A7F"/>
    <w:rsid w:val="00980AC6"/>
    <w:rsid w:val="00983264"/>
    <w:rsid w:val="009900E5"/>
    <w:rsid w:val="00991AB5"/>
    <w:rsid w:val="00993C0B"/>
    <w:rsid w:val="009967DD"/>
    <w:rsid w:val="009A0E9B"/>
    <w:rsid w:val="009A212D"/>
    <w:rsid w:val="009A565E"/>
    <w:rsid w:val="009B24D7"/>
    <w:rsid w:val="009B4713"/>
    <w:rsid w:val="009C1DA4"/>
    <w:rsid w:val="009C1F4D"/>
    <w:rsid w:val="009C3160"/>
    <w:rsid w:val="009C4C75"/>
    <w:rsid w:val="009D0AFF"/>
    <w:rsid w:val="009D47B3"/>
    <w:rsid w:val="009D499E"/>
    <w:rsid w:val="009D6D1B"/>
    <w:rsid w:val="009E08F9"/>
    <w:rsid w:val="009E12A8"/>
    <w:rsid w:val="009F7168"/>
    <w:rsid w:val="00A102D1"/>
    <w:rsid w:val="00A12055"/>
    <w:rsid w:val="00A15391"/>
    <w:rsid w:val="00A16E16"/>
    <w:rsid w:val="00A2261C"/>
    <w:rsid w:val="00A276C8"/>
    <w:rsid w:val="00A30213"/>
    <w:rsid w:val="00A32FDA"/>
    <w:rsid w:val="00A405D7"/>
    <w:rsid w:val="00A44698"/>
    <w:rsid w:val="00A447BF"/>
    <w:rsid w:val="00A51591"/>
    <w:rsid w:val="00A52404"/>
    <w:rsid w:val="00A57037"/>
    <w:rsid w:val="00A6040F"/>
    <w:rsid w:val="00A61D7B"/>
    <w:rsid w:val="00A660C1"/>
    <w:rsid w:val="00A749CB"/>
    <w:rsid w:val="00A80BC9"/>
    <w:rsid w:val="00A87420"/>
    <w:rsid w:val="00A93563"/>
    <w:rsid w:val="00A94AD7"/>
    <w:rsid w:val="00A974EA"/>
    <w:rsid w:val="00AA3DE8"/>
    <w:rsid w:val="00AA5A03"/>
    <w:rsid w:val="00AA7232"/>
    <w:rsid w:val="00AB1C42"/>
    <w:rsid w:val="00AB32FC"/>
    <w:rsid w:val="00AB65AF"/>
    <w:rsid w:val="00AC2701"/>
    <w:rsid w:val="00AC2C24"/>
    <w:rsid w:val="00AC46D4"/>
    <w:rsid w:val="00AE3138"/>
    <w:rsid w:val="00AE7F38"/>
    <w:rsid w:val="00AF1E6E"/>
    <w:rsid w:val="00B01024"/>
    <w:rsid w:val="00B043CD"/>
    <w:rsid w:val="00B070E8"/>
    <w:rsid w:val="00B104DF"/>
    <w:rsid w:val="00B114D6"/>
    <w:rsid w:val="00B15AC9"/>
    <w:rsid w:val="00B21A7F"/>
    <w:rsid w:val="00B22ECE"/>
    <w:rsid w:val="00B22F35"/>
    <w:rsid w:val="00B24CBF"/>
    <w:rsid w:val="00B30AAE"/>
    <w:rsid w:val="00B33935"/>
    <w:rsid w:val="00B33DC2"/>
    <w:rsid w:val="00B3523C"/>
    <w:rsid w:val="00B376BC"/>
    <w:rsid w:val="00B4502A"/>
    <w:rsid w:val="00B502F7"/>
    <w:rsid w:val="00B50E7D"/>
    <w:rsid w:val="00B52351"/>
    <w:rsid w:val="00B61EF7"/>
    <w:rsid w:val="00B70E25"/>
    <w:rsid w:val="00B7766B"/>
    <w:rsid w:val="00B7785D"/>
    <w:rsid w:val="00B81E47"/>
    <w:rsid w:val="00B907B5"/>
    <w:rsid w:val="00BA26CE"/>
    <w:rsid w:val="00BA6E27"/>
    <w:rsid w:val="00BB2C26"/>
    <w:rsid w:val="00BC020B"/>
    <w:rsid w:val="00BC1145"/>
    <w:rsid w:val="00BC6102"/>
    <w:rsid w:val="00BD19A3"/>
    <w:rsid w:val="00BD5AE7"/>
    <w:rsid w:val="00BE01AE"/>
    <w:rsid w:val="00BE5CC2"/>
    <w:rsid w:val="00BE5D50"/>
    <w:rsid w:val="00BE7461"/>
    <w:rsid w:val="00BF15D8"/>
    <w:rsid w:val="00BF4D33"/>
    <w:rsid w:val="00C1024F"/>
    <w:rsid w:val="00C11865"/>
    <w:rsid w:val="00C16B84"/>
    <w:rsid w:val="00C32235"/>
    <w:rsid w:val="00C3663D"/>
    <w:rsid w:val="00C369F2"/>
    <w:rsid w:val="00C40C94"/>
    <w:rsid w:val="00C617FF"/>
    <w:rsid w:val="00C657F1"/>
    <w:rsid w:val="00C6621A"/>
    <w:rsid w:val="00C767C4"/>
    <w:rsid w:val="00C81A04"/>
    <w:rsid w:val="00C86027"/>
    <w:rsid w:val="00C936B1"/>
    <w:rsid w:val="00C93A38"/>
    <w:rsid w:val="00C97931"/>
    <w:rsid w:val="00CA0F28"/>
    <w:rsid w:val="00CA1EA9"/>
    <w:rsid w:val="00CA4AB4"/>
    <w:rsid w:val="00CA5368"/>
    <w:rsid w:val="00CA5495"/>
    <w:rsid w:val="00CA69A4"/>
    <w:rsid w:val="00CB100D"/>
    <w:rsid w:val="00CB3B6A"/>
    <w:rsid w:val="00CB71C0"/>
    <w:rsid w:val="00CC1804"/>
    <w:rsid w:val="00CC2C25"/>
    <w:rsid w:val="00CC3F52"/>
    <w:rsid w:val="00CC68E1"/>
    <w:rsid w:val="00CD04A5"/>
    <w:rsid w:val="00CD4357"/>
    <w:rsid w:val="00CD617E"/>
    <w:rsid w:val="00CE1353"/>
    <w:rsid w:val="00CE66E2"/>
    <w:rsid w:val="00CE69E2"/>
    <w:rsid w:val="00CF28C9"/>
    <w:rsid w:val="00CF49CD"/>
    <w:rsid w:val="00D00F1A"/>
    <w:rsid w:val="00D03197"/>
    <w:rsid w:val="00D12A4A"/>
    <w:rsid w:val="00D178F9"/>
    <w:rsid w:val="00D22D26"/>
    <w:rsid w:val="00D22F64"/>
    <w:rsid w:val="00D24D7A"/>
    <w:rsid w:val="00D251B4"/>
    <w:rsid w:val="00D4138D"/>
    <w:rsid w:val="00D41A3B"/>
    <w:rsid w:val="00D47E0B"/>
    <w:rsid w:val="00D544E9"/>
    <w:rsid w:val="00D54925"/>
    <w:rsid w:val="00D5497A"/>
    <w:rsid w:val="00D554D9"/>
    <w:rsid w:val="00D559C6"/>
    <w:rsid w:val="00D767BD"/>
    <w:rsid w:val="00D77E44"/>
    <w:rsid w:val="00D85966"/>
    <w:rsid w:val="00D968DB"/>
    <w:rsid w:val="00DA45BC"/>
    <w:rsid w:val="00DB3843"/>
    <w:rsid w:val="00DC442B"/>
    <w:rsid w:val="00DC7519"/>
    <w:rsid w:val="00DD08BA"/>
    <w:rsid w:val="00DD0BA1"/>
    <w:rsid w:val="00DD7BDF"/>
    <w:rsid w:val="00DE080F"/>
    <w:rsid w:val="00DE2219"/>
    <w:rsid w:val="00DE4DEE"/>
    <w:rsid w:val="00DE531A"/>
    <w:rsid w:val="00DE79AE"/>
    <w:rsid w:val="00DF082A"/>
    <w:rsid w:val="00DF0B62"/>
    <w:rsid w:val="00DF6671"/>
    <w:rsid w:val="00DF7872"/>
    <w:rsid w:val="00E0076F"/>
    <w:rsid w:val="00E02D78"/>
    <w:rsid w:val="00E06ABF"/>
    <w:rsid w:val="00E1202D"/>
    <w:rsid w:val="00E1457D"/>
    <w:rsid w:val="00E14E60"/>
    <w:rsid w:val="00E172E5"/>
    <w:rsid w:val="00E22F02"/>
    <w:rsid w:val="00E237A8"/>
    <w:rsid w:val="00E25C60"/>
    <w:rsid w:val="00E3112E"/>
    <w:rsid w:val="00E33F2F"/>
    <w:rsid w:val="00E3489C"/>
    <w:rsid w:val="00E406EB"/>
    <w:rsid w:val="00E44A9B"/>
    <w:rsid w:val="00E45FA3"/>
    <w:rsid w:val="00E46CA5"/>
    <w:rsid w:val="00E51B05"/>
    <w:rsid w:val="00E54011"/>
    <w:rsid w:val="00E57576"/>
    <w:rsid w:val="00E62782"/>
    <w:rsid w:val="00E70BB1"/>
    <w:rsid w:val="00E84990"/>
    <w:rsid w:val="00E904BB"/>
    <w:rsid w:val="00E91217"/>
    <w:rsid w:val="00E930C7"/>
    <w:rsid w:val="00E9716C"/>
    <w:rsid w:val="00E97BEC"/>
    <w:rsid w:val="00EA3501"/>
    <w:rsid w:val="00EA46D6"/>
    <w:rsid w:val="00EB72F8"/>
    <w:rsid w:val="00EC1877"/>
    <w:rsid w:val="00EC246C"/>
    <w:rsid w:val="00EC25F1"/>
    <w:rsid w:val="00EE4AB5"/>
    <w:rsid w:val="00EE52FE"/>
    <w:rsid w:val="00EE64F2"/>
    <w:rsid w:val="00EE6D56"/>
    <w:rsid w:val="00EE75F8"/>
    <w:rsid w:val="00EF7B00"/>
    <w:rsid w:val="00F03890"/>
    <w:rsid w:val="00F05E87"/>
    <w:rsid w:val="00F11C17"/>
    <w:rsid w:val="00F12422"/>
    <w:rsid w:val="00F15962"/>
    <w:rsid w:val="00F159A0"/>
    <w:rsid w:val="00F21A95"/>
    <w:rsid w:val="00F31940"/>
    <w:rsid w:val="00F50C0C"/>
    <w:rsid w:val="00F645E3"/>
    <w:rsid w:val="00F71A13"/>
    <w:rsid w:val="00F72FE7"/>
    <w:rsid w:val="00F82EFF"/>
    <w:rsid w:val="00F96BC6"/>
    <w:rsid w:val="00F96CC1"/>
    <w:rsid w:val="00F97BC8"/>
    <w:rsid w:val="00FA090C"/>
    <w:rsid w:val="00FA2F8E"/>
    <w:rsid w:val="00FB305E"/>
    <w:rsid w:val="00FC1056"/>
    <w:rsid w:val="00FC190C"/>
    <w:rsid w:val="00FC4F15"/>
    <w:rsid w:val="00FF39A1"/>
    <w:rsid w:val="00FF4A5B"/>
    <w:rsid w:val="00FF5315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54EB9"/>
  <w15:chartTrackingRefBased/>
  <w15:docId w15:val="{DFA4309D-7CD7-4045-A9A2-F7F93CCD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66F"/>
    <w:pPr>
      <w:ind w:firstLine="851"/>
      <w:jc w:val="both"/>
    </w:pPr>
    <w:rPr>
      <w:rFonts w:ascii="Times Armenian" w:hAnsi="Times Armeni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77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69E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E69E2"/>
    <w:pPr>
      <w:tabs>
        <w:tab w:val="center" w:pos="4677"/>
        <w:tab w:val="right" w:pos="9355"/>
      </w:tabs>
    </w:pPr>
  </w:style>
  <w:style w:type="paragraph" w:customStyle="1" w:styleId="a">
    <w:basedOn w:val="Normal"/>
    <w:rsid w:val="004F4D04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17475A"/>
    <w:pPr>
      <w:ind w:firstLine="72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17475A"/>
    <w:rPr>
      <w:rFonts w:ascii="Times Armenian" w:hAnsi="Times Armenian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172D"/>
    <w:pPr>
      <w:ind w:left="720"/>
      <w:contextualSpacing/>
    </w:pPr>
  </w:style>
  <w:style w:type="paragraph" w:styleId="BodyText">
    <w:name w:val="Body Text"/>
    <w:basedOn w:val="Normal"/>
    <w:link w:val="BodyTextChar"/>
    <w:rsid w:val="004771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15C"/>
    <w:rPr>
      <w:rFonts w:ascii="Times Armenian" w:hAnsi="Times Armenian"/>
      <w:sz w:val="28"/>
      <w:szCs w:val="28"/>
      <w:lang w:val="ru-RU" w:eastAsia="ru-RU"/>
    </w:rPr>
  </w:style>
  <w:style w:type="character" w:styleId="Strong">
    <w:name w:val="Strong"/>
    <w:basedOn w:val="DefaultParagraphFont"/>
    <w:uiPriority w:val="22"/>
    <w:qFormat/>
    <w:rsid w:val="00377BDD"/>
    <w:rPr>
      <w:b/>
      <w:bCs/>
    </w:rPr>
  </w:style>
  <w:style w:type="character" w:styleId="Emphasis">
    <w:name w:val="Emphasis"/>
    <w:basedOn w:val="DefaultParagraphFont"/>
    <w:qFormat/>
    <w:rsid w:val="00377BD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77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377BDD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B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377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7BDD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43633C"/>
    <w:rPr>
      <w:rFonts w:ascii="Times Armenian" w:hAnsi="Times Armenian"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unhideWhenUsed/>
    <w:rsid w:val="00E237A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5828-92FD-49E5-8629-958E0964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 Mkhitaryan</dc:creator>
  <cp:keywords>https:/mul2-moh.gov.am/tasks/971502/oneclick?token=e462a168d44abae3f46f3192f3adcf9c</cp:keywords>
  <cp:lastModifiedBy>Araqsya Hambardzumyan</cp:lastModifiedBy>
  <cp:revision>2</cp:revision>
  <cp:lastPrinted>2024-03-14T17:23:00Z</cp:lastPrinted>
  <dcterms:created xsi:type="dcterms:W3CDTF">2025-12-12T13:49:00Z</dcterms:created>
  <dcterms:modified xsi:type="dcterms:W3CDTF">2025-12-12T13:49:00Z</dcterms:modified>
</cp:coreProperties>
</file>