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FA6" w:rsidRPr="00996FA6" w:rsidRDefault="00996FA6" w:rsidP="00996FA6">
      <w:pPr>
        <w:spacing w:line="240" w:lineRule="auto"/>
        <w:ind w:right="-561"/>
        <w:jc w:val="center"/>
        <w:rPr>
          <w:rFonts w:ascii="Sylfaen" w:eastAsia="GHEA Grapalat" w:hAnsi="Sylfaen" w:cs="GHEA Grapalat"/>
          <w:sz w:val="24"/>
          <w:szCs w:val="24"/>
          <w:lang w:val="hy-AM"/>
        </w:rPr>
      </w:pPr>
      <w:r w:rsidRPr="00996FA6">
        <w:rPr>
          <w:rFonts w:ascii="GHEA Grapalat" w:eastAsia="GHEA Grapalat" w:hAnsi="GHEA Grapalat" w:cs="GHEA Grapalat"/>
          <w:b/>
          <w:sz w:val="24"/>
          <w:szCs w:val="24"/>
          <w:lang w:val="hy-AM"/>
        </w:rPr>
        <w:t>ՀԻՄՆԱՎՈՐՈՒՄ</w:t>
      </w:r>
      <w:bookmarkStart w:id="0" w:name="_GoBack"/>
      <w:bookmarkEnd w:id="0"/>
    </w:p>
    <w:p w:rsidR="00996FA6" w:rsidRPr="00996FA6" w:rsidRDefault="00996FA6" w:rsidP="00996FA6">
      <w:pPr>
        <w:spacing w:before="240" w:after="0" w:line="276" w:lineRule="auto"/>
        <w:jc w:val="center"/>
        <w:rPr>
          <w:rFonts w:ascii="GHEA Grapalat" w:eastAsia="GHEA Grapalat" w:hAnsi="GHEA Grapalat" w:cs="GHEA Grapalat"/>
          <w:b/>
          <w:sz w:val="24"/>
          <w:szCs w:val="24"/>
          <w:lang w:val="hy-AM"/>
        </w:rPr>
      </w:pPr>
      <w:r w:rsidRPr="00996FA6">
        <w:rPr>
          <w:rFonts w:ascii="GHEA Grapalat" w:eastAsia="GHEA Grapalat" w:hAnsi="GHEA Grapalat" w:cs="GHEA Grapalat"/>
          <w:b/>
          <w:sz w:val="24"/>
          <w:szCs w:val="24"/>
          <w:highlight w:val="white"/>
          <w:lang w:val="hy-AM"/>
        </w:rPr>
        <w:t xml:space="preserve">ՀԱՅԱՍՏԱՆԻ ՀԱՆՐԱՊԵՏՈՒԹՅԱՆ ԿԱՌԱՎԱՐՈՒԹՅԱՆ 2020 ԹՎԱԿԱՆԻ ՀՈՒՆՎԱՐԻ 30-Ի N 102-Ն ՈՐՈՇՄԱՆ ՄԵՋ ԼՐԱՑՈՒՄՆԵՐ ԵՎ ՓՈՓՈԽՈՒԹՅՈՒՆՆԵՐ ԿԱՏԱՐԵԼՈՒ ՄԱՍԻՆ </w:t>
      </w:r>
      <w:r w:rsidRPr="00996FA6">
        <w:rPr>
          <w:rFonts w:ascii="GHEA Grapalat" w:eastAsia="GHEA Grapalat" w:hAnsi="GHEA Grapalat" w:cs="GHEA Grapalat"/>
          <w:b/>
          <w:sz w:val="24"/>
          <w:szCs w:val="24"/>
          <w:lang w:val="hy-AM"/>
        </w:rPr>
        <w:t>ՈՐՈՇՄԱՆ ՆԱԽԱԳԾԻ</w:t>
      </w:r>
    </w:p>
    <w:p w:rsidR="00996FA6" w:rsidRPr="00996FA6" w:rsidRDefault="00996FA6" w:rsidP="00996FA6">
      <w:pPr>
        <w:spacing w:before="240" w:after="0" w:line="276" w:lineRule="auto"/>
        <w:jc w:val="center"/>
        <w:rPr>
          <w:rFonts w:ascii="GHEA Grapalat" w:eastAsia="GHEA Grapalat" w:hAnsi="GHEA Grapalat" w:cs="GHEA Grapalat"/>
          <w:b/>
          <w:sz w:val="24"/>
          <w:szCs w:val="24"/>
          <w:lang w:val="hy-AM"/>
        </w:rPr>
      </w:pPr>
    </w:p>
    <w:p w:rsidR="00996FA6" w:rsidRPr="00996FA6" w:rsidRDefault="00996FA6" w:rsidP="00996FA6">
      <w:pPr>
        <w:spacing w:line="240" w:lineRule="auto"/>
        <w:ind w:right="-419"/>
        <w:rPr>
          <w:rFonts w:ascii="GHEA Grapalat" w:eastAsia="GHEA Grapalat" w:hAnsi="GHEA Grapalat" w:cs="GHEA Grapalat"/>
          <w:sz w:val="24"/>
          <w:szCs w:val="24"/>
          <w:lang w:val="hy-AM"/>
        </w:rPr>
      </w:pPr>
      <w:r w:rsidRPr="00996FA6">
        <w:rPr>
          <w:rFonts w:ascii="Calibri" w:eastAsia="Calibri" w:hAnsi="Calibri" w:cs="Calibri"/>
          <w:sz w:val="24"/>
          <w:szCs w:val="24"/>
          <w:lang w:val="hy-AM"/>
        </w:rPr>
        <w:tab/>
      </w:r>
      <w:r w:rsidRPr="00996FA6">
        <w:rPr>
          <w:rFonts w:ascii="GHEA Grapalat" w:eastAsia="Calibri" w:hAnsi="GHEA Grapalat" w:cs="Calibri"/>
          <w:sz w:val="24"/>
          <w:szCs w:val="24"/>
          <w:lang w:val="hy-AM"/>
        </w:rPr>
        <w:t>1.</w:t>
      </w:r>
      <w:r w:rsidRPr="00996FA6">
        <w:rPr>
          <w:rFonts w:ascii="Calibri" w:eastAsia="Calibri" w:hAnsi="Calibri" w:cs="Calibri"/>
          <w:sz w:val="24"/>
          <w:szCs w:val="24"/>
          <w:lang w:val="hy-AM"/>
        </w:rPr>
        <w:t xml:space="preserve"> </w:t>
      </w:r>
      <w:r w:rsidRPr="00996FA6">
        <w:rPr>
          <w:rFonts w:ascii="GHEA Grapalat" w:eastAsia="GHEA Grapalat" w:hAnsi="GHEA Grapalat" w:cs="GHEA Grapalat"/>
          <w:b/>
          <w:sz w:val="24"/>
          <w:szCs w:val="24"/>
          <w:lang w:val="hy-AM"/>
        </w:rPr>
        <w:t>Ընթացիկ իրավիճակը և իրավական ակտի ընդունման անհրաժեշտությունը.</w:t>
      </w:r>
    </w:p>
    <w:p w:rsidR="00996FA6" w:rsidRPr="00996FA6" w:rsidRDefault="00996FA6" w:rsidP="00996FA6">
      <w:pPr>
        <w:spacing w:after="0" w:line="360" w:lineRule="auto"/>
        <w:jc w:val="both"/>
        <w:rPr>
          <w:rFonts w:ascii="GHEA Grapalat" w:eastAsia="GHEA Grapalat" w:hAnsi="GHEA Grapalat" w:cs="GHEA Grapalat"/>
          <w:sz w:val="24"/>
          <w:szCs w:val="24"/>
          <w:lang w:val="hy-AM"/>
        </w:rPr>
      </w:pPr>
      <w:bookmarkStart w:id="1" w:name="_heading=h.v8cm548wmglg" w:colFirst="0" w:colLast="0"/>
      <w:bookmarkStart w:id="2" w:name="_heading=h.b0fyfwi6emov" w:colFirst="0" w:colLast="0"/>
      <w:bookmarkEnd w:id="1"/>
      <w:bookmarkEnd w:id="2"/>
      <w:r w:rsidRPr="00996FA6">
        <w:rPr>
          <w:rFonts w:ascii="Calibri" w:eastAsia="Calibri" w:hAnsi="Calibri" w:cs="Calibri"/>
          <w:sz w:val="24"/>
          <w:szCs w:val="24"/>
          <w:lang w:val="hy-AM"/>
        </w:rPr>
        <w:tab/>
      </w:r>
      <w:r w:rsidRPr="00996FA6">
        <w:rPr>
          <w:rFonts w:ascii="GHEA Grapalat" w:eastAsia="GHEA Grapalat" w:hAnsi="GHEA Grapalat" w:cs="GHEA Grapalat"/>
          <w:sz w:val="24"/>
          <w:szCs w:val="24"/>
          <w:lang w:val="hy-AM"/>
        </w:rPr>
        <w:t>«</w:t>
      </w:r>
      <w:r w:rsidRPr="00996FA6">
        <w:rPr>
          <w:rFonts w:ascii="GHEA Grapalat" w:eastAsia="Tahoma" w:hAnsi="GHEA Grapalat" w:cs="Tahoma"/>
          <w:sz w:val="24"/>
          <w:szCs w:val="24"/>
          <w:highlight w:val="white"/>
          <w:lang w:val="hy-AM"/>
        </w:rPr>
        <w:t>«Հանրային ծառայության մասին» օրենքում լրացումներ և փոփոխություն կատարելու մասին</w:t>
      </w:r>
      <w:r w:rsidRPr="00996FA6">
        <w:rPr>
          <w:rFonts w:ascii="GHEA Grapalat" w:eastAsia="GHEA Grapalat" w:hAnsi="GHEA Grapalat" w:cs="GHEA Grapalat"/>
          <w:sz w:val="24"/>
          <w:szCs w:val="24"/>
          <w:lang w:val="hy-AM"/>
        </w:rPr>
        <w:t xml:space="preserve">» 2025 թվականի մայիսի 29-ի ՀՕ </w:t>
      </w:r>
      <w:r w:rsidRPr="00996FA6">
        <w:rPr>
          <w:rFonts w:ascii="GHEA Grapalat" w:eastAsia="Tahoma" w:hAnsi="GHEA Grapalat" w:cs="Tahoma"/>
          <w:sz w:val="24"/>
          <w:szCs w:val="24"/>
          <w:highlight w:val="white"/>
          <w:lang w:val="hy-AM"/>
        </w:rPr>
        <w:t>174-Ն</w:t>
      </w:r>
      <w:r w:rsidRPr="00996FA6">
        <w:rPr>
          <w:rFonts w:ascii="GHEA Grapalat" w:eastAsia="GHEA Grapalat" w:hAnsi="GHEA Grapalat" w:cs="GHEA Grapalat"/>
          <w:sz w:val="24"/>
          <w:szCs w:val="24"/>
          <w:lang w:val="hy-AM"/>
        </w:rPr>
        <w:t xml:space="preserve"> օրենքի </w:t>
      </w:r>
      <w:r w:rsidRPr="00996FA6">
        <w:rPr>
          <w:rFonts w:ascii="GHEA Grapalat" w:eastAsia="GHEA Grapalat" w:hAnsi="GHEA Grapalat" w:cs="GHEA Grapalat"/>
          <w:sz w:val="24"/>
          <w:szCs w:val="24"/>
          <w:highlight w:val="white"/>
          <w:lang w:val="hy-AM"/>
        </w:rPr>
        <w:t>(ուժի մեջ է մտել 2025 թվականի հուլիսի 4-ից)</w:t>
      </w:r>
      <w:r w:rsidRPr="00996FA6">
        <w:rPr>
          <w:rFonts w:ascii="GHEA Grapalat" w:eastAsia="GHEA Grapalat" w:hAnsi="GHEA Grapalat" w:cs="GHEA Grapalat"/>
          <w:sz w:val="24"/>
          <w:szCs w:val="24"/>
          <w:lang w:val="hy-AM"/>
        </w:rPr>
        <w:t xml:space="preserve"> 1-ին հոդվածի համաձայն՝ </w:t>
      </w:r>
      <w:r w:rsidRPr="00996FA6">
        <w:rPr>
          <w:rFonts w:ascii="GHEA Grapalat" w:eastAsia="Tahoma" w:hAnsi="GHEA Grapalat" w:cs="Tahoma"/>
          <w:sz w:val="24"/>
          <w:szCs w:val="24"/>
          <w:highlight w:val="white"/>
          <w:lang w:val="hy-AM"/>
        </w:rPr>
        <w:t xml:space="preserve">«Հանրային ծառայության մասին» 2018 թվականի մարտի 23-ի ՀՕ-206-Ն օրենքի 40-րդ հոդվածում՝ 1-ին մասը լրացվել է հետևյալ բովանդակությամբ 5.1-ին կետով՝ 5.1) կրիպտոակտիվները։ Նույն հոդվածի 3-րդ մասի համաձայն՝ սահմանվել է, որ </w:t>
      </w:r>
      <w:r w:rsidR="003F5C67">
        <w:rPr>
          <w:rFonts w:ascii="GHEA Grapalat" w:eastAsia="Tahoma" w:hAnsi="GHEA Grapalat" w:cs="Tahoma"/>
          <w:sz w:val="24"/>
          <w:szCs w:val="24"/>
          <w:highlight w:val="white"/>
          <w:lang w:val="hy-AM"/>
        </w:rPr>
        <w:t>կ</w:t>
      </w:r>
      <w:r w:rsidRPr="00996FA6">
        <w:rPr>
          <w:rFonts w:ascii="GHEA Grapalat" w:eastAsia="Tahoma" w:hAnsi="GHEA Grapalat" w:cs="Tahoma"/>
          <w:sz w:val="24"/>
          <w:szCs w:val="24"/>
          <w:highlight w:val="white"/>
          <w:lang w:val="hy-AM"/>
        </w:rPr>
        <w:t xml:space="preserve">րիպտոակտիվների դեպքում տարեկան հայտարարագրում ներառվում են տվյալ տարվա հունվարի 1-ի և դեկտեմբերի 31-ի դրությամբ կրիպտոակտիվի անվանումը, ձեռք բերելու օրը, ամիսը, տարին, եղանակը, արժեքը (գինը), արժույթը, գործարքի մյուս կողմի անվանումը կամ անունը, ազգանունը, հայրանունը, հասցեն (գործարքը կրիպտոակտիվների առևտրային հարթակում կնքված լինելու դեպքում՝ հարթակի օպերատորի անվանումը): </w:t>
      </w:r>
    </w:p>
    <w:p w:rsidR="00996FA6" w:rsidRPr="00996FA6" w:rsidRDefault="00996FA6" w:rsidP="00996FA6">
      <w:pPr>
        <w:spacing w:after="0" w:line="360" w:lineRule="auto"/>
        <w:ind w:firstLine="720"/>
        <w:jc w:val="both"/>
        <w:rPr>
          <w:rFonts w:ascii="GHEA Grapalat" w:eastAsia="GHEA Grapalat" w:hAnsi="GHEA Grapalat" w:cs="GHEA Grapalat"/>
          <w:sz w:val="24"/>
          <w:szCs w:val="24"/>
          <w:lang w:val="hy-AM"/>
        </w:rPr>
      </w:pPr>
      <w:bookmarkStart w:id="3" w:name="_heading=h.6djheq4cugwx" w:colFirst="0" w:colLast="0"/>
      <w:bookmarkEnd w:id="3"/>
      <w:r w:rsidRPr="00996FA6">
        <w:rPr>
          <w:rFonts w:ascii="GHEA Grapalat" w:eastAsia="GHEA Grapalat" w:hAnsi="GHEA Grapalat" w:cs="GHEA Grapalat"/>
          <w:sz w:val="24"/>
          <w:szCs w:val="24"/>
          <w:lang w:val="hy-AM"/>
        </w:rPr>
        <w:t>Հիմք ընդունելով վերոգրյալը՝ անհրաժեշտություն է առաջացել Կոռուպցիայի կանխարգելման հանձնաժողով ներկայացվող համապատասխան հայտարարագրերի ձևանմուշներում կատարել լրացումներ և փոփոխություններ, որոնց արդյունքում հնարավոր կլինի ապահովել հայտարարատուների կողմից օրենքով պահանջվող տվյալների հայտարարագրման ընթացքը։</w:t>
      </w:r>
    </w:p>
    <w:p w:rsidR="00996FA6" w:rsidRPr="00996FA6" w:rsidRDefault="00996FA6" w:rsidP="00996FA6">
      <w:pPr>
        <w:spacing w:after="0" w:line="360" w:lineRule="auto"/>
        <w:jc w:val="both"/>
        <w:rPr>
          <w:rFonts w:ascii="GHEA Grapalat" w:eastAsia="GHEA Grapalat" w:hAnsi="GHEA Grapalat" w:cs="GHEA Grapalat"/>
          <w:color w:val="FF0000"/>
          <w:sz w:val="24"/>
          <w:szCs w:val="24"/>
          <w:lang w:val="hy-AM"/>
        </w:rPr>
      </w:pPr>
    </w:p>
    <w:p w:rsidR="00996FA6" w:rsidRPr="00996FA6" w:rsidRDefault="00996FA6" w:rsidP="00996FA6">
      <w:pPr>
        <w:spacing w:line="240" w:lineRule="auto"/>
        <w:ind w:firstLine="720"/>
        <w:rPr>
          <w:rFonts w:ascii="GHEA Grapalat" w:eastAsia="Calibri" w:hAnsi="GHEA Grapalat" w:cs="Calibri"/>
          <w:b/>
          <w:sz w:val="24"/>
          <w:szCs w:val="24"/>
          <w:lang w:val="hy-AM"/>
        </w:rPr>
      </w:pPr>
      <w:r w:rsidRPr="00996FA6">
        <w:rPr>
          <w:rFonts w:ascii="GHEA Grapalat" w:eastAsia="GHEA Grapalat" w:hAnsi="GHEA Grapalat" w:cs="GHEA Grapalat"/>
          <w:b/>
          <w:sz w:val="24"/>
          <w:szCs w:val="24"/>
          <w:lang w:val="hy-AM"/>
        </w:rPr>
        <w:t>2. Առաջարկվող կարգավորման բնույթը.</w:t>
      </w:r>
      <w:r w:rsidRPr="00996FA6">
        <w:rPr>
          <w:rFonts w:ascii="Calibri" w:eastAsia="Calibri" w:hAnsi="Calibri" w:cs="Calibri"/>
          <w:b/>
          <w:sz w:val="24"/>
          <w:szCs w:val="24"/>
          <w:lang w:val="hy-AM"/>
        </w:rPr>
        <w:t> </w:t>
      </w:r>
    </w:p>
    <w:p w:rsidR="00996FA6" w:rsidRPr="00996FA6" w:rsidRDefault="00996FA6" w:rsidP="00996FA6">
      <w:pPr>
        <w:spacing w:after="0" w:line="360" w:lineRule="auto"/>
        <w:ind w:firstLine="720"/>
        <w:jc w:val="both"/>
        <w:rPr>
          <w:rFonts w:ascii="GHEA Grapalat" w:eastAsia="GHEA Grapalat" w:hAnsi="GHEA Grapalat" w:cs="GHEA Grapalat"/>
          <w:sz w:val="24"/>
          <w:szCs w:val="24"/>
          <w:lang w:val="hy-AM"/>
        </w:rPr>
      </w:pPr>
      <w:r w:rsidRPr="00996FA6">
        <w:rPr>
          <w:rFonts w:ascii="GHEA Grapalat" w:eastAsia="GHEA Grapalat" w:hAnsi="GHEA Grapalat" w:cs="GHEA Grapalat"/>
          <w:sz w:val="24"/>
          <w:szCs w:val="24"/>
          <w:lang w:val="hy-AM"/>
        </w:rPr>
        <w:lastRenderedPageBreak/>
        <w:t xml:space="preserve">Որոշման նախագծով առաջարկվում է Հայաստանի Հանրապետության կառավարության 2020 թվականի հունվարի 30-ի «Հայտարարատու պաշտոնատար անձի գույքի, եկամուտների, ծախսերի և շահերի, նրա ընտանիքի անդամների գույքի եկամուտների և ծախսերի տարեկան հայտարարագրի, հայտարարատու պաշտոնատար անձի՝ պաշտոնեական պարտականությունները ստանձնելու օրվա դրությամբ առկա գույքի, եկամուտների և շահերի, նրա ընտանիքի անդամների գույքի և եկամուտների, հայտարարատու պաշտոնատար անձի՝ պաշտոնեական պարտականությունները դադարեցնելու օրվա դրությամբ առկա գույքի, եկամուտների, ծախսերի և շահերի, նրա ընտանիքի անդամների գույքի, եկամուտների և ծախսերի հայտարարագրի օրինակելի ձևերը սահմանելու մասին» N 102-Ն որոշմամբ (այսուհետ՝ Որոշում) սահմանված հավելվածներով սահմանված տարեկան հայտարարագրերի ձևանմուշներում կատարել լրացումներ, որոնք վերաբերում են կրիպտոակտիվներին։ Միաժամանակ, նկատի ունենալով այն հանգամանքը, որ գործող կարգավորումներով կրիպտոակտիվները ներառված են դրամական միջոցների կազմում, իսկ օրենսդրական փոփոխություններից բխում է, որ դրանք այլևս չեն դիտարկվում որպես դրամական միջոցներ, ուստի նոր բաժին է ավելացվել համապատասխան ձևանմուշներում։ </w:t>
      </w:r>
    </w:p>
    <w:p w:rsidR="00996FA6" w:rsidRPr="00996FA6" w:rsidRDefault="00996FA6" w:rsidP="00996FA6">
      <w:pPr>
        <w:spacing w:after="0" w:line="360" w:lineRule="auto"/>
        <w:ind w:firstLine="720"/>
        <w:jc w:val="both"/>
        <w:rPr>
          <w:rFonts w:ascii="GHEA Grapalat" w:eastAsia="GHEA Grapalat" w:hAnsi="GHEA Grapalat" w:cs="GHEA Grapalat"/>
          <w:sz w:val="24"/>
          <w:szCs w:val="24"/>
          <w:lang w:val="hy-AM"/>
        </w:rPr>
      </w:pPr>
      <w:r w:rsidRPr="00996FA6">
        <w:rPr>
          <w:rFonts w:ascii="GHEA Grapalat" w:eastAsia="GHEA Grapalat" w:hAnsi="GHEA Grapalat" w:cs="GHEA Grapalat"/>
          <w:sz w:val="24"/>
          <w:szCs w:val="24"/>
          <w:lang w:val="hy-AM"/>
        </w:rPr>
        <w:t>Միաժամանակ, Հայաստանի Հանրապետության կառավարության 2020 թվականի հունվարի 30-ի N 102-Ն որոշման մեջ փոփոխություններ և լրացումներ կատարելու մասին 2025 թվականի մայիսի 29-ի N 666-Ն որոշման համաձայն՝ փոփոխություններ և լրացումներ են կատարվել հայտարարագրերի ձևանմուշներում</w:t>
      </w:r>
      <w:r w:rsidR="003F5C67">
        <w:rPr>
          <w:rFonts w:ascii="GHEA Grapalat" w:eastAsia="GHEA Grapalat" w:hAnsi="GHEA Grapalat" w:cs="GHEA Grapalat"/>
          <w:sz w:val="24"/>
          <w:szCs w:val="24"/>
          <w:lang w:val="hy-AM"/>
        </w:rPr>
        <w:t>։</w:t>
      </w:r>
      <w:r w:rsidRPr="00996FA6">
        <w:rPr>
          <w:rFonts w:ascii="GHEA Grapalat" w:eastAsia="GHEA Grapalat" w:hAnsi="GHEA Grapalat" w:cs="GHEA Grapalat"/>
          <w:sz w:val="24"/>
          <w:szCs w:val="24"/>
          <w:lang w:val="hy-AM"/>
        </w:rPr>
        <w:t xml:space="preserve"> Նկատի ունենալով այն հանգամանքը, որ կատարված փոփոխությունները կարող են ստեղծել տարընկալում, որ արտերկրում գտնվող գույքի հայտարարագրման պահանջը պարտադիր է միայն անշարժ գույքի և տրանսպորտային միջոցի համար, ուստի դրանից խուսափելու համար առաջարկվում է ամբողջ բաժնի վերնագրերում ևս կատարել այդ փոփոխությունները։ </w:t>
      </w:r>
    </w:p>
    <w:p w:rsidR="00996FA6" w:rsidRPr="00996FA6" w:rsidRDefault="00996FA6" w:rsidP="00996FA6">
      <w:pPr>
        <w:shd w:val="clear" w:color="auto" w:fill="FFFFFF"/>
        <w:autoSpaceDE w:val="0"/>
        <w:autoSpaceDN w:val="0"/>
        <w:adjustRightInd w:val="0"/>
        <w:spacing w:after="0" w:line="360" w:lineRule="auto"/>
        <w:ind w:firstLine="567"/>
        <w:jc w:val="both"/>
        <w:rPr>
          <w:rFonts w:ascii="GHEA Grapalat" w:eastAsia="Calibri" w:hAnsi="GHEA Grapalat" w:cs="Calibri"/>
          <w:b/>
          <w:sz w:val="24"/>
          <w:szCs w:val="24"/>
          <w:lang w:val="hy-AM"/>
        </w:rPr>
      </w:pPr>
    </w:p>
    <w:p w:rsidR="00996FA6" w:rsidRPr="00996FA6" w:rsidRDefault="00996FA6" w:rsidP="00996FA6">
      <w:pPr>
        <w:shd w:val="clear" w:color="auto" w:fill="FFFFFF"/>
        <w:autoSpaceDE w:val="0"/>
        <w:autoSpaceDN w:val="0"/>
        <w:adjustRightInd w:val="0"/>
        <w:spacing w:after="0" w:line="360" w:lineRule="auto"/>
        <w:ind w:firstLine="567"/>
        <w:jc w:val="both"/>
        <w:rPr>
          <w:rFonts w:ascii="GHEA Grapalat" w:eastAsia="Calibri" w:hAnsi="GHEA Grapalat" w:cs="Calibri"/>
          <w:b/>
          <w:sz w:val="24"/>
          <w:szCs w:val="24"/>
          <w:lang w:val="hy-AM"/>
        </w:rPr>
      </w:pPr>
      <w:r w:rsidRPr="00996FA6">
        <w:rPr>
          <w:rFonts w:ascii="GHEA Grapalat" w:eastAsia="Calibri" w:hAnsi="GHEA Grapalat" w:cs="Calibri"/>
          <w:b/>
          <w:sz w:val="24"/>
          <w:szCs w:val="24"/>
          <w:lang w:val="hy-AM"/>
        </w:rPr>
        <w:lastRenderedPageBreak/>
        <w:t>3. Կապը ռազմավարական փաստաթղթերի հետ</w:t>
      </w:r>
      <w:r w:rsidRPr="00996FA6">
        <w:rPr>
          <w:rFonts w:ascii="Cambria Math" w:eastAsia="Calibri" w:hAnsi="Cambria Math" w:cs="Cambria Math"/>
          <w:b/>
          <w:sz w:val="24"/>
          <w:szCs w:val="24"/>
          <w:lang w:val="hy-AM"/>
        </w:rPr>
        <w:t>․</w:t>
      </w:r>
      <w:r w:rsidRPr="00996FA6">
        <w:rPr>
          <w:rFonts w:ascii="GHEA Grapalat" w:eastAsia="Calibri" w:hAnsi="GHEA Grapalat" w:cs="Calibri"/>
          <w:b/>
          <w:sz w:val="24"/>
          <w:szCs w:val="24"/>
          <w:lang w:val="hy-AM"/>
        </w:rPr>
        <w:t xml:space="preserve"> </w:t>
      </w:r>
    </w:p>
    <w:p w:rsidR="00996FA6" w:rsidRPr="00996FA6" w:rsidRDefault="00996FA6" w:rsidP="00996FA6">
      <w:pPr>
        <w:spacing w:after="0" w:line="360" w:lineRule="auto"/>
        <w:ind w:firstLine="567"/>
        <w:jc w:val="both"/>
        <w:rPr>
          <w:rFonts w:ascii="GHEA Grapalat" w:eastAsia="GHEA Grapalat" w:hAnsi="GHEA Grapalat" w:cs="GHEA Grapalat"/>
          <w:sz w:val="24"/>
          <w:szCs w:val="24"/>
          <w:lang w:val="hy-AM"/>
        </w:rPr>
      </w:pPr>
      <w:r w:rsidRPr="00996FA6">
        <w:rPr>
          <w:rFonts w:ascii="GHEA Grapalat" w:eastAsia="GHEA Grapalat" w:hAnsi="GHEA Grapalat" w:cs="GHEA Grapalat"/>
          <w:sz w:val="24"/>
          <w:szCs w:val="24"/>
          <w:lang w:val="hy-AM"/>
        </w:rPr>
        <w:t>Նախագիծը չի բխում ռազմավարական փաստաթղթերից և նպատակ է հետապնդում</w:t>
      </w:r>
      <w:r w:rsidR="003F5C67">
        <w:rPr>
          <w:rFonts w:ascii="GHEA Grapalat" w:eastAsia="GHEA Grapalat" w:hAnsi="GHEA Grapalat" w:cs="GHEA Grapalat"/>
          <w:sz w:val="24"/>
          <w:szCs w:val="24"/>
          <w:lang w:val="hy-AM"/>
        </w:rPr>
        <w:t xml:space="preserve"> </w:t>
      </w:r>
      <w:r w:rsidRPr="00996FA6">
        <w:rPr>
          <w:rFonts w:ascii="GHEA Grapalat" w:eastAsia="GHEA Grapalat" w:hAnsi="GHEA Grapalat" w:cs="GHEA Grapalat"/>
          <w:sz w:val="24"/>
          <w:szCs w:val="24"/>
          <w:lang w:val="hy-AM"/>
        </w:rPr>
        <w:t xml:space="preserve">ապահովել </w:t>
      </w:r>
      <w:r w:rsidRPr="00996FA6">
        <w:rPr>
          <w:rFonts w:ascii="GHEA Grapalat" w:eastAsia="GHEA Grapalat" w:hAnsi="GHEA Grapalat" w:cs="GHEA Grapalat"/>
          <w:sz w:val="24"/>
          <w:szCs w:val="24"/>
          <w:lang w:val="hy"/>
        </w:rPr>
        <w:t>««Հանրային ծառայության մասին» օրենքում լրացումներ և փոփոխություն կատարելու մասին</w:t>
      </w:r>
      <w:r w:rsidR="003F5C67">
        <w:rPr>
          <w:rFonts w:ascii="GHEA Grapalat" w:eastAsia="GHEA Grapalat" w:hAnsi="GHEA Grapalat" w:cs="GHEA Grapalat"/>
          <w:sz w:val="24"/>
          <w:szCs w:val="24"/>
          <w:lang w:val="hy"/>
        </w:rPr>
        <w:t>»</w:t>
      </w:r>
      <w:r w:rsidRPr="00996FA6">
        <w:rPr>
          <w:rFonts w:ascii="GHEA Grapalat" w:eastAsia="GHEA Grapalat" w:hAnsi="GHEA Grapalat" w:cs="GHEA Grapalat"/>
          <w:sz w:val="24"/>
          <w:szCs w:val="24"/>
          <w:lang w:val="hy"/>
        </w:rPr>
        <w:t xml:space="preserve"> 2025 թվականի մայիսի 29-ին ընդունված ՀՕ-174-Ն օրենքի</w:t>
      </w:r>
      <w:r w:rsidRPr="00996FA6">
        <w:rPr>
          <w:rFonts w:ascii="GHEA Grapalat" w:eastAsia="GHEA Grapalat" w:hAnsi="GHEA Grapalat" w:cs="GHEA Grapalat"/>
          <w:sz w:val="24"/>
          <w:szCs w:val="24"/>
          <w:lang w:val="hy-AM"/>
        </w:rPr>
        <w:t xml:space="preserve"> դրույթների կիրարկումը։ </w:t>
      </w:r>
    </w:p>
    <w:p w:rsidR="00996FA6" w:rsidRPr="00996FA6" w:rsidRDefault="00996FA6" w:rsidP="00996FA6">
      <w:pPr>
        <w:spacing w:after="0" w:line="360" w:lineRule="auto"/>
        <w:ind w:firstLine="709"/>
        <w:jc w:val="both"/>
        <w:rPr>
          <w:rFonts w:ascii="GHEA Grapalat" w:eastAsia="GHEA Grapalat" w:hAnsi="GHEA Grapalat" w:cs="GHEA Grapalat"/>
          <w:sz w:val="24"/>
          <w:szCs w:val="24"/>
          <w:lang w:val="hy-AM"/>
        </w:rPr>
      </w:pPr>
    </w:p>
    <w:p w:rsidR="00996FA6" w:rsidRPr="00996FA6" w:rsidRDefault="00996FA6" w:rsidP="00996FA6">
      <w:pPr>
        <w:spacing w:line="240" w:lineRule="auto"/>
        <w:ind w:firstLine="720"/>
        <w:rPr>
          <w:rFonts w:ascii="GHEA Grapalat" w:eastAsia="GHEA Grapalat" w:hAnsi="GHEA Grapalat" w:cs="GHEA Grapalat"/>
          <w:sz w:val="24"/>
          <w:szCs w:val="24"/>
          <w:lang w:val="hy-AM"/>
        </w:rPr>
      </w:pPr>
      <w:r w:rsidRPr="00996FA6">
        <w:rPr>
          <w:rFonts w:ascii="GHEA Grapalat" w:eastAsia="GHEA Grapalat" w:hAnsi="GHEA Grapalat" w:cs="GHEA Grapalat"/>
          <w:b/>
          <w:sz w:val="24"/>
          <w:szCs w:val="24"/>
          <w:lang w:val="hy-AM"/>
        </w:rPr>
        <w:t>4. Նախագծի մշակման գործընթացում ներգրավված ինստիտուտները, անձինք.</w:t>
      </w:r>
    </w:p>
    <w:p w:rsidR="00996FA6" w:rsidRPr="00996FA6" w:rsidRDefault="00996FA6" w:rsidP="00996FA6">
      <w:pPr>
        <w:spacing w:line="240" w:lineRule="auto"/>
        <w:ind w:firstLine="720"/>
        <w:jc w:val="both"/>
        <w:rPr>
          <w:rFonts w:ascii="GHEA Grapalat" w:eastAsia="GHEA Grapalat" w:hAnsi="GHEA Grapalat" w:cs="GHEA Grapalat"/>
          <w:sz w:val="24"/>
          <w:szCs w:val="24"/>
          <w:lang w:val="hy-AM"/>
        </w:rPr>
      </w:pPr>
      <w:r w:rsidRPr="00996FA6">
        <w:rPr>
          <w:rFonts w:ascii="GHEA Grapalat" w:eastAsia="GHEA Grapalat" w:hAnsi="GHEA Grapalat" w:cs="GHEA Grapalat"/>
          <w:sz w:val="24"/>
          <w:szCs w:val="24"/>
          <w:lang w:val="hy-AM"/>
        </w:rPr>
        <w:t>Նախագիծը մշակվել է Կոռուպցիայի կանխարգելման հանձնաժողովի կողմից:</w:t>
      </w:r>
    </w:p>
    <w:p w:rsidR="00996FA6" w:rsidRPr="00996FA6" w:rsidRDefault="00996FA6" w:rsidP="00996FA6">
      <w:pPr>
        <w:spacing w:line="240" w:lineRule="auto"/>
        <w:ind w:firstLine="720"/>
        <w:jc w:val="both"/>
        <w:rPr>
          <w:rFonts w:ascii="GHEA Grapalat" w:eastAsia="GHEA Grapalat" w:hAnsi="GHEA Grapalat" w:cs="GHEA Grapalat"/>
          <w:sz w:val="24"/>
          <w:szCs w:val="24"/>
          <w:lang w:val="hy-AM"/>
        </w:rPr>
      </w:pPr>
    </w:p>
    <w:p w:rsidR="00996FA6" w:rsidRPr="00996FA6" w:rsidRDefault="00996FA6" w:rsidP="00996FA6">
      <w:pPr>
        <w:spacing w:after="0" w:line="360" w:lineRule="auto"/>
        <w:ind w:firstLine="720"/>
        <w:rPr>
          <w:rFonts w:ascii="GHEA Grapalat" w:eastAsia="GHEA Grapalat" w:hAnsi="GHEA Grapalat" w:cs="GHEA Grapalat"/>
          <w:b/>
          <w:sz w:val="24"/>
          <w:szCs w:val="24"/>
          <w:lang w:val="hy-AM"/>
        </w:rPr>
      </w:pPr>
      <w:r w:rsidRPr="00996FA6">
        <w:rPr>
          <w:rFonts w:ascii="GHEA Grapalat" w:eastAsia="GHEA Grapalat" w:hAnsi="GHEA Grapalat" w:cs="GHEA Grapalat"/>
          <w:b/>
          <w:sz w:val="24"/>
          <w:szCs w:val="24"/>
          <w:lang w:val="hy-AM"/>
        </w:rPr>
        <w:t>5. Պետական կամ տեղական ինքնակառավարման մարմնի բյուջեում եկամուտների և ծախսերի էական</w:t>
      </w:r>
    </w:p>
    <w:p w:rsidR="00996FA6" w:rsidRPr="00996FA6" w:rsidRDefault="00996FA6" w:rsidP="00996FA6">
      <w:pPr>
        <w:spacing w:after="0" w:line="360" w:lineRule="auto"/>
        <w:ind w:left="-720" w:firstLine="720"/>
        <w:rPr>
          <w:rFonts w:ascii="GHEA Grapalat" w:eastAsia="GHEA Grapalat" w:hAnsi="GHEA Grapalat" w:cs="GHEA Grapalat"/>
          <w:b/>
          <w:sz w:val="24"/>
          <w:szCs w:val="24"/>
          <w:lang w:val="hy-AM"/>
        </w:rPr>
      </w:pPr>
      <w:r w:rsidRPr="00996FA6">
        <w:rPr>
          <w:rFonts w:ascii="GHEA Grapalat" w:eastAsia="GHEA Grapalat" w:hAnsi="GHEA Grapalat" w:cs="GHEA Grapalat"/>
          <w:b/>
          <w:sz w:val="24"/>
          <w:szCs w:val="24"/>
          <w:lang w:val="hy-AM"/>
        </w:rPr>
        <w:t>ավելացման կամ նվազեցման վերաբերյալ.</w:t>
      </w:r>
    </w:p>
    <w:p w:rsidR="00996FA6" w:rsidRPr="00996FA6" w:rsidRDefault="00996FA6" w:rsidP="00996FA6">
      <w:pPr>
        <w:spacing w:line="360" w:lineRule="auto"/>
        <w:ind w:firstLine="720"/>
        <w:rPr>
          <w:rFonts w:ascii="GHEA Grapalat" w:eastAsia="GHEA Grapalat" w:hAnsi="GHEA Grapalat" w:cs="GHEA Grapalat"/>
          <w:sz w:val="24"/>
          <w:szCs w:val="24"/>
          <w:lang w:val="hy-AM"/>
        </w:rPr>
      </w:pPr>
      <w:r w:rsidRPr="00996FA6">
        <w:rPr>
          <w:rFonts w:ascii="GHEA Grapalat" w:eastAsia="GHEA Grapalat" w:hAnsi="GHEA Grapalat" w:cs="GHEA Grapalat"/>
          <w:sz w:val="24"/>
          <w:szCs w:val="24"/>
          <w:lang w:val="hy-AM"/>
        </w:rPr>
        <w:t>Նախագծի ընդունման կապակցությամբ պետական և տեղական ինքնակառավարման մարմնի բյուջեում եկամուտների և ծախսերի ավելացում կամ նվազեցում չի նախատեսվում:</w:t>
      </w:r>
    </w:p>
    <w:p w:rsidR="00996FA6" w:rsidRPr="00996FA6" w:rsidRDefault="00996FA6" w:rsidP="00996FA6">
      <w:pPr>
        <w:spacing w:line="240" w:lineRule="auto"/>
        <w:ind w:firstLine="720"/>
        <w:rPr>
          <w:rFonts w:ascii="GHEA Grapalat" w:eastAsia="GHEA Grapalat" w:hAnsi="GHEA Grapalat" w:cs="GHEA Grapalat"/>
          <w:color w:val="FF0000"/>
          <w:sz w:val="24"/>
          <w:szCs w:val="24"/>
          <w:lang w:val="hy-AM"/>
        </w:rPr>
      </w:pPr>
    </w:p>
    <w:p w:rsidR="00996FA6" w:rsidRPr="00996FA6" w:rsidRDefault="00996FA6" w:rsidP="00996FA6">
      <w:pPr>
        <w:spacing w:line="240" w:lineRule="auto"/>
        <w:ind w:firstLine="720"/>
        <w:rPr>
          <w:rFonts w:ascii="GHEA Grapalat" w:eastAsia="GHEA Grapalat" w:hAnsi="GHEA Grapalat" w:cs="GHEA Grapalat"/>
          <w:b/>
          <w:sz w:val="24"/>
          <w:szCs w:val="24"/>
          <w:lang w:val="hy-AM"/>
        </w:rPr>
      </w:pPr>
      <w:r w:rsidRPr="00996FA6">
        <w:rPr>
          <w:rFonts w:ascii="GHEA Grapalat" w:eastAsia="GHEA Grapalat" w:hAnsi="GHEA Grapalat" w:cs="GHEA Grapalat"/>
          <w:b/>
          <w:sz w:val="24"/>
          <w:szCs w:val="24"/>
          <w:lang w:val="hy-AM"/>
        </w:rPr>
        <w:t>6. Ակնկալվող արդյունքը.</w:t>
      </w:r>
    </w:p>
    <w:p w:rsidR="00996FA6" w:rsidRPr="00996FA6" w:rsidRDefault="00996FA6" w:rsidP="00996FA6">
      <w:pPr>
        <w:spacing w:after="0" w:line="360" w:lineRule="auto"/>
        <w:ind w:firstLine="720"/>
        <w:jc w:val="both"/>
        <w:rPr>
          <w:rFonts w:ascii="GHEA Grapalat" w:eastAsia="GHEA Grapalat" w:hAnsi="GHEA Grapalat" w:cs="GHEA Grapalat"/>
          <w:color w:val="FF0000"/>
          <w:sz w:val="24"/>
          <w:szCs w:val="24"/>
          <w:lang w:val="hy-AM"/>
        </w:rPr>
      </w:pPr>
      <w:r w:rsidRPr="00996FA6">
        <w:rPr>
          <w:rFonts w:ascii="GHEA Grapalat" w:eastAsia="GHEA Grapalat" w:hAnsi="GHEA Grapalat" w:cs="GHEA Grapalat"/>
          <w:sz w:val="24"/>
          <w:szCs w:val="24"/>
          <w:lang w:val="hy-AM"/>
        </w:rPr>
        <w:t>Առաջարկվող փոփոխությունները նպատակ ունեն ապահովել «Հանրային ծառայության մասին» օրենքում կատարված փոփոխությունների և լրացումների կիրարկումը, համապատասխան հայտարարագրի ձևանմուշների հաստատման միջոցով հնարավորություն ստեղծել հայտարարատուների համար օրենքով պահանջվող տվյալները հայտարարագրելու համար։</w:t>
      </w:r>
    </w:p>
    <w:p w:rsidR="00751402" w:rsidRPr="00996FA6" w:rsidRDefault="00A82C9B">
      <w:pPr>
        <w:rPr>
          <w:rFonts w:ascii="Sylfaen" w:hAnsi="Sylfaen"/>
          <w:lang w:val="hy-AM"/>
        </w:rPr>
      </w:pPr>
    </w:p>
    <w:sectPr w:rsidR="00751402" w:rsidRPr="00996FA6">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A6"/>
    <w:rsid w:val="003F5C67"/>
    <w:rsid w:val="00996FA6"/>
    <w:rsid w:val="00A71F48"/>
    <w:rsid w:val="00A82C9B"/>
    <w:rsid w:val="00E2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1CB1"/>
  <w15:chartTrackingRefBased/>
  <w15:docId w15:val="{41C60AC9-E500-4655-8610-D0A1D755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Paytyan</dc:creator>
  <cp:keywords/>
  <dc:description/>
  <cp:lastModifiedBy>Lilit Paytyan</cp:lastModifiedBy>
  <cp:revision>1</cp:revision>
  <dcterms:created xsi:type="dcterms:W3CDTF">2025-10-06T05:53:00Z</dcterms:created>
  <dcterms:modified xsi:type="dcterms:W3CDTF">2025-10-06T06:51:00Z</dcterms:modified>
</cp:coreProperties>
</file>