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36FB" w14:textId="77777777" w:rsidR="009E67D6" w:rsidRPr="00F621A4" w:rsidRDefault="009E67D6" w:rsidP="002E6A5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621A4">
        <w:rPr>
          <w:rFonts w:ascii="GHEA Grapalat" w:hAnsi="GHEA Grapalat"/>
          <w:b/>
          <w:sz w:val="24"/>
          <w:szCs w:val="24"/>
        </w:rPr>
        <w:t>ՀԻՄՆԱՎՈՐՈՒՄ</w:t>
      </w:r>
    </w:p>
    <w:p w14:paraId="3900EEA5" w14:textId="32BCEEE0" w:rsidR="00A464DA" w:rsidRDefault="0074562B" w:rsidP="002E6A5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687C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դատական օրենսգիրք» սահմանադրական օրենքում </w:t>
      </w:r>
      <w:r w:rsidR="007E4EAE">
        <w:rPr>
          <w:rFonts w:ascii="GHEA Grapalat" w:hAnsi="GHEA Grapalat"/>
          <w:b/>
          <w:sz w:val="24"/>
          <w:szCs w:val="24"/>
          <w:lang w:val="hy-AM"/>
        </w:rPr>
        <w:t xml:space="preserve">փոփոխություն և </w:t>
      </w:r>
      <w:r w:rsidR="0060687C">
        <w:rPr>
          <w:rFonts w:ascii="GHEA Grapalat" w:hAnsi="GHEA Grapalat"/>
          <w:b/>
          <w:sz w:val="24"/>
          <w:szCs w:val="24"/>
          <w:lang w:val="hy-AM"/>
        </w:rPr>
        <w:t xml:space="preserve">լրացում կատարելու մասին» սահմանադրական օրենքի </w:t>
      </w:r>
      <w:r w:rsidR="001A1974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="0060687C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1A1974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14:paraId="0D236144" w14:textId="77777777" w:rsidR="00A464DA" w:rsidRPr="00F621A4" w:rsidRDefault="00A464DA" w:rsidP="002E6A59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724065A5" w14:textId="6FF281CA" w:rsidR="007A4AF5" w:rsidRPr="007A4AF5" w:rsidRDefault="007735CA" w:rsidP="002E6A59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621A4">
        <w:rPr>
          <w:rFonts w:ascii="GHEA Grapalat" w:hAnsi="GHEA Grapalat" w:cs="Sylfaen"/>
          <w:b/>
          <w:sz w:val="24"/>
          <w:szCs w:val="24"/>
          <w:lang w:val="hy-AM"/>
        </w:rPr>
        <w:t xml:space="preserve">Ընթացիկ իրավիճակը և </w:t>
      </w:r>
      <w:r w:rsidR="00456FFB"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="0060687C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456FFB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F621A4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 անհրաժեշտությունը</w:t>
      </w:r>
      <w:r w:rsidR="00453E98">
        <w:rPr>
          <w:rFonts w:ascii="Cambria Math" w:hAnsi="Cambria Math"/>
          <w:sz w:val="24"/>
          <w:szCs w:val="24"/>
          <w:lang w:val="hy-AM"/>
        </w:rPr>
        <w:t>․</w:t>
      </w:r>
    </w:p>
    <w:p w14:paraId="721AC3D9" w14:textId="1524CD96" w:rsidR="0060687C" w:rsidRPr="00453E98" w:rsidRDefault="0060687C" w:rsidP="002E6A59">
      <w:pPr>
        <w:tabs>
          <w:tab w:val="left" w:pos="990"/>
          <w:tab w:val="left" w:pos="126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3E98">
        <w:rPr>
          <w:rFonts w:ascii="GHEA Grapalat" w:hAnsi="GHEA Grapalat"/>
          <w:sz w:val="24"/>
          <w:szCs w:val="24"/>
          <w:lang w:val="hy-AM"/>
        </w:rPr>
        <w:t xml:space="preserve">Ողջամիտ ժամկետում գործի քննության իրավունքն ամրագրվել է ՀՀ Սահմանադրության 63-րդ հոդվածով, ինչպես նաև «Դատական օրենսգիրք» սահմանադրական օրենքի (այսուհետ՝ Օրենք) 9-րդ հոդվածով։ Միաժամանակ, ողջամիտ ժամկետում գործի քննության ապահովումը ենթադրում է օրենսդրական, կազմակերպական և մարդկային ռեսուրսների կառավարմանն ուղղված համալիր միջոցառումների ձեռնարկում։ </w:t>
      </w:r>
    </w:p>
    <w:p w14:paraId="6BFE94E0" w14:textId="65CCB000" w:rsidR="0060687C" w:rsidRPr="00453E98" w:rsidRDefault="0060687C" w:rsidP="002E6A59">
      <w:pPr>
        <w:tabs>
          <w:tab w:val="left" w:pos="990"/>
          <w:tab w:val="left" w:pos="126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3E98">
        <w:rPr>
          <w:rFonts w:ascii="GHEA Grapalat" w:hAnsi="GHEA Grapalat"/>
          <w:sz w:val="24"/>
          <w:szCs w:val="24"/>
          <w:lang w:val="hy-AM"/>
        </w:rPr>
        <w:t xml:space="preserve">Համաշխարհային բանկի՝ 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«</w:t>
      </w:r>
      <w:r w:rsidRPr="00453E98">
        <w:rPr>
          <w:rFonts w:ascii="GHEA Grapalat" w:hAnsi="GHEA Grapalat"/>
          <w:sz w:val="24"/>
          <w:szCs w:val="24"/>
          <w:lang w:val="hy-AM"/>
        </w:rPr>
        <w:t>Հայաստան. Աջակցություն արդարադատության ոլորտի բարեփոխումներին. Հայացք ապագային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»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ուսումնասիրության</w:t>
      </w:r>
      <w:r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(այսուհետ՝ Ուսումնասիրություն) համաձայն՝ վերջին ժամանակաշրջանում Հայաստանում դատարանները գործերի ծանրաբեռնվածության զգալի աճ են գրանցում, և համակարգը պայքարում է պահանջարկը բավարարելու ուղղությամբ։ Ուսումնասիրության համաձայն՝ չնայած այն հանգամանքին, որ գործերի լուծումը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հետևողականորեն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աճել է, 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 xml:space="preserve">քիչ դատարանների է հաջողվել հասնել </w:t>
      </w:r>
      <w:r w:rsidRPr="00453E98">
        <w:rPr>
          <w:rFonts w:ascii="GHEA Grapalat" w:hAnsi="GHEA Grapalat"/>
          <w:sz w:val="24"/>
          <w:szCs w:val="24"/>
          <w:lang w:val="hy-AM"/>
        </w:rPr>
        <w:t>կատարման ցանկալի ցուցանիշներին։ Քանի որ գործերի ծավալները մեծանում են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,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և կատարման տոկոսները (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միջինում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>) 100-ից ցածր են, Հայաստանում դատարանները բախվում են իրենց ընդհանուր առկախ գործերի քանակի ավելացմանը կամ 35%-ով աճին։ Ըստ այդմ, Ուսումնասիրությամբ արձանագրվել է, որ դատարանները բախվում են քննարկման սպասող գործերի ընդհ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ա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նուր հարաճուն քանակի խնդրին։ </w:t>
      </w:r>
    </w:p>
    <w:p w14:paraId="371705E2" w14:textId="01E9367E" w:rsidR="0060687C" w:rsidRPr="00453E98" w:rsidRDefault="0060687C" w:rsidP="002E6A59">
      <w:pPr>
        <w:tabs>
          <w:tab w:val="left" w:pos="990"/>
          <w:tab w:val="left" w:pos="126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3E98">
        <w:rPr>
          <w:rFonts w:ascii="GHEA Grapalat" w:hAnsi="GHEA Grapalat"/>
          <w:sz w:val="24"/>
          <w:szCs w:val="24"/>
          <w:lang w:val="hy-AM"/>
        </w:rPr>
        <w:t>Այս փաստը հաստատվում է նաև 2025 թվականի դրությամբ քննվող գործերի վիճակագրության ուսումնասիրմամբ։ Այսպես, Դատական դեպարտամենտի հրապարակած տվյալների համաձայն՝ 2025 թվականի 1-ին կիսամյակի ընթացքում առաջին ատյանի դատարաններում ստացվել են 22122 գործեր։ Նույն ժամանակահատվածում ավարտվել է 17725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lastRenderedPageBreak/>
        <w:t>գործ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։ Ըստ այդմ, 2025 թվականի 1-ին կիսամյակի ընթացքում 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 xml:space="preserve">առաջին ատյանի դատարանների 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կատարման ցուցանիշը կազմել է մոտ 80,1%։ </w:t>
      </w:r>
    </w:p>
    <w:p w14:paraId="20A24518" w14:textId="5B200B5D" w:rsidR="0060687C" w:rsidRPr="00453E98" w:rsidRDefault="0060687C" w:rsidP="002E6A59">
      <w:pPr>
        <w:tabs>
          <w:tab w:val="left" w:pos="990"/>
          <w:tab w:val="left" w:pos="126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3E98">
        <w:rPr>
          <w:rFonts w:ascii="GHEA Grapalat" w:hAnsi="GHEA Grapalat"/>
          <w:sz w:val="24"/>
          <w:szCs w:val="24"/>
          <w:lang w:val="hy-AM"/>
        </w:rPr>
        <w:t>Միաժամանակ, նման կատարման ցուցանիշը պայմանավորված է տարբեր հանգամանքներով, այդ թվում՝ դատարաններում գործերի քննության արդյունավետությա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ն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և ժամանակի կառավարմա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 xml:space="preserve">ն հետ կապված </w:t>
      </w:r>
      <w:proofErr w:type="spellStart"/>
      <w:r w:rsidR="002452BE" w:rsidRPr="00453E98">
        <w:rPr>
          <w:rFonts w:ascii="GHEA Grapalat" w:hAnsi="GHEA Grapalat"/>
          <w:sz w:val="24"/>
          <w:szCs w:val="24"/>
          <w:lang w:val="hy-AM"/>
        </w:rPr>
        <w:t>մարտահրավերներով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>։ Այսպես, Ուսումնասիրության համաձայն՝ այն դատարանները, որոնք ցույց են տալիս յուրաքանչյուր գործող դատավորի ցածր արտադրողականությ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ան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մակարդակ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,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մեկ դատավորի հաշվով ավելի քիչ գործեր են ստանում, մինչդեռ այն դատարանները, որոնք մեկ դատավորի հաշվով ավելի շատ գործեր են ստանում, նաև ավելի շատ գործեր են ավարտում։ Սա ցույց է տալիս, որ առկա դատավորների գործադրած ջանքերը համաչափ են պահանջներին (այսինքն՝ դատավորներն աշխատում են ավելի քրտնաջան, ավելի երկար կամ ավելի արդյունավետ՝ ըստ անհրաժեշտության)։ </w:t>
      </w:r>
    </w:p>
    <w:p w14:paraId="0B79F5A7" w14:textId="319BF293" w:rsidR="0060687C" w:rsidRPr="00453E98" w:rsidRDefault="0060687C" w:rsidP="002E6A59">
      <w:pPr>
        <w:tabs>
          <w:tab w:val="left" w:pos="990"/>
          <w:tab w:val="left" w:pos="126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Վերոգրյալից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ելնելով՝ կարծում ենք, որ անհրաժեշտ է ձեռնարկել լրացուցիչ ջանքեր՝ ուղղված ինչպես դատարաններում ժամանակի կառավարման արդյունավետության բարձրացմանը, այնպես էլ դատավորների ամենօրյա զբաղվածության առնչությամբ թափանցիկության բարձրացմանը՝ նպաստելով հանրային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հաշվետվողականությանն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ու ավելի արդյունավետ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վերահսկմանը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00204C4" w14:textId="10E9A753" w:rsidR="0060687C" w:rsidRPr="00453E98" w:rsidRDefault="0060687C" w:rsidP="002E6A59">
      <w:pPr>
        <w:tabs>
          <w:tab w:val="left" w:pos="990"/>
          <w:tab w:val="left" w:pos="126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3E98">
        <w:rPr>
          <w:rFonts w:ascii="GHEA Grapalat" w:hAnsi="GHEA Grapalat"/>
          <w:sz w:val="24"/>
          <w:szCs w:val="24"/>
          <w:lang w:val="hy-AM"/>
        </w:rPr>
        <w:t xml:space="preserve">Ուսումնասիրության համաձայն՝ քաղաքացիները և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տնտեսվարողների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ներկայացուցիչները կարծում են, որ արդարադատության համակարգին վերաբերող տեղեկատվությունը մատչելի չէ։ Ե</w:t>
      </w:r>
      <w:r>
        <w:rPr>
          <w:rFonts w:ascii="GHEA Grapalat" w:hAnsi="GHEA Grapalat"/>
          <w:sz w:val="24"/>
          <w:szCs w:val="24"/>
        </w:rPr>
        <w:sym w:font="Symbol" w:char="F0A2"/>
      </w:r>
      <w:r w:rsidRPr="00453E98">
        <w:rPr>
          <w:rFonts w:ascii="GHEA Grapalat" w:hAnsi="GHEA Grapalat"/>
          <w:sz w:val="24"/>
          <w:szCs w:val="24"/>
          <w:lang w:val="hy-AM"/>
        </w:rPr>
        <w:t>վ քաղաքացիները, և</w:t>
      </w:r>
      <w:r>
        <w:rPr>
          <w:rFonts w:ascii="GHEA Grapalat" w:hAnsi="GHEA Grapalat"/>
          <w:sz w:val="24"/>
          <w:szCs w:val="24"/>
        </w:rPr>
        <w:sym w:font="Symbol" w:char="F0A2"/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տնտեսվարողները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հայտնել են, որ ավելի բավարարված են կոնկրետ իրենց դատական գործին առնչվող տեղեկատվության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հասանելիությունից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, քան ընդհանուր համակարգին վերաբերող տեղեկատվության։ Ուսումնասիրությամբ արձանագրվել է, որ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թեև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առցանց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տեղեկատվության տրամադրման հարցում առկա է առաջընթաց, այնուամենայնիվ բարելավման կարիք կա, որը 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կնպաստի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արդարադատության 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մատչելիության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և արդյունավետությ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ան կատարելագործմանը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։ </w:t>
      </w:r>
      <w:r w:rsidRPr="00453E98">
        <w:rPr>
          <w:rFonts w:ascii="GHEA Grapalat" w:hAnsi="GHEA Grapalat"/>
          <w:b/>
          <w:bCs/>
          <w:sz w:val="24"/>
          <w:szCs w:val="24"/>
          <w:lang w:val="hy-AM"/>
        </w:rPr>
        <w:t xml:space="preserve">Դատական </w:t>
      </w:r>
      <w:proofErr w:type="spellStart"/>
      <w:r w:rsidRPr="00453E98">
        <w:rPr>
          <w:rFonts w:ascii="GHEA Grapalat" w:hAnsi="GHEA Grapalat"/>
          <w:b/>
          <w:bCs/>
          <w:sz w:val="24"/>
          <w:szCs w:val="24"/>
          <w:lang w:val="hy-AM"/>
        </w:rPr>
        <w:t>վարույթների</w:t>
      </w:r>
      <w:proofErr w:type="spellEnd"/>
      <w:r w:rsidRPr="00453E98">
        <w:rPr>
          <w:rFonts w:ascii="GHEA Grapalat" w:hAnsi="GHEA Grapalat"/>
          <w:b/>
          <w:bCs/>
          <w:sz w:val="24"/>
          <w:szCs w:val="24"/>
          <w:lang w:val="hy-AM"/>
        </w:rPr>
        <w:t xml:space="preserve"> և որոշումների վերաբերյալ լիարժեք տեղեկատվության </w:t>
      </w:r>
      <w:proofErr w:type="spellStart"/>
      <w:r w:rsidRPr="00453E98">
        <w:rPr>
          <w:rFonts w:ascii="GHEA Grapalat" w:hAnsi="GHEA Grapalat"/>
          <w:b/>
          <w:bCs/>
          <w:sz w:val="24"/>
          <w:szCs w:val="24"/>
          <w:lang w:val="hy-AM"/>
        </w:rPr>
        <w:t>հասանելիության</w:t>
      </w:r>
      <w:proofErr w:type="spellEnd"/>
      <w:r w:rsidRPr="00453E98">
        <w:rPr>
          <w:rFonts w:ascii="GHEA Grapalat" w:hAnsi="GHEA Grapalat"/>
          <w:b/>
          <w:bCs/>
          <w:sz w:val="24"/>
          <w:szCs w:val="24"/>
          <w:lang w:val="hy-AM"/>
        </w:rPr>
        <w:t xml:space="preserve"> բացակայությունն ավելի է սահմանափակում քաղաքացիների համար համակարգի կանխատեսելիությունը և նվազեցնում դատական համակարգի հանրային վերահսկողության հնարավորությունները։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5B2FC8" w14:textId="77777777" w:rsidR="0060687C" w:rsidRPr="00453E98" w:rsidRDefault="0060687C" w:rsidP="002E6A59">
      <w:pPr>
        <w:tabs>
          <w:tab w:val="left" w:pos="990"/>
          <w:tab w:val="left" w:pos="126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3E98">
        <w:rPr>
          <w:rFonts w:ascii="GHEA Grapalat" w:hAnsi="GHEA Grapalat"/>
          <w:sz w:val="24"/>
          <w:szCs w:val="24"/>
          <w:lang w:val="hy-AM"/>
        </w:rPr>
        <w:t xml:space="preserve">Այս առնչությամբ հարկ է նկատել, որ Օրենքի 19-րդ հոդվածի 1-ին մասի համաձայն՝ դատարանների գործունեության արդյունավետությունը, թափանցիկությունը և հանրության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lastRenderedPageBreak/>
        <w:t>առջև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հաշվետվողականությունն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ապահովելու նպատակով Դատական դեպարտամենտը հավաքում և վարում է դատական վիճակագրություն Կառավարության սահմանած կարգով։ Ըստ այդմ, կիսամյակային և տարեկան կտրվածքով դատական իշխանության պաշտոնական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(court.am) տեղադրվում են վիճակագրական տվյալներ։ Բացի այդ,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Դատալեքս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տեղեկատվական համակարգում հասանելի է դատական նիստերի ժամանակացույցը։</w:t>
      </w:r>
    </w:p>
    <w:p w14:paraId="4D4AC32A" w14:textId="73C4FD99" w:rsidR="0060687C" w:rsidRPr="00453E98" w:rsidRDefault="0060687C" w:rsidP="002E6A59">
      <w:pPr>
        <w:tabs>
          <w:tab w:val="left" w:pos="990"/>
          <w:tab w:val="left" w:pos="126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3E98">
        <w:rPr>
          <w:rFonts w:ascii="GHEA Grapalat" w:hAnsi="GHEA Grapalat"/>
          <w:sz w:val="24"/>
          <w:szCs w:val="24"/>
          <w:lang w:val="hy-AM"/>
        </w:rPr>
        <w:t xml:space="preserve">Այնուամենայնիվ, առավել մեծ հանրային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հաշվետվողականությունն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ապահովելու և դատավորների աշխատանքային զբաղվածության վերաբերյալ հանրային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իրազեկվածության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մակարդակը բարձրացնելու նպատակով անհրաժեշտ է ապահովել յուրաքանչյուր դատավորի աշխատանքային օրակարգի վերաբերյալ տեղեկատվության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հասանելիությունը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դատական իշխանության պաշտոնական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։ Սա կներառի ոչ միայն դատական նիստերի ժամանակացույցը,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այլև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դատավորների այլ ծանրաբեռնվածության վերաբերյալ տեղեկատվությունը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՝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 կապված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վերապատրաստումների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>, դատավորների ընդհանուր ժ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ո</w:t>
      </w:r>
      <w:r w:rsidRPr="00453E98">
        <w:rPr>
          <w:rFonts w:ascii="GHEA Grapalat" w:hAnsi="GHEA Grapalat"/>
          <w:sz w:val="24"/>
          <w:szCs w:val="24"/>
          <w:lang w:val="hy-AM"/>
        </w:rPr>
        <w:t>ղովի նիստերի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>ն</w:t>
      </w:r>
      <w:r w:rsidRPr="00453E98">
        <w:rPr>
          <w:rFonts w:ascii="GHEA Grapalat" w:hAnsi="GHEA Grapalat"/>
          <w:sz w:val="24"/>
          <w:szCs w:val="24"/>
          <w:lang w:val="hy-AM"/>
        </w:rPr>
        <w:t>, Բարձրագույն դատական խորհրդի նիստերին մասնակցության, այլ աշխատանքների իրականացման վերաբերյալ։</w:t>
      </w:r>
    </w:p>
    <w:p w14:paraId="325A2C56" w14:textId="1FD6D788" w:rsidR="0060687C" w:rsidRPr="00453E98" w:rsidRDefault="0060687C" w:rsidP="002E6A59">
      <w:pPr>
        <w:tabs>
          <w:tab w:val="left" w:pos="990"/>
          <w:tab w:val="left" w:pos="126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3E98">
        <w:rPr>
          <w:rFonts w:ascii="GHEA Grapalat" w:hAnsi="GHEA Grapalat"/>
          <w:sz w:val="24"/>
          <w:szCs w:val="24"/>
          <w:lang w:val="hy-AM"/>
        </w:rPr>
        <w:t>Սա կնպաստի նաև դատավորների ժամանակի առավել արդյունավետ կառավարմանը և ավելի մանրամասն հետազոտությունների իրականացման</w:t>
      </w:r>
      <w:r w:rsidR="002452BE" w:rsidRPr="00453E98">
        <w:rPr>
          <w:rFonts w:ascii="GHEA Grapalat" w:hAnsi="GHEA Grapalat"/>
          <w:sz w:val="24"/>
          <w:szCs w:val="24"/>
          <w:lang w:val="hy-AM"/>
        </w:rPr>
        <w:t xml:space="preserve"> հնարավորությանը</w:t>
      </w:r>
      <w:r w:rsidRPr="00453E98">
        <w:rPr>
          <w:rFonts w:ascii="GHEA Grapalat" w:hAnsi="GHEA Grapalat"/>
          <w:sz w:val="24"/>
          <w:szCs w:val="24"/>
          <w:lang w:val="hy-AM"/>
        </w:rPr>
        <w:t xml:space="preserve">՝ կապված նրա հետ, թե որքանով </w:t>
      </w:r>
      <w:proofErr w:type="spellStart"/>
      <w:r w:rsidRPr="00453E98">
        <w:rPr>
          <w:rFonts w:ascii="GHEA Grapalat" w:hAnsi="GHEA Grapalat"/>
          <w:sz w:val="24"/>
          <w:szCs w:val="24"/>
          <w:lang w:val="hy-AM"/>
        </w:rPr>
        <w:t>արդյուանվետ</w:t>
      </w:r>
      <w:proofErr w:type="spellEnd"/>
      <w:r w:rsidRPr="00453E98">
        <w:rPr>
          <w:rFonts w:ascii="GHEA Grapalat" w:hAnsi="GHEA Grapalat"/>
          <w:sz w:val="24"/>
          <w:szCs w:val="24"/>
          <w:lang w:val="hy-AM"/>
        </w:rPr>
        <w:t xml:space="preserve"> է յուրաքանչյուր դատավորն իրականացնում իր աշխատանքային պարտականությունների բաշխումը։ </w:t>
      </w:r>
    </w:p>
    <w:p w14:paraId="5E01442D" w14:textId="77777777" w:rsidR="008A2E3A" w:rsidRDefault="008A2E3A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E8D120C" w14:textId="4C860B75" w:rsidR="00260677" w:rsidRPr="00453E98" w:rsidRDefault="00375E99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375E99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  <w:r w:rsidR="00453E98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2B05BA7A" w14:textId="6A1BE351" w:rsidR="0060687C" w:rsidRPr="00453E98" w:rsidRDefault="0060687C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«Դատական օրենսգիրք» սահմանադրական օրենքում </w:t>
      </w:r>
      <w:r w:rsidR="007E4EAE">
        <w:rPr>
          <w:rFonts w:ascii="GHEA Grapalat" w:hAnsi="GHEA Grapalat" w:cs="Sylfaen"/>
          <w:sz w:val="24"/>
          <w:szCs w:val="24"/>
          <w:lang w:val="hy-AM"/>
        </w:rPr>
        <w:t xml:space="preserve">փոփոխություն և </w:t>
      </w:r>
      <w:r>
        <w:rPr>
          <w:rFonts w:ascii="GHEA Grapalat" w:hAnsi="GHEA Grapalat" w:cs="Sylfaen"/>
          <w:sz w:val="24"/>
          <w:szCs w:val="24"/>
          <w:lang w:val="hy-AM"/>
        </w:rPr>
        <w:t>լրացում կատարելու մասին» սահմանադրական օրենքի նախագծով (այսուհետ՝ Նախագիծ</w:t>
      </w:r>
      <w:r w:rsidRPr="00453E98">
        <w:rPr>
          <w:rFonts w:ascii="GHEA Grapalat" w:hAnsi="GHEA Grapalat" w:cs="Sylfaen"/>
          <w:sz w:val="24"/>
          <w:szCs w:val="24"/>
          <w:lang w:val="hy-AM"/>
        </w:rPr>
        <w:t xml:space="preserve">) առաջարկվում է նախատեսել, որ յուրաքանչյուր դատավորի տրամադրվում է աշխատանքային օրակարգի պատուհան, որտեղ լրացվում է յուրաքանչյուր աշխատանքային օրվա ընթացքում դատավորի պարտականությունների ժամանակացույցը, ներառյալ՝ դատական նիստերի, </w:t>
      </w:r>
      <w:proofErr w:type="spellStart"/>
      <w:r w:rsidRPr="00453E98">
        <w:rPr>
          <w:rFonts w:ascii="GHEA Grapalat" w:hAnsi="GHEA Grapalat" w:cs="Sylfaen"/>
          <w:sz w:val="24"/>
          <w:szCs w:val="24"/>
          <w:lang w:val="hy-AM"/>
        </w:rPr>
        <w:t>վերապատրաստումների</w:t>
      </w:r>
      <w:proofErr w:type="spellEnd"/>
      <w:r w:rsidRPr="00453E98">
        <w:rPr>
          <w:rFonts w:ascii="GHEA Grapalat" w:hAnsi="GHEA Grapalat" w:cs="Sylfaen"/>
          <w:sz w:val="24"/>
          <w:szCs w:val="24"/>
          <w:lang w:val="hy-AM"/>
        </w:rPr>
        <w:t xml:space="preserve">, այլ աշխատանքի կատարման ժամերը։ Աշխատանքային օրակարգի պատուհանները պետք է ստեղծվեն միասնական էլեկտրոնային համակարգի միջոցով, իսկ յուրաքանչյուր դատավորի աշխատանքային օրակարգը պետք է հրապարակվի դատական իշխանության պաշտոնական </w:t>
      </w:r>
      <w:proofErr w:type="spellStart"/>
      <w:r w:rsidRPr="00453E98">
        <w:rPr>
          <w:rFonts w:ascii="GHEA Grapalat" w:hAnsi="GHEA Grapalat" w:cs="Sylfaen"/>
          <w:sz w:val="24"/>
          <w:szCs w:val="24"/>
          <w:lang w:val="hy-AM"/>
        </w:rPr>
        <w:t>կայքում</w:t>
      </w:r>
      <w:proofErr w:type="spellEnd"/>
      <w:r w:rsidRPr="00453E98">
        <w:rPr>
          <w:rFonts w:ascii="GHEA Grapalat" w:hAnsi="GHEA Grapalat" w:cs="Sylfaen"/>
          <w:sz w:val="24"/>
          <w:szCs w:val="24"/>
          <w:lang w:val="hy-AM"/>
        </w:rPr>
        <w:t xml:space="preserve">՝ շաբաթական կամ ամսական կտրվածքով։ </w:t>
      </w:r>
    </w:p>
    <w:p w14:paraId="5DB49509" w14:textId="5D29CCD6" w:rsidR="0060687C" w:rsidRPr="00453E98" w:rsidRDefault="0060687C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3E98">
        <w:rPr>
          <w:rFonts w:ascii="GHEA Grapalat" w:hAnsi="GHEA Grapalat" w:cs="Sylfaen"/>
          <w:sz w:val="24"/>
          <w:szCs w:val="24"/>
          <w:lang w:val="hy-AM"/>
        </w:rPr>
        <w:lastRenderedPageBreak/>
        <w:t>Առավել արդյունավետ</w:t>
      </w:r>
      <w:r w:rsidR="002452BE" w:rsidRPr="00453E98">
        <w:rPr>
          <w:rFonts w:ascii="GHEA Grapalat" w:hAnsi="GHEA Grapalat" w:cs="Sylfaen"/>
          <w:sz w:val="24"/>
          <w:szCs w:val="24"/>
          <w:lang w:val="hy-AM"/>
        </w:rPr>
        <w:t xml:space="preserve"> և մանրամասն պլանավորում</w:t>
      </w:r>
      <w:r w:rsidRPr="00453E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453E98">
        <w:rPr>
          <w:rFonts w:ascii="GHEA Grapalat" w:hAnsi="GHEA Grapalat" w:cs="Sylfaen"/>
          <w:sz w:val="24"/>
          <w:szCs w:val="24"/>
          <w:lang w:val="hy-AM"/>
        </w:rPr>
        <w:t>իրականցնելու</w:t>
      </w:r>
      <w:proofErr w:type="spellEnd"/>
      <w:r w:rsidRPr="00453E98">
        <w:rPr>
          <w:rFonts w:ascii="GHEA Grapalat" w:hAnsi="GHEA Grapalat" w:cs="Sylfaen"/>
          <w:sz w:val="24"/>
          <w:szCs w:val="24"/>
          <w:lang w:val="hy-AM"/>
        </w:rPr>
        <w:t xml:space="preserve"> նպատակով Նախագծով առաջարկվում է սահմանել Բարձրագույն դատական խորհրդի լիազորությունը՝ սահմանելու դատավորների աշխատանքային օրակարգի կառուցվածքը, օրակարգում ներառվող տեղեկատվության ցանկը, դրա հրապարակման կարգը և ժամկետները։</w:t>
      </w:r>
    </w:p>
    <w:p w14:paraId="4BFF63D2" w14:textId="77777777" w:rsidR="009E7267" w:rsidRDefault="009E7267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0AE9A77" w14:textId="327B01CA" w:rsidR="00CF485D" w:rsidRPr="002338DA" w:rsidRDefault="00CF485D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338DA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2338D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338DA">
        <w:rPr>
          <w:rFonts w:ascii="GHEA Grapalat" w:hAnsi="GHEA Grapalat" w:cs="Sylfaen"/>
          <w:b/>
          <w:sz w:val="24"/>
          <w:szCs w:val="24"/>
          <w:lang w:val="hy-AM"/>
        </w:rPr>
        <w:t xml:space="preserve"> Նախագծ</w:t>
      </w:r>
      <w:r w:rsidR="0060687C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2338DA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2338D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2338D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2338D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2338D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2338D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338D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b/>
          <w:sz w:val="24"/>
          <w:szCs w:val="24"/>
          <w:lang w:val="hy-AM"/>
        </w:rPr>
        <w:t>անձինք.</w:t>
      </w:r>
    </w:p>
    <w:p w14:paraId="0001D8DB" w14:textId="590D6E05" w:rsidR="00CF485D" w:rsidRPr="002338DA" w:rsidRDefault="00CF485D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338DA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60687C">
        <w:rPr>
          <w:rFonts w:ascii="GHEA Grapalat" w:hAnsi="GHEA Grapalat" w:cs="Sylfaen"/>
          <w:sz w:val="24"/>
          <w:szCs w:val="24"/>
          <w:lang w:val="hy-AM"/>
        </w:rPr>
        <w:t>եր</w:t>
      </w:r>
      <w:r w:rsidRPr="002338DA">
        <w:rPr>
          <w:rFonts w:ascii="GHEA Grapalat" w:hAnsi="GHEA Grapalat" w:cs="Sylfaen"/>
          <w:sz w:val="24"/>
          <w:szCs w:val="24"/>
          <w:lang w:val="hy-AM"/>
        </w:rPr>
        <w:t>ը</w:t>
      </w:r>
      <w:r w:rsidR="002338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2338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687C">
        <w:rPr>
          <w:rFonts w:ascii="GHEA Grapalat" w:hAnsi="GHEA Grapalat" w:cs="Sylfaen"/>
          <w:sz w:val="24"/>
          <w:szCs w:val="24"/>
          <w:lang w:val="hy-AM"/>
        </w:rPr>
        <w:t>են</w:t>
      </w:r>
      <w:r w:rsidR="002338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338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338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sz w:val="24"/>
          <w:szCs w:val="24"/>
          <w:lang w:val="hy-AM"/>
        </w:rPr>
        <w:t>ներքին</w:t>
      </w:r>
      <w:r w:rsidR="002338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sz w:val="24"/>
          <w:szCs w:val="24"/>
          <w:lang w:val="hy-AM"/>
        </w:rPr>
        <w:t>գործերի նախարարության</w:t>
      </w:r>
      <w:r w:rsidR="002338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338DA">
        <w:rPr>
          <w:rFonts w:ascii="GHEA Grapalat" w:hAnsi="GHEA Grapalat" w:cs="Sylfaen"/>
          <w:sz w:val="24"/>
          <w:szCs w:val="24"/>
          <w:lang w:val="hy-AM"/>
        </w:rPr>
        <w:t>կողմից։</w:t>
      </w:r>
    </w:p>
    <w:p w14:paraId="41517EAD" w14:textId="77777777" w:rsidR="00CF485D" w:rsidRPr="002338DA" w:rsidRDefault="00CF485D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869FB70" w14:textId="50D1D189" w:rsidR="00874791" w:rsidRPr="00453E98" w:rsidRDefault="00CF485D" w:rsidP="00453E98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338DA">
        <w:rPr>
          <w:rFonts w:ascii="GHEA Grapalat" w:hAnsi="GHEA Grapalat"/>
          <w:b/>
          <w:sz w:val="24"/>
          <w:szCs w:val="24"/>
          <w:lang w:val="hy-AM"/>
        </w:rPr>
        <w:t>4</w:t>
      </w:r>
      <w:r w:rsidRPr="002338D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338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53E98" w:rsidRPr="002338DA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  <w:r w:rsidR="00453E98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923E33F" w14:textId="2EA85442" w:rsidR="00453E98" w:rsidRPr="00825CA4" w:rsidRDefault="00453E98" w:rsidP="00453E98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25CA4">
        <w:rPr>
          <w:rFonts w:ascii="GHEA Grapalat" w:hAnsi="GHEA Grapalat"/>
          <w:sz w:val="24"/>
          <w:szCs w:val="24"/>
          <w:lang w:val="hy-AM"/>
        </w:rPr>
        <w:t>Նախագծերը բխում</w:t>
      </w:r>
      <w:r w:rsidR="00825CA4" w:rsidRPr="00825CA4">
        <w:rPr>
          <w:rFonts w:ascii="GHEA Grapalat" w:hAnsi="GHEA Grapalat"/>
          <w:sz w:val="24"/>
          <w:szCs w:val="24"/>
          <w:lang w:val="hy-AM"/>
        </w:rPr>
        <w:t xml:space="preserve"> են</w:t>
      </w:r>
      <w:r w:rsidRPr="00825CA4">
        <w:rPr>
          <w:rFonts w:ascii="GHEA Grapalat" w:hAnsi="GHEA Grapalat"/>
          <w:sz w:val="24"/>
          <w:szCs w:val="24"/>
          <w:lang w:val="hy-AM"/>
        </w:rPr>
        <w:t xml:space="preserve"> ՀՀ կառավարության </w:t>
      </w:r>
      <w:r w:rsidR="00825CA4" w:rsidRPr="00825CA4">
        <w:rPr>
          <w:rFonts w:ascii="GHEA Grapalat" w:hAnsi="GHEA Grapalat"/>
          <w:sz w:val="24"/>
          <w:szCs w:val="24"/>
          <w:lang w:val="hy-AM"/>
        </w:rPr>
        <w:t>2021 թվականի օգոստոսի 8-ի «Հայաստանի Հանրապետության կառավարության ծրագրի մասին» N 1363-Ա որոշման հավելվածի «Իրավունք և արդարադատություն» բաժնի 5</w:t>
      </w:r>
      <w:r w:rsidR="00825CA4" w:rsidRPr="00825CA4">
        <w:rPr>
          <w:rFonts w:ascii="Cambria Math" w:hAnsi="Cambria Math" w:cs="Cambria Math"/>
          <w:sz w:val="24"/>
          <w:szCs w:val="24"/>
          <w:lang w:val="hy-AM"/>
        </w:rPr>
        <w:t>․</w:t>
      </w:r>
      <w:r w:rsidR="00825CA4" w:rsidRPr="00825CA4">
        <w:rPr>
          <w:rFonts w:ascii="GHEA Grapalat" w:hAnsi="GHEA Grapalat"/>
          <w:sz w:val="24"/>
          <w:szCs w:val="24"/>
          <w:lang w:val="hy-AM"/>
        </w:rPr>
        <w:t>3-րդ «Դատաիրավական բարեփոխումներ» կետից։</w:t>
      </w:r>
    </w:p>
    <w:p w14:paraId="536E376B" w14:textId="77777777" w:rsidR="002338DA" w:rsidRPr="002338DA" w:rsidRDefault="002338DA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60334F4E" w14:textId="7B56D067" w:rsidR="00CF485D" w:rsidRPr="00453E98" w:rsidRDefault="00CF485D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2338DA">
        <w:rPr>
          <w:rFonts w:ascii="GHEA Grapalat" w:hAnsi="GHEA Grapalat"/>
          <w:b/>
          <w:sz w:val="24"/>
          <w:szCs w:val="24"/>
          <w:lang w:val="hy-AM"/>
        </w:rPr>
        <w:t>5</w:t>
      </w:r>
      <w:r w:rsidRPr="002338D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338DA">
        <w:rPr>
          <w:rFonts w:ascii="GHEA Grapalat" w:hAnsi="GHEA Grapalat"/>
          <w:b/>
          <w:sz w:val="24"/>
          <w:szCs w:val="24"/>
          <w:lang w:val="hy-AM"/>
        </w:rPr>
        <w:t xml:space="preserve"> Լրացուցիչ ֆինանսական միջոցների անհրաժեշտությունը և պետական բյուջեի եկամուտներում և ծախսերում սպասվելիք փոփոխությունները</w:t>
      </w:r>
      <w:r w:rsidR="00453E98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7C4BC94E" w14:textId="379C2DDD" w:rsidR="00CF485D" w:rsidRPr="00194B44" w:rsidRDefault="00CF485D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338DA">
        <w:rPr>
          <w:rFonts w:ascii="GHEA Grapalat" w:hAnsi="GHEA Grapalat"/>
          <w:sz w:val="24"/>
          <w:szCs w:val="24"/>
          <w:lang w:val="hy-AM"/>
        </w:rPr>
        <w:t>Նախագծ</w:t>
      </w:r>
      <w:r w:rsidR="0060687C">
        <w:rPr>
          <w:rFonts w:ascii="GHEA Grapalat" w:hAnsi="GHEA Grapalat"/>
          <w:sz w:val="24"/>
          <w:szCs w:val="24"/>
          <w:lang w:val="hy-AM"/>
        </w:rPr>
        <w:t>եր</w:t>
      </w:r>
      <w:r w:rsidRPr="002338DA">
        <w:rPr>
          <w:rFonts w:ascii="GHEA Grapalat" w:hAnsi="GHEA Grapalat"/>
          <w:sz w:val="24"/>
          <w:szCs w:val="24"/>
          <w:lang w:val="hy-AM"/>
        </w:rPr>
        <w:t xml:space="preserve">ի ընդունմամբ </w:t>
      </w:r>
      <w:r w:rsidR="00194B44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Pr="002338DA">
        <w:rPr>
          <w:rFonts w:ascii="GHEA Grapalat" w:hAnsi="GHEA Grapalat"/>
          <w:sz w:val="24"/>
          <w:szCs w:val="24"/>
          <w:lang w:val="hy-AM"/>
        </w:rPr>
        <w:t>պետական բյուջեում ծախսերի ավելացում</w:t>
      </w:r>
      <w:r w:rsidR="00194B44">
        <w:rPr>
          <w:rFonts w:ascii="GHEA Grapalat" w:hAnsi="GHEA Grapalat"/>
          <w:sz w:val="24"/>
          <w:szCs w:val="24"/>
          <w:lang w:val="hy-AM"/>
        </w:rPr>
        <w:t xml:space="preserve">, որոնց չափը գտնվում է ճշգրտման փուլում։ </w:t>
      </w:r>
    </w:p>
    <w:p w14:paraId="1E366B6F" w14:textId="77777777" w:rsidR="00CF485D" w:rsidRPr="002338DA" w:rsidRDefault="00CF485D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0743F2CD" w14:textId="65D36F04" w:rsidR="00453E98" w:rsidRPr="00453E98" w:rsidRDefault="00CF485D" w:rsidP="00453E98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2338DA">
        <w:rPr>
          <w:rFonts w:ascii="GHEA Grapalat" w:hAnsi="GHEA Grapalat"/>
          <w:b/>
          <w:sz w:val="24"/>
          <w:szCs w:val="24"/>
          <w:lang w:val="hy-AM"/>
        </w:rPr>
        <w:t>6</w:t>
      </w:r>
      <w:r w:rsidR="00B80AB6" w:rsidRPr="002338D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80AB6" w:rsidRPr="002338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53E98" w:rsidRPr="002338DA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453E98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4C66801" w14:textId="169B3E7D" w:rsidR="00453E98" w:rsidRDefault="00453E98" w:rsidP="00453E98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338DA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</w:t>
      </w:r>
      <w:r>
        <w:rPr>
          <w:rFonts w:ascii="GHEA Grapalat" w:hAnsi="GHEA Grapalat"/>
          <w:sz w:val="24"/>
          <w:szCs w:val="24"/>
          <w:lang w:val="hy-AM"/>
        </w:rPr>
        <w:t>դատավորների ամենօրյա աշխատանքային գործունեության վերաբերյալ առավել բարձր հանրային հաշվետվողականությունը և թափանցիկությունը, ժամանակի ավելի արդյունավետ կառավարումը</w:t>
      </w:r>
      <w:r w:rsidR="00CE4A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0EFC3D4C" w14:textId="5A90DDC8" w:rsidR="00CF485D" w:rsidRPr="002338DA" w:rsidRDefault="00CF485D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71D9050E" w14:textId="5CB8F3D6" w:rsidR="002E6A59" w:rsidRDefault="002E6A59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3E6F3BF3" w14:textId="77777777" w:rsidR="00CE4A8B" w:rsidRPr="002E6A59" w:rsidRDefault="00CE4A8B" w:rsidP="002E6A59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4C355F62" w14:textId="735DE56A" w:rsidR="00EE5015" w:rsidRPr="00427134" w:rsidRDefault="00B80AB6" w:rsidP="002E6A59">
      <w:pPr>
        <w:spacing w:after="0" w:line="360" w:lineRule="auto"/>
        <w:ind w:left="360" w:firstLine="72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338D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</w:t>
      </w:r>
      <w:r w:rsidRPr="002338D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 ներքին գործերի նախարարություն</w:t>
      </w:r>
    </w:p>
    <w:sectPr w:rsidR="00EE5015" w:rsidRPr="00427134" w:rsidSect="0089500F">
      <w:pgSz w:w="12240" w:h="15840"/>
      <w:pgMar w:top="720" w:right="90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8377" w14:textId="77777777" w:rsidR="00A92898" w:rsidRDefault="00A92898" w:rsidP="0089500F">
      <w:pPr>
        <w:spacing w:after="0" w:line="240" w:lineRule="auto"/>
      </w:pPr>
      <w:r>
        <w:separator/>
      </w:r>
    </w:p>
  </w:endnote>
  <w:endnote w:type="continuationSeparator" w:id="0">
    <w:p w14:paraId="299D858A" w14:textId="77777777" w:rsidR="00A92898" w:rsidRDefault="00A92898" w:rsidP="0089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0E39" w14:textId="77777777" w:rsidR="00A92898" w:rsidRDefault="00A92898" w:rsidP="0089500F">
      <w:pPr>
        <w:spacing w:after="0" w:line="240" w:lineRule="auto"/>
      </w:pPr>
      <w:r>
        <w:separator/>
      </w:r>
    </w:p>
  </w:footnote>
  <w:footnote w:type="continuationSeparator" w:id="0">
    <w:p w14:paraId="445299C3" w14:textId="77777777" w:rsidR="00A92898" w:rsidRDefault="00A92898" w:rsidP="0089500F">
      <w:pPr>
        <w:spacing w:after="0" w:line="240" w:lineRule="auto"/>
      </w:pPr>
      <w:r>
        <w:continuationSeparator/>
      </w:r>
    </w:p>
  </w:footnote>
  <w:footnote w:id="1">
    <w:p w14:paraId="4A30DEEF" w14:textId="6E095869" w:rsidR="0060687C" w:rsidRPr="002E6A59" w:rsidRDefault="0060687C" w:rsidP="002E6A59">
      <w:pPr>
        <w:pStyle w:val="FootnoteText"/>
        <w:jc w:val="both"/>
        <w:rPr>
          <w:rFonts w:ascii="GHEA Grapalat" w:hAnsi="GHEA Grapalat"/>
          <w:sz w:val="18"/>
          <w:szCs w:val="18"/>
        </w:rPr>
      </w:pPr>
      <w:r w:rsidRPr="002E6A59">
        <w:rPr>
          <w:rStyle w:val="FootnoteReference"/>
          <w:rFonts w:ascii="GHEA Grapalat" w:hAnsi="GHEA Grapalat"/>
          <w:sz w:val="18"/>
          <w:szCs w:val="18"/>
        </w:rPr>
        <w:footnoteRef/>
      </w:r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Տես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Հայաստան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. </w:t>
      </w:r>
      <w:proofErr w:type="spellStart"/>
      <w:r w:rsidRPr="002E6A59">
        <w:rPr>
          <w:rFonts w:ascii="GHEA Grapalat" w:hAnsi="GHEA Grapalat"/>
          <w:sz w:val="18"/>
          <w:szCs w:val="18"/>
        </w:rPr>
        <w:t>Աջակցություն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արդարադատության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ոլորտի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բարեփոխումներին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. </w:t>
      </w:r>
      <w:proofErr w:type="spellStart"/>
      <w:r w:rsidRPr="002E6A59">
        <w:rPr>
          <w:rFonts w:ascii="GHEA Grapalat" w:hAnsi="GHEA Grapalat"/>
          <w:sz w:val="18"/>
          <w:szCs w:val="18"/>
        </w:rPr>
        <w:t>Հայացք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ապագային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. </w:t>
      </w:r>
      <w:proofErr w:type="spellStart"/>
      <w:r w:rsidRPr="002E6A59">
        <w:rPr>
          <w:rFonts w:ascii="GHEA Grapalat" w:hAnsi="GHEA Grapalat"/>
          <w:sz w:val="18"/>
          <w:szCs w:val="18"/>
        </w:rPr>
        <w:t>Հայաստանի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դատական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համակարգի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հանրային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ծախսերի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և </w:t>
      </w:r>
      <w:proofErr w:type="spellStart"/>
      <w:r w:rsidRPr="002E6A59">
        <w:rPr>
          <w:rFonts w:ascii="GHEA Grapalat" w:hAnsi="GHEA Grapalat"/>
          <w:sz w:val="18"/>
          <w:szCs w:val="18"/>
        </w:rPr>
        <w:t>կատարողականի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ուսումնասիրություն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, </w:t>
      </w:r>
      <w:proofErr w:type="spellStart"/>
      <w:r w:rsidRPr="002E6A59">
        <w:rPr>
          <w:rFonts w:ascii="GHEA Grapalat" w:hAnsi="GHEA Grapalat"/>
          <w:sz w:val="18"/>
          <w:szCs w:val="18"/>
        </w:rPr>
        <w:t>Համաշխարհային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2E6A59">
        <w:rPr>
          <w:rFonts w:ascii="GHEA Grapalat" w:hAnsi="GHEA Grapalat"/>
          <w:sz w:val="18"/>
          <w:szCs w:val="18"/>
        </w:rPr>
        <w:t>բանկ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, 2023, </w:t>
      </w:r>
      <w:proofErr w:type="spellStart"/>
      <w:r w:rsidRPr="002E6A59">
        <w:rPr>
          <w:rFonts w:ascii="GHEA Grapalat" w:hAnsi="GHEA Grapalat"/>
          <w:sz w:val="18"/>
          <w:szCs w:val="18"/>
        </w:rPr>
        <w:t>հասանելի</w:t>
      </w:r>
      <w:proofErr w:type="spellEnd"/>
      <w:r w:rsidRPr="002E6A59">
        <w:rPr>
          <w:rFonts w:ascii="GHEA Grapalat" w:hAnsi="GHEA Grapalat"/>
          <w:sz w:val="18"/>
          <w:szCs w:val="18"/>
        </w:rPr>
        <w:t xml:space="preserve">՝ </w:t>
      </w:r>
      <w:hyperlink r:id="rId1" w:history="1">
        <w:r w:rsidRPr="002E6A59">
          <w:rPr>
            <w:rStyle w:val="Hyperlink"/>
            <w:rFonts w:ascii="GHEA Grapalat" w:hAnsi="GHEA Grapalat"/>
            <w:sz w:val="18"/>
            <w:szCs w:val="18"/>
          </w:rPr>
          <w:t>https://thedocs.worldbank.org/en/doc/6db93b8c3c480bc229d3b7d3e641b6b5-0080012023/original/Forward-Look-Armenia-Judiciary-arm.pdf?cid=eca_fb_armenia_am_ext</w:t>
        </w:r>
      </w:hyperlink>
      <w:r w:rsidRPr="002E6A59">
        <w:rPr>
          <w:rFonts w:ascii="GHEA Grapalat" w:hAnsi="GHEA Grapalat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426"/>
    <w:multiLevelType w:val="hybridMultilevel"/>
    <w:tmpl w:val="56766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E67"/>
    <w:multiLevelType w:val="multilevel"/>
    <w:tmpl w:val="5B72A1F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001AD"/>
    <w:multiLevelType w:val="hybridMultilevel"/>
    <w:tmpl w:val="BB1C90D4"/>
    <w:lvl w:ilvl="0" w:tplc="463E1D92">
      <w:start w:val="138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71EC3"/>
    <w:multiLevelType w:val="multilevel"/>
    <w:tmpl w:val="A19EBD5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F6A53"/>
    <w:multiLevelType w:val="multilevel"/>
    <w:tmpl w:val="8BAC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231E3"/>
    <w:multiLevelType w:val="multilevel"/>
    <w:tmpl w:val="FABCC78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B10CA"/>
    <w:multiLevelType w:val="multilevel"/>
    <w:tmpl w:val="884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72093"/>
    <w:multiLevelType w:val="multilevel"/>
    <w:tmpl w:val="AD66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D84C54"/>
    <w:multiLevelType w:val="multilevel"/>
    <w:tmpl w:val="E6A4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0C3DAF"/>
    <w:multiLevelType w:val="multilevel"/>
    <w:tmpl w:val="5E240CC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31869"/>
    <w:multiLevelType w:val="hybridMultilevel"/>
    <w:tmpl w:val="2408BA90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1933"/>
    <w:multiLevelType w:val="multilevel"/>
    <w:tmpl w:val="F1C47820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9C7B49"/>
    <w:multiLevelType w:val="multilevel"/>
    <w:tmpl w:val="088C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A7706"/>
    <w:multiLevelType w:val="multilevel"/>
    <w:tmpl w:val="F9027056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654BE"/>
    <w:multiLevelType w:val="multilevel"/>
    <w:tmpl w:val="91F4D12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93459"/>
    <w:multiLevelType w:val="multilevel"/>
    <w:tmpl w:val="F476E088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421BB8"/>
    <w:multiLevelType w:val="multilevel"/>
    <w:tmpl w:val="0F74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B3213C"/>
    <w:multiLevelType w:val="hybridMultilevel"/>
    <w:tmpl w:val="7B3AF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975A4"/>
    <w:multiLevelType w:val="multilevel"/>
    <w:tmpl w:val="CB90FEA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2"/>
  </w:num>
  <w:num w:numId="5">
    <w:abstractNumId w:val="7"/>
  </w:num>
  <w:num w:numId="6">
    <w:abstractNumId w:val="15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14"/>
  </w:num>
  <w:num w:numId="13">
    <w:abstractNumId w:val="4"/>
  </w:num>
  <w:num w:numId="14">
    <w:abstractNumId w:val="13"/>
  </w:num>
  <w:num w:numId="15">
    <w:abstractNumId w:val="18"/>
  </w:num>
  <w:num w:numId="16">
    <w:abstractNumId w:val="3"/>
  </w:num>
  <w:num w:numId="17">
    <w:abstractNumId w:val="8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6B"/>
    <w:rsid w:val="00012BE5"/>
    <w:rsid w:val="00014230"/>
    <w:rsid w:val="00017B61"/>
    <w:rsid w:val="00037A97"/>
    <w:rsid w:val="00046FF1"/>
    <w:rsid w:val="00054AB1"/>
    <w:rsid w:val="000602E5"/>
    <w:rsid w:val="000841FA"/>
    <w:rsid w:val="00095AFC"/>
    <w:rsid w:val="000A773F"/>
    <w:rsid w:val="000B6A21"/>
    <w:rsid w:val="000C2C8A"/>
    <w:rsid w:val="000E289E"/>
    <w:rsid w:val="000F7C40"/>
    <w:rsid w:val="001034D8"/>
    <w:rsid w:val="00134655"/>
    <w:rsid w:val="00144CA6"/>
    <w:rsid w:val="00152CB6"/>
    <w:rsid w:val="00173F31"/>
    <w:rsid w:val="00174CCD"/>
    <w:rsid w:val="001936F7"/>
    <w:rsid w:val="00194B44"/>
    <w:rsid w:val="00197960"/>
    <w:rsid w:val="001A0C60"/>
    <w:rsid w:val="001A1974"/>
    <w:rsid w:val="001D7E47"/>
    <w:rsid w:val="001E11C3"/>
    <w:rsid w:val="001E2283"/>
    <w:rsid w:val="00213BBC"/>
    <w:rsid w:val="002338DA"/>
    <w:rsid w:val="00236A27"/>
    <w:rsid w:val="002404F8"/>
    <w:rsid w:val="002452BE"/>
    <w:rsid w:val="002504AD"/>
    <w:rsid w:val="002524A9"/>
    <w:rsid w:val="00260677"/>
    <w:rsid w:val="00273E1C"/>
    <w:rsid w:val="002A6E0C"/>
    <w:rsid w:val="002C37A1"/>
    <w:rsid w:val="002C552B"/>
    <w:rsid w:val="002C59F7"/>
    <w:rsid w:val="002D3726"/>
    <w:rsid w:val="002E64B0"/>
    <w:rsid w:val="002E6A59"/>
    <w:rsid w:val="00327B6D"/>
    <w:rsid w:val="003374C8"/>
    <w:rsid w:val="00375E99"/>
    <w:rsid w:val="003B331C"/>
    <w:rsid w:val="003B6DCA"/>
    <w:rsid w:val="003C0D37"/>
    <w:rsid w:val="003C1C6B"/>
    <w:rsid w:val="003C692B"/>
    <w:rsid w:val="003D3C0D"/>
    <w:rsid w:val="003E32C3"/>
    <w:rsid w:val="003E6739"/>
    <w:rsid w:val="0041465E"/>
    <w:rsid w:val="00416460"/>
    <w:rsid w:val="00427134"/>
    <w:rsid w:val="00435942"/>
    <w:rsid w:val="004360FC"/>
    <w:rsid w:val="00437513"/>
    <w:rsid w:val="00453E98"/>
    <w:rsid w:val="0045449A"/>
    <w:rsid w:val="00454A08"/>
    <w:rsid w:val="00456FFB"/>
    <w:rsid w:val="00466DDF"/>
    <w:rsid w:val="00474E91"/>
    <w:rsid w:val="00476713"/>
    <w:rsid w:val="004A361E"/>
    <w:rsid w:val="004C54F4"/>
    <w:rsid w:val="004E439B"/>
    <w:rsid w:val="00503385"/>
    <w:rsid w:val="00515ECF"/>
    <w:rsid w:val="00521EB5"/>
    <w:rsid w:val="005233B4"/>
    <w:rsid w:val="00524813"/>
    <w:rsid w:val="00560EF8"/>
    <w:rsid w:val="0058632C"/>
    <w:rsid w:val="00597EBD"/>
    <w:rsid w:val="005A2B25"/>
    <w:rsid w:val="005B0AF1"/>
    <w:rsid w:val="005D0CBA"/>
    <w:rsid w:val="005D5CC2"/>
    <w:rsid w:val="005E5C83"/>
    <w:rsid w:val="006059CA"/>
    <w:rsid w:val="0060687C"/>
    <w:rsid w:val="0063076D"/>
    <w:rsid w:val="006329A9"/>
    <w:rsid w:val="00637546"/>
    <w:rsid w:val="00647462"/>
    <w:rsid w:val="006476F3"/>
    <w:rsid w:val="00650424"/>
    <w:rsid w:val="00696B40"/>
    <w:rsid w:val="006A7B1F"/>
    <w:rsid w:val="006B221C"/>
    <w:rsid w:val="006B5137"/>
    <w:rsid w:val="006C3CC9"/>
    <w:rsid w:val="006C6AD8"/>
    <w:rsid w:val="006E3969"/>
    <w:rsid w:val="006F27CC"/>
    <w:rsid w:val="006F3727"/>
    <w:rsid w:val="007264AB"/>
    <w:rsid w:val="0074562B"/>
    <w:rsid w:val="00761E8D"/>
    <w:rsid w:val="00762179"/>
    <w:rsid w:val="00766A4F"/>
    <w:rsid w:val="007735CA"/>
    <w:rsid w:val="00776754"/>
    <w:rsid w:val="007A4AF5"/>
    <w:rsid w:val="007B0CC5"/>
    <w:rsid w:val="007C31D8"/>
    <w:rsid w:val="007C62D2"/>
    <w:rsid w:val="007D27FE"/>
    <w:rsid w:val="007D3B44"/>
    <w:rsid w:val="007E4EAE"/>
    <w:rsid w:val="00801987"/>
    <w:rsid w:val="00817009"/>
    <w:rsid w:val="00825CA4"/>
    <w:rsid w:val="00830632"/>
    <w:rsid w:val="00851258"/>
    <w:rsid w:val="00866F95"/>
    <w:rsid w:val="00870601"/>
    <w:rsid w:val="00874791"/>
    <w:rsid w:val="008768B1"/>
    <w:rsid w:val="0089500F"/>
    <w:rsid w:val="00896D33"/>
    <w:rsid w:val="00897BE3"/>
    <w:rsid w:val="008A2E3A"/>
    <w:rsid w:val="008D0F3A"/>
    <w:rsid w:val="008D588C"/>
    <w:rsid w:val="008E4DFD"/>
    <w:rsid w:val="008E6F5E"/>
    <w:rsid w:val="008E7B90"/>
    <w:rsid w:val="00930A43"/>
    <w:rsid w:val="009330E3"/>
    <w:rsid w:val="009347DF"/>
    <w:rsid w:val="00941442"/>
    <w:rsid w:val="009438CD"/>
    <w:rsid w:val="00955687"/>
    <w:rsid w:val="00964BF5"/>
    <w:rsid w:val="009876E5"/>
    <w:rsid w:val="009940E3"/>
    <w:rsid w:val="009A5AAD"/>
    <w:rsid w:val="009B0DC2"/>
    <w:rsid w:val="009B48EE"/>
    <w:rsid w:val="009D5D16"/>
    <w:rsid w:val="009E0BC5"/>
    <w:rsid w:val="009E67D6"/>
    <w:rsid w:val="009E7267"/>
    <w:rsid w:val="00A120CA"/>
    <w:rsid w:val="00A16506"/>
    <w:rsid w:val="00A204A8"/>
    <w:rsid w:val="00A323A5"/>
    <w:rsid w:val="00A464DA"/>
    <w:rsid w:val="00A46807"/>
    <w:rsid w:val="00A53918"/>
    <w:rsid w:val="00A57B97"/>
    <w:rsid w:val="00A73EC3"/>
    <w:rsid w:val="00A92898"/>
    <w:rsid w:val="00A93A49"/>
    <w:rsid w:val="00A95AFD"/>
    <w:rsid w:val="00A96ACF"/>
    <w:rsid w:val="00AC1061"/>
    <w:rsid w:val="00AD6D30"/>
    <w:rsid w:val="00AE2C5C"/>
    <w:rsid w:val="00AE5E60"/>
    <w:rsid w:val="00AF3523"/>
    <w:rsid w:val="00AF4966"/>
    <w:rsid w:val="00B0392F"/>
    <w:rsid w:val="00B54C9A"/>
    <w:rsid w:val="00B80AB6"/>
    <w:rsid w:val="00BA148B"/>
    <w:rsid w:val="00BA62C3"/>
    <w:rsid w:val="00BA79B8"/>
    <w:rsid w:val="00BC4991"/>
    <w:rsid w:val="00BC4B09"/>
    <w:rsid w:val="00BD5F20"/>
    <w:rsid w:val="00BE40CC"/>
    <w:rsid w:val="00BE5C1D"/>
    <w:rsid w:val="00BE73A7"/>
    <w:rsid w:val="00BF3E7B"/>
    <w:rsid w:val="00BF6951"/>
    <w:rsid w:val="00C248A8"/>
    <w:rsid w:val="00C50B61"/>
    <w:rsid w:val="00C742C9"/>
    <w:rsid w:val="00C91DC4"/>
    <w:rsid w:val="00C92EEB"/>
    <w:rsid w:val="00CA022B"/>
    <w:rsid w:val="00CB2994"/>
    <w:rsid w:val="00CC091D"/>
    <w:rsid w:val="00CC0B4B"/>
    <w:rsid w:val="00CC1D63"/>
    <w:rsid w:val="00CC4638"/>
    <w:rsid w:val="00CE4A8B"/>
    <w:rsid w:val="00CF10D4"/>
    <w:rsid w:val="00CF1B02"/>
    <w:rsid w:val="00CF485D"/>
    <w:rsid w:val="00D04F94"/>
    <w:rsid w:val="00D155E6"/>
    <w:rsid w:val="00D32A78"/>
    <w:rsid w:val="00D52B67"/>
    <w:rsid w:val="00D55E4A"/>
    <w:rsid w:val="00D708A8"/>
    <w:rsid w:val="00D97773"/>
    <w:rsid w:val="00DD605A"/>
    <w:rsid w:val="00DF31DF"/>
    <w:rsid w:val="00E04FB8"/>
    <w:rsid w:val="00E16120"/>
    <w:rsid w:val="00E25E1C"/>
    <w:rsid w:val="00E31AD6"/>
    <w:rsid w:val="00E325C5"/>
    <w:rsid w:val="00E41866"/>
    <w:rsid w:val="00E462BF"/>
    <w:rsid w:val="00E56EC1"/>
    <w:rsid w:val="00E66F9E"/>
    <w:rsid w:val="00E83C57"/>
    <w:rsid w:val="00EB3C50"/>
    <w:rsid w:val="00EC6718"/>
    <w:rsid w:val="00ED0BD4"/>
    <w:rsid w:val="00EE5015"/>
    <w:rsid w:val="00EF14B0"/>
    <w:rsid w:val="00F129D8"/>
    <w:rsid w:val="00F22DA8"/>
    <w:rsid w:val="00F23A98"/>
    <w:rsid w:val="00F25030"/>
    <w:rsid w:val="00F30E9B"/>
    <w:rsid w:val="00F4491E"/>
    <w:rsid w:val="00F56C72"/>
    <w:rsid w:val="00F621A4"/>
    <w:rsid w:val="00F8008D"/>
    <w:rsid w:val="00F9608A"/>
    <w:rsid w:val="00FA3B11"/>
    <w:rsid w:val="00FB2C9E"/>
    <w:rsid w:val="00FC5D51"/>
    <w:rsid w:val="00FD317D"/>
    <w:rsid w:val="00FD4382"/>
    <w:rsid w:val="00FF3CC1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79F5"/>
  <w15:docId w15:val="{FFD08F24-E9A7-4206-B0B2-3CB3FE4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5E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3C50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E3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E325C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6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DD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950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950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50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50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00F"/>
    <w:rPr>
      <w:color w:val="605E5C"/>
      <w:shd w:val="clear" w:color="auto" w:fill="E1DFDD"/>
    </w:rPr>
  </w:style>
  <w:style w:type="paragraph" w:customStyle="1" w:styleId="s10950c61">
    <w:name w:val="s10950c61"/>
    <w:basedOn w:val="Normal"/>
    <w:rsid w:val="0041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bb9ee52a">
    <w:name w:val="sbb9ee52a"/>
    <w:basedOn w:val="DefaultParagraphFont"/>
    <w:rsid w:val="0041465E"/>
  </w:style>
  <w:style w:type="character" w:customStyle="1" w:styleId="apple-converted-space">
    <w:name w:val="apple-converted-space"/>
    <w:basedOn w:val="DefaultParagraphFont"/>
    <w:rsid w:val="0041465E"/>
  </w:style>
  <w:style w:type="paragraph" w:customStyle="1" w:styleId="sec177689">
    <w:name w:val="sec177689"/>
    <w:basedOn w:val="Normal"/>
    <w:rsid w:val="0041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umn">
    <w:name w:val="column"/>
    <w:basedOn w:val="DefaultParagraphFont"/>
    <w:rsid w:val="00AE5E60"/>
  </w:style>
  <w:style w:type="character" w:customStyle="1" w:styleId="sa36b60a1">
    <w:name w:val="sa36b60a1"/>
    <w:basedOn w:val="DefaultParagraphFont"/>
    <w:rsid w:val="00637546"/>
  </w:style>
  <w:style w:type="paragraph" w:customStyle="1" w:styleId="s507703f">
    <w:name w:val="s507703f"/>
    <w:basedOn w:val="Normal"/>
    <w:rsid w:val="0063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1cdb767">
    <w:name w:val="sa1cdb767"/>
    <w:basedOn w:val="Normal"/>
    <w:rsid w:val="0063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6af6b1c">
    <w:name w:val="s76af6b1c"/>
    <w:basedOn w:val="Normal"/>
    <w:rsid w:val="0063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81358e1">
    <w:name w:val="s281358e1"/>
    <w:basedOn w:val="Normal"/>
    <w:rsid w:val="0063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d4d42b6">
    <w:name w:val="sfd4d42b6"/>
    <w:basedOn w:val="Normal"/>
    <w:rsid w:val="0063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a692ea6">
    <w:name w:val="s3a692ea6"/>
    <w:basedOn w:val="Normal"/>
    <w:rsid w:val="007C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9100277">
    <w:name w:val="s29100277"/>
    <w:basedOn w:val="DefaultParagraphFont"/>
    <w:rsid w:val="007C62D2"/>
  </w:style>
  <w:style w:type="paragraph" w:customStyle="1" w:styleId="s9d48dd53">
    <w:name w:val="s9d48dd53"/>
    <w:basedOn w:val="Normal"/>
    <w:rsid w:val="007C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1EB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A2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publi">
    <w:name w:val="datepubli"/>
    <w:basedOn w:val="DefaultParagraphFont"/>
    <w:rsid w:val="008A2E3A"/>
  </w:style>
  <w:style w:type="character" w:styleId="PlaceholderText">
    <w:name w:val="Placeholder Text"/>
    <w:basedOn w:val="DefaultParagraphFont"/>
    <w:uiPriority w:val="99"/>
    <w:semiHidden/>
    <w:rsid w:val="00F9608A"/>
    <w:rPr>
      <w:color w:val="666666"/>
    </w:rPr>
  </w:style>
  <w:style w:type="paragraph" w:styleId="Revision">
    <w:name w:val="Revision"/>
    <w:hidden/>
    <w:uiPriority w:val="99"/>
    <w:semiHidden/>
    <w:rsid w:val="00C50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hedocs.worldbank.org/en/doc/6db93b8c3c480bc229d3b7d3e641b6b5-0080012023/original/Forward-Look-Armenia-Judiciary-arm.pdf?cid=eca_fb_armenia_am_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848D-81AB-45AB-9031-7F101339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Hovsepyan</dc:creator>
  <cp:keywords>https://mul2-mia.gov.am/tasks/4108260/oneclick?token=1c4f2a2159735936261f2159e68c8bea</cp:keywords>
  <dc:description/>
  <cp:lastModifiedBy>Srbuhi Aleksanyan</cp:lastModifiedBy>
  <cp:revision>24</cp:revision>
  <cp:lastPrinted>2023-04-03T11:25:00Z</cp:lastPrinted>
  <dcterms:created xsi:type="dcterms:W3CDTF">2025-04-05T08:06:00Z</dcterms:created>
  <dcterms:modified xsi:type="dcterms:W3CDTF">2025-09-18T06:24:00Z</dcterms:modified>
</cp:coreProperties>
</file>