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F0E2" w14:textId="2654F458" w:rsidR="00B149DB" w:rsidRDefault="00B149DB" w:rsidP="00DF0394">
      <w:pPr>
        <w:spacing w:after="0" w:line="240" w:lineRule="auto"/>
        <w:ind w:left="-450" w:right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72D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F35F4AE" w14:textId="03410BB3" w:rsidR="00B149DB" w:rsidRPr="003010C9" w:rsidRDefault="00B149DB" w:rsidP="00DF0394">
      <w:pPr>
        <w:pStyle w:val="ListParagraph"/>
        <w:spacing w:after="0" w:line="240" w:lineRule="auto"/>
        <w:ind w:left="-450" w:right="18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3010C9" w:rsidRP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3010C9" w:rsidRP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2020 թվականի</w:t>
      </w:r>
      <w:r w:rsid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010C9" w:rsidRP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մայիսի 14-ի </w:t>
      </w:r>
      <w:r w:rsid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               </w:t>
      </w:r>
      <w:r w:rsidR="003010C9" w:rsidRP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թիվ 758-</w:t>
      </w:r>
      <w:r w:rsid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="003010C9" w:rsidRP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որոշման մեջ փոփոխություններ </w:t>
      </w:r>
      <w:r w:rsid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="003010C9" w:rsidRP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լրացում</w:t>
      </w:r>
      <w:r w:rsid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010C9" w:rsidRPr="003010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093FC8" w:rsidRPr="00093FC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149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 նախագծի</w:t>
      </w:r>
    </w:p>
    <w:p w14:paraId="13F8843E" w14:textId="77777777" w:rsidR="00B149DB" w:rsidRDefault="00B149DB" w:rsidP="001A07F1">
      <w:pPr>
        <w:spacing w:after="0" w:line="360" w:lineRule="auto"/>
        <w:ind w:left="-450" w:right="18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FF5E782" w14:textId="26B3D146" w:rsidR="00B149DB" w:rsidRPr="00482E7E" w:rsidRDefault="00482E7E" w:rsidP="001A07F1">
      <w:pPr>
        <w:pStyle w:val="ListParagraph"/>
        <w:spacing w:after="0" w:line="360" w:lineRule="auto"/>
        <w:ind w:left="-450" w:right="180" w:firstLine="630"/>
        <w:jc w:val="both"/>
        <w:rPr>
          <w:rFonts w:ascii="GHEA Grapalat" w:hAnsi="GHEA Grapalat"/>
          <w:b/>
          <w:iCs/>
          <w:sz w:val="24"/>
          <w:szCs w:val="24"/>
          <w:u w:val="single"/>
          <w:lang w:val="hy-AM"/>
        </w:rPr>
      </w:pPr>
      <w:r w:rsidRPr="00477B89">
        <w:rPr>
          <w:rFonts w:ascii="GHEA Grapalat" w:hAnsi="GHEA Grapalat"/>
          <w:b/>
          <w:iCs/>
          <w:sz w:val="24"/>
          <w:szCs w:val="24"/>
          <w:lang w:val="hy-AM"/>
        </w:rPr>
        <w:t xml:space="preserve">1. </w:t>
      </w:r>
      <w:r w:rsidR="00B149DB" w:rsidRPr="00093FC8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Ընթացիկ</w:t>
      </w:r>
      <w:r w:rsidR="00B149DB" w:rsidRPr="00482E7E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 xml:space="preserve"> </w:t>
      </w:r>
      <w:r w:rsidR="00B149DB" w:rsidRPr="00093FC8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իրավիճակը և</w:t>
      </w:r>
      <w:r w:rsidR="00B149DB" w:rsidRPr="00482E7E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 xml:space="preserve"> </w:t>
      </w:r>
      <w:r w:rsidR="00B149DB" w:rsidRPr="00093FC8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իրավական ակտի ընդունման անհրաժեշտությունը</w:t>
      </w:r>
      <w:r w:rsidR="00B149DB" w:rsidRPr="00482E7E">
        <w:rPr>
          <w:rFonts w:ascii="GHEA Grapalat" w:hAnsi="GHEA Grapalat" w:hint="eastAsia"/>
          <w:b/>
          <w:iCs/>
          <w:sz w:val="24"/>
          <w:szCs w:val="24"/>
          <w:u w:val="single"/>
          <w:lang w:val="hy-AM"/>
        </w:rPr>
        <w:t>․</w:t>
      </w:r>
    </w:p>
    <w:p w14:paraId="6117A62E" w14:textId="468DA4D7" w:rsidR="00B149DB" w:rsidRDefault="00B149DB" w:rsidP="001A07F1">
      <w:pPr>
        <w:pStyle w:val="ListParagraph"/>
        <w:spacing w:after="0" w:line="360" w:lineRule="auto"/>
        <w:ind w:left="-450" w:right="180" w:firstLine="63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Ներկայումս 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առգրավված</w:t>
      </w:r>
      <w:r w:rsid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վերցված, կամավոր հանձնված, գտնված զենքը, հրազենի հիմնական բաղկացուցիչ մասերը և ռազմամթերքը </w:t>
      </w:r>
      <w:r w:rsid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Ոստիկանություն 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փոխանցելու</w:t>
      </w:r>
      <w:r w:rsidR="0029026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Ոստիկանության 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զինապահեստ ընդունելու</w:t>
      </w:r>
      <w:r w:rsid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 ինչպես նաև</w:t>
      </w:r>
      <w:r w:rsidR="0029026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դրանք ոչնչացնելու գործընթացը</w:t>
      </w:r>
      <w:r w:rsid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կանոնակարգված է ՀՀ կառավարության 2020թ</w:t>
      </w:r>
      <w:r w:rsidR="002B0F79" w:rsidRPr="002B0F79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մայիսի 14-ի թիվ 758-Ն որոշմամբ</w:t>
      </w:r>
      <w:r w:rsidR="0062515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625151" w:rsidRPr="0062515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(</w:t>
      </w:r>
      <w:r w:rsidR="0062515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այսուհետ՝ Որոշում</w:t>
      </w:r>
      <w:r w:rsidR="00625151" w:rsidRPr="0062515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)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։</w:t>
      </w:r>
    </w:p>
    <w:p w14:paraId="3F8DE061" w14:textId="7E406801" w:rsidR="002B0F79" w:rsidRPr="002B0F79" w:rsidRDefault="00625151" w:rsidP="001A07F1">
      <w:pPr>
        <w:pStyle w:val="ListParagraph"/>
        <w:spacing w:after="0" w:line="360" w:lineRule="auto"/>
        <w:ind w:left="-450" w:right="180" w:firstLine="63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</w:t>
      </w:r>
      <w:r w:rsid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րոշման </w:t>
      </w:r>
      <w:r w:rsidR="0064493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ը</w:t>
      </w:r>
      <w:r w:rsidR="00EA0CE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նդ</w:t>
      </w:r>
      <w:r w:rsidR="0064493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հանուր տրամաբանությունը հանգում է նրան, որ 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օգտագործման համար պիտանի զենքը, հրազենի հիմնական բաղկացուցիչ մասերը</w:t>
      </w:r>
      <w:r w:rsidR="0064493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սահմանված կարգով 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հաշվառվում </w:t>
      </w:r>
      <w:r w:rsidR="0064493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են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64493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ստիկանության սպառազինության մեջ` հետագայում ծառայողական նպատակներով օգտագործելու համար</w:t>
      </w:r>
      <w:r w:rsidR="0064493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իսկ 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քաղաքացիական և ծառայողական զենքը, հրազենի հիմնական բաղկացուցիչ մասերը</w:t>
      </w:r>
      <w:r w:rsidR="0064493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համապատասխան մասնագետների կողմից գնահատվ</w:t>
      </w:r>
      <w:r w:rsidR="0064493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ելուց հետո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, հանձնվում </w:t>
      </w:r>
      <w:r w:rsidR="0064493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են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կոմիսիոն վաճառքի՝ դրա առևտրով զբաղվելու լիցենզիա ունեցող իրավաբանական անձի միջոցով, որից ստացված գումարը փոխանցվում է պետական բյուջե:</w:t>
      </w:r>
    </w:p>
    <w:p w14:paraId="479F5D47" w14:textId="52E5E8DA" w:rsidR="002B0F79" w:rsidRPr="002B0F79" w:rsidRDefault="00644931" w:rsidP="001A07F1">
      <w:pPr>
        <w:pStyle w:val="ListParagraph"/>
        <w:spacing w:after="0" w:line="360" w:lineRule="auto"/>
        <w:ind w:left="-450" w:right="180" w:firstLine="63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Միաժամանակ, սահմանված է, որ զ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ինապահեստ ընդունված օգտագործման համար ոչ պիտանի զենքը, հրազենի հիմնական բաղկացուցիչ մասերը</w:t>
      </w:r>
      <w:r w:rsidR="00464C1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2B0F79" w:rsidRPr="002B0F79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ենթակա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են</w:t>
      </w:r>
      <w:r w:rsidR="002B0F79" w:rsidRPr="002B0F7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ոչնչացման:</w:t>
      </w:r>
    </w:p>
    <w:p w14:paraId="634F1936" w14:textId="4EE940BD" w:rsidR="00B149DB" w:rsidRDefault="008D399E" w:rsidP="001A07F1">
      <w:pPr>
        <w:pStyle w:val="ListParagraph"/>
        <w:spacing w:after="0" w:line="360" w:lineRule="auto"/>
        <w:ind w:left="-450" w:right="18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A0CE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Այս համատեքստում</w:t>
      </w:r>
      <w:r w:rsidR="0029026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  <w:r w:rsidRPr="00EA0CE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625151">
        <w:rPr>
          <w:rFonts w:ascii="GHEA Grapalat" w:hAnsi="GHEA Grapalat"/>
          <w:sz w:val="24"/>
          <w:szCs w:val="24"/>
          <w:lang w:val="hy-AM"/>
        </w:rPr>
        <w:t>Որոշման 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82E45">
        <w:rPr>
          <w:rFonts w:ascii="GHEA Grapalat" w:hAnsi="GHEA Grapalat"/>
          <w:sz w:val="24"/>
          <w:szCs w:val="24"/>
          <w:lang w:val="hy-AM"/>
        </w:rPr>
        <w:t xml:space="preserve">անհրաժեշտ է հստակեցնել </w:t>
      </w:r>
      <w:r>
        <w:rPr>
          <w:rFonts w:ascii="GHEA Grapalat" w:hAnsi="GHEA Grapalat"/>
          <w:sz w:val="24"/>
          <w:szCs w:val="24"/>
          <w:lang w:val="hy-AM"/>
        </w:rPr>
        <w:t>Ոստիկանություն փոխանցված որպես պարգև տրված զենքեր</w:t>
      </w:r>
      <w:r w:rsidR="0062515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625151" w:rsidRPr="00625151">
        <w:rPr>
          <w:rFonts w:ascii="GHEA Grapalat" w:hAnsi="GHEA Grapalat"/>
          <w:sz w:val="24"/>
          <w:szCs w:val="24"/>
          <w:lang w:val="hy-AM"/>
        </w:rPr>
        <w:t>(</w:t>
      </w:r>
      <w:r w:rsidR="00625151">
        <w:rPr>
          <w:rFonts w:ascii="GHEA Grapalat" w:hAnsi="GHEA Grapalat"/>
          <w:sz w:val="24"/>
          <w:szCs w:val="24"/>
          <w:lang w:val="hy-AM"/>
        </w:rPr>
        <w:t>որոնք «Զենքի շրջանառության կարգավորման մասին» օրենքի հիման վրա ենթակա չեն վերադարձման տիրոջը</w:t>
      </w:r>
      <w:r w:rsidR="00625151" w:rsidRPr="00625151">
        <w:rPr>
          <w:rFonts w:ascii="GHEA Grapalat" w:hAnsi="GHEA Grapalat"/>
          <w:sz w:val="24"/>
          <w:szCs w:val="24"/>
          <w:lang w:val="hy-AM"/>
        </w:rPr>
        <w:t>)</w:t>
      </w:r>
      <w:r w:rsidR="00625151">
        <w:rPr>
          <w:rFonts w:ascii="GHEA Grapalat" w:hAnsi="GHEA Grapalat"/>
          <w:sz w:val="24"/>
          <w:szCs w:val="24"/>
          <w:lang w:val="hy-AM"/>
        </w:rPr>
        <w:t xml:space="preserve"> հետագա տնօրինման</w:t>
      </w:r>
      <w:r w:rsidR="00582E45">
        <w:rPr>
          <w:rFonts w:ascii="GHEA Grapalat" w:hAnsi="GHEA Grapalat"/>
          <w:sz w:val="24"/>
          <w:szCs w:val="24"/>
          <w:lang w:val="hy-AM"/>
        </w:rPr>
        <w:t>ը</w:t>
      </w:r>
      <w:r w:rsidR="00625151">
        <w:rPr>
          <w:rFonts w:ascii="GHEA Grapalat" w:hAnsi="GHEA Grapalat"/>
          <w:sz w:val="24"/>
          <w:szCs w:val="24"/>
          <w:lang w:val="hy-AM"/>
        </w:rPr>
        <w:t xml:space="preserve"> և օգտագործման</w:t>
      </w:r>
      <w:r w:rsidR="00582E45">
        <w:rPr>
          <w:rFonts w:ascii="GHEA Grapalat" w:hAnsi="GHEA Grapalat"/>
          <w:sz w:val="24"/>
          <w:szCs w:val="24"/>
          <w:lang w:val="hy-AM"/>
        </w:rPr>
        <w:t>ը</w:t>
      </w:r>
      <w:r w:rsidR="00625151">
        <w:rPr>
          <w:rFonts w:ascii="GHEA Grapalat" w:hAnsi="GHEA Grapalat"/>
          <w:sz w:val="24"/>
          <w:szCs w:val="24"/>
          <w:lang w:val="hy-AM"/>
        </w:rPr>
        <w:t xml:space="preserve"> վերաբեր</w:t>
      </w:r>
      <w:r w:rsidR="00582E45">
        <w:rPr>
          <w:rFonts w:ascii="GHEA Grapalat" w:hAnsi="GHEA Grapalat"/>
          <w:sz w:val="24"/>
          <w:szCs w:val="24"/>
          <w:lang w:val="hy-AM"/>
        </w:rPr>
        <w:t>ող</w:t>
      </w:r>
      <w:r w:rsidR="006251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9A2">
        <w:rPr>
          <w:rFonts w:ascii="GHEA Grapalat" w:hAnsi="GHEA Grapalat"/>
          <w:sz w:val="24"/>
          <w:szCs w:val="24"/>
          <w:lang w:val="hy-AM"/>
        </w:rPr>
        <w:t>կարգավորումները</w:t>
      </w:r>
      <w:r w:rsidR="00582E45"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3B6E38B" w14:textId="054EE6C1" w:rsidR="000C2FBA" w:rsidRDefault="000C2FBA" w:rsidP="001A07F1">
      <w:pPr>
        <w:spacing w:after="0" w:line="360" w:lineRule="auto"/>
        <w:ind w:left="-450" w:right="180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Վերոգրյալից զատ, </w:t>
      </w:r>
      <w:r w:rsidR="003839A2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 xml:space="preserve">րոշման մեջ պահպանվել են Ոստիկանության </w:t>
      </w:r>
      <w:r w:rsidRPr="000C2FBA">
        <w:rPr>
          <w:rFonts w:ascii="GHEA Grapalat" w:hAnsi="GHEA Grapalat"/>
          <w:sz w:val="24"/>
          <w:szCs w:val="24"/>
          <w:lang w:val="hy-AM"/>
        </w:rPr>
        <w:t>փորձաքրեագիտական վարչությ</w:t>
      </w:r>
      <w:r>
        <w:rPr>
          <w:rFonts w:ascii="GHEA Grapalat" w:hAnsi="GHEA Grapalat"/>
          <w:sz w:val="24"/>
          <w:szCs w:val="24"/>
          <w:lang w:val="hy-AM"/>
        </w:rPr>
        <w:t>անն առնչվող կարգավորումներ, այնինչ՝ նախընթաց օրենսդրական վերանայումների արդյունքում</w:t>
      </w:r>
      <w:r w:rsidR="00582E45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2FBA">
        <w:rPr>
          <w:rFonts w:ascii="GHEA Grapalat" w:hAnsi="GHEA Grapalat"/>
          <w:sz w:val="24"/>
          <w:szCs w:val="24"/>
          <w:lang w:val="hy-AM"/>
        </w:rPr>
        <w:t>«Հայաստանի Հանրապետության փորձագիտական կենտրոն» պետական ոչ առևտրային կազմակերպությ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0C2FBA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ձևավորմամբ պայմանավորված</w:t>
      </w:r>
      <w:r w:rsidR="00290268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այլևս դադարեցվել է այդ վարչության գործունեությունը։ Հետևաբար, անհրաժեշտություն է առաջացել համարժեքորեն վերանայել նաև այդ դրույթները։</w:t>
      </w:r>
    </w:p>
    <w:p w14:paraId="030B466E" w14:textId="77777777" w:rsidR="00DF0394" w:rsidRDefault="00DF0394" w:rsidP="001A07F1">
      <w:pPr>
        <w:spacing w:after="0" w:line="360" w:lineRule="auto"/>
        <w:ind w:left="-450" w:right="180"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C871909" w14:textId="77777777" w:rsidR="00B149DB" w:rsidRPr="00CC7992" w:rsidRDefault="00B149DB" w:rsidP="001A07F1">
      <w:pPr>
        <w:spacing w:after="0" w:line="360" w:lineRule="auto"/>
        <w:ind w:left="-450" w:right="180" w:firstLine="630"/>
        <w:contextualSpacing/>
        <w:jc w:val="both"/>
        <w:rPr>
          <w:rFonts w:ascii="GHEA Grapalat" w:hAnsi="GHEA Grapalat"/>
          <w:b/>
          <w:iCs/>
          <w:sz w:val="24"/>
          <w:szCs w:val="24"/>
          <w:u w:val="single"/>
          <w:lang w:val="hy-AM"/>
        </w:rPr>
      </w:pPr>
      <w:r w:rsidRPr="00477B89">
        <w:rPr>
          <w:rFonts w:ascii="GHEA Grapalat" w:hAnsi="GHEA Grapalat" w:cs="IRTEK Courier"/>
          <w:b/>
          <w:iCs/>
          <w:sz w:val="24"/>
          <w:szCs w:val="24"/>
          <w:lang w:val="hy-AM"/>
        </w:rPr>
        <w:t>2</w:t>
      </w:r>
      <w:r w:rsidRPr="00477B89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  <w:r w:rsidRPr="00477B89">
        <w:rPr>
          <w:rFonts w:ascii="GHEA Grapalat" w:hAnsi="GHEA Grapalat" w:cs="IRTEK Courier"/>
          <w:b/>
          <w:iCs/>
          <w:sz w:val="24"/>
          <w:szCs w:val="24"/>
          <w:lang w:val="hy-AM"/>
        </w:rPr>
        <w:t xml:space="preserve"> </w:t>
      </w:r>
      <w:r w:rsidRPr="00CC7992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Առաջարկվող կարգավորման բնույթը.</w:t>
      </w:r>
    </w:p>
    <w:p w14:paraId="15D8681B" w14:textId="25723985" w:rsidR="007D0469" w:rsidRDefault="00B149DB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96502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lastRenderedPageBreak/>
        <w:t>Նա</w:t>
      </w:r>
      <w:r w:rsidRPr="00C96502">
        <w:rPr>
          <w:rFonts w:ascii="GHEA Grapalat" w:hAnsi="GHEA Grapalat"/>
          <w:color w:val="000000"/>
          <w:shd w:val="clear" w:color="auto" w:fill="FFFFFF"/>
          <w:lang w:val="hy-AM"/>
        </w:rPr>
        <w:t xml:space="preserve">խագծով առաջարկվում է </w:t>
      </w:r>
      <w:r w:rsidR="00582E45">
        <w:rPr>
          <w:rFonts w:ascii="GHEA Grapalat" w:hAnsi="GHEA Grapalat"/>
          <w:lang w:val="hy-AM"/>
        </w:rPr>
        <w:t xml:space="preserve">հստակեցնել Ոստիկանություն փոխանցված որպես պարգև տրված զենքերի </w:t>
      </w:r>
      <w:r w:rsidR="00582E45" w:rsidRPr="00625151">
        <w:rPr>
          <w:rFonts w:ascii="GHEA Grapalat" w:hAnsi="GHEA Grapalat"/>
          <w:lang w:val="hy-AM"/>
        </w:rPr>
        <w:t>(</w:t>
      </w:r>
      <w:r w:rsidR="00582E45">
        <w:rPr>
          <w:rFonts w:ascii="GHEA Grapalat" w:hAnsi="GHEA Grapalat"/>
          <w:lang w:val="hy-AM"/>
        </w:rPr>
        <w:t>որոնք «Զենքի շրջանառության կարգավորման մասին» օրենքի հիման վրա ենթակա չեն վերադարձման տիրոջը</w:t>
      </w:r>
      <w:r w:rsidR="00582E45" w:rsidRPr="00625151">
        <w:rPr>
          <w:rFonts w:ascii="GHEA Grapalat" w:hAnsi="GHEA Grapalat"/>
          <w:lang w:val="hy-AM"/>
        </w:rPr>
        <w:t>)</w:t>
      </w:r>
      <w:r w:rsidR="00582E45">
        <w:rPr>
          <w:rFonts w:ascii="GHEA Grapalat" w:hAnsi="GHEA Grapalat"/>
          <w:lang w:val="hy-AM"/>
        </w:rPr>
        <w:t xml:space="preserve"> հետագա տնօրինմանը և օգտագործմանը վերաբերող կարգավորումները</w:t>
      </w:r>
      <w:r w:rsidR="00582E45">
        <w:rPr>
          <w:rFonts w:ascii="GHEA Grapalat" w:hAnsi="GHEA Grapalat"/>
          <w:lang w:val="hy-AM"/>
        </w:rPr>
        <w:t xml:space="preserve">, որի արդյունքում առավել որոշակի կդառնան նման զենքերի </w:t>
      </w:r>
      <w:r w:rsidR="000C2FBA" w:rsidRPr="000C2FBA">
        <w:rPr>
          <w:rFonts w:ascii="GHEA Grapalat" w:hAnsi="GHEA Grapalat"/>
          <w:color w:val="000000"/>
          <w:shd w:val="clear" w:color="auto" w:fill="FFFFFF"/>
          <w:lang w:val="hy-AM"/>
        </w:rPr>
        <w:t>մալ</w:t>
      </w:r>
      <w:r w:rsidR="000C2FBA">
        <w:rPr>
          <w:rFonts w:ascii="GHEA Grapalat" w:hAnsi="GHEA Grapalat"/>
          <w:color w:val="000000"/>
          <w:shd w:val="clear" w:color="auto" w:fill="FFFFFF"/>
          <w:lang w:val="hy-AM"/>
        </w:rPr>
        <w:t>ելու</w:t>
      </w:r>
      <w:r w:rsidR="00582E45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0C2FBA" w:rsidRPr="000C2FB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839A2" w:rsidRPr="003839A2">
        <w:rPr>
          <w:rFonts w:ascii="GHEA Grapalat" w:hAnsi="GHEA Grapalat"/>
          <w:color w:val="000000"/>
          <w:shd w:val="clear" w:color="auto" w:fill="FFFFFF"/>
          <w:lang w:val="hy-AM"/>
        </w:rPr>
        <w:t>չմալել</w:t>
      </w:r>
      <w:r w:rsidR="00582E45">
        <w:rPr>
          <w:rFonts w:ascii="GHEA Grapalat" w:hAnsi="GHEA Grapalat"/>
          <w:color w:val="000000"/>
          <w:shd w:val="clear" w:color="auto" w:fill="FFFFFF"/>
          <w:lang w:val="hy-AM"/>
        </w:rPr>
        <w:t>ու</w:t>
      </w:r>
      <w:r w:rsidR="003839A2" w:rsidRPr="003839A2">
        <w:rPr>
          <w:rFonts w:ascii="GHEA Grapalat" w:hAnsi="GHEA Grapalat"/>
          <w:color w:val="000000"/>
          <w:shd w:val="clear" w:color="auto" w:fill="FFFFFF"/>
          <w:lang w:val="hy-AM"/>
        </w:rPr>
        <w:t xml:space="preserve"> և </w:t>
      </w:r>
      <w:r w:rsidR="00301FE1">
        <w:rPr>
          <w:rFonts w:ascii="GHEA Grapalat" w:hAnsi="GHEA Grapalat"/>
          <w:color w:val="000000"/>
          <w:shd w:val="clear" w:color="auto" w:fill="FFFFFF"/>
          <w:lang w:val="hy-AM"/>
        </w:rPr>
        <w:t>չոչնչացնել</w:t>
      </w:r>
      <w:r w:rsidR="00582E45">
        <w:rPr>
          <w:rFonts w:ascii="GHEA Grapalat" w:hAnsi="GHEA Grapalat"/>
          <w:color w:val="000000"/>
          <w:shd w:val="clear" w:color="auto" w:fill="FFFFFF"/>
          <w:lang w:val="hy-AM"/>
        </w:rPr>
        <w:t xml:space="preserve">ու վերաբերյալ </w:t>
      </w:r>
      <w:r w:rsidR="00DF0394">
        <w:rPr>
          <w:rFonts w:ascii="GHEA Grapalat" w:hAnsi="GHEA Grapalat"/>
          <w:color w:val="000000"/>
          <w:shd w:val="clear" w:color="auto" w:fill="FFFFFF"/>
          <w:lang w:val="hy-AM"/>
        </w:rPr>
        <w:t>դրույթ</w:t>
      </w:r>
      <w:r w:rsidR="00582E45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="00DF0394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7D0469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53C45C9F" w14:textId="4E454D11" w:rsidR="000C2FBA" w:rsidRDefault="000C2FBA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Զուգահեռաբար, </w:t>
      </w:r>
      <w:r>
        <w:rPr>
          <w:rFonts w:ascii="GHEA Grapalat" w:hAnsi="GHEA Grapalat"/>
          <w:lang w:val="hy-AM"/>
        </w:rPr>
        <w:t xml:space="preserve">Ոստիկանության </w:t>
      </w:r>
      <w:r w:rsidRPr="000C2FBA">
        <w:rPr>
          <w:rFonts w:ascii="GHEA Grapalat" w:hAnsi="GHEA Grapalat" w:cstheme="minorBidi"/>
          <w:lang w:val="hy-AM"/>
        </w:rPr>
        <w:t>փորձաքրեագիտական վարչությ</w:t>
      </w:r>
      <w:r>
        <w:rPr>
          <w:rFonts w:ascii="GHEA Grapalat" w:hAnsi="GHEA Grapalat"/>
          <w:lang w:val="hy-AM"/>
        </w:rPr>
        <w:t xml:space="preserve">անն առնչվող կարգավորումները խմբագրվում են այնպես, որպեսզի դրանք վերաբերելի լինեն </w:t>
      </w:r>
      <w:r w:rsidRPr="000C2FBA">
        <w:rPr>
          <w:rFonts w:ascii="GHEA Grapalat" w:hAnsi="GHEA Grapalat"/>
          <w:lang w:val="hy-AM"/>
        </w:rPr>
        <w:t>«Հայաստանի Հանրապետության փորձագիտական կենտրոն» պետական ոչ առևտրային կազմակերպությ</w:t>
      </w:r>
      <w:r>
        <w:rPr>
          <w:rFonts w:ascii="GHEA Grapalat" w:hAnsi="GHEA Grapalat"/>
          <w:lang w:val="hy-AM"/>
        </w:rPr>
        <w:t>ա</w:t>
      </w:r>
      <w:r w:rsidRPr="000C2FBA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>ը։</w:t>
      </w:r>
    </w:p>
    <w:p w14:paraId="53AA6DB3" w14:textId="77777777" w:rsidR="000C2FBA" w:rsidRPr="000C2FBA" w:rsidRDefault="000C2FBA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A944BDA" w14:textId="77777777" w:rsidR="000F2A99" w:rsidRPr="00C76918" w:rsidRDefault="000F2A99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textAlignment w:val="baseline"/>
        <w:rPr>
          <w:rStyle w:val="Strong"/>
          <w:rFonts w:asciiTheme="minorHAnsi" w:eastAsia="MS Mincho" w:hAnsiTheme="minorHAnsi" w:cs="MS Mincho"/>
          <w:iCs/>
          <w:u w:val="single"/>
          <w:bdr w:val="none" w:sz="0" w:space="0" w:color="auto" w:frame="1"/>
          <w:lang w:val="hy-AM"/>
        </w:rPr>
      </w:pPr>
      <w:r w:rsidRPr="00477B89">
        <w:rPr>
          <w:rStyle w:val="Strong"/>
          <w:rFonts w:ascii="GHEA Grapalat" w:hAnsi="GHEA Grapalat" w:cs="GHEA Grapalat" w:hint="eastAsia"/>
          <w:iCs/>
          <w:bdr w:val="none" w:sz="0" w:space="0" w:color="auto" w:frame="1"/>
          <w:lang w:val="hy-AM"/>
        </w:rPr>
        <w:t>3</w:t>
      </w:r>
      <w:r w:rsidRPr="00477B89">
        <w:rPr>
          <w:rStyle w:val="Strong"/>
          <w:iCs/>
          <w:bdr w:val="none" w:sz="0" w:space="0" w:color="auto" w:frame="1"/>
          <w:lang w:val="hy-AM"/>
        </w:rPr>
        <w:t>․</w:t>
      </w:r>
      <w:r w:rsidRPr="00477B89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> 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Լրացուցիչ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ֆինանսական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միջոցների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անհրաժեշտությունը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և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պետական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բյուջեի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եկամուտներում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և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ծախսերում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սպասվելիք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փոփոխություններ</w:t>
      </w:r>
      <w:r w:rsidRPr="00111513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ը</w:t>
      </w:r>
      <w:r w:rsidRPr="00C76918">
        <w:rPr>
          <w:rStyle w:val="Strong"/>
          <w:rFonts w:ascii="MS Mincho" w:eastAsia="MS Mincho" w:hAnsi="MS Mincho" w:cs="MS Mincho" w:hint="eastAsia"/>
          <w:iCs/>
          <w:u w:val="single"/>
          <w:bdr w:val="none" w:sz="0" w:space="0" w:color="auto" w:frame="1"/>
          <w:lang w:val="es-ES"/>
        </w:rPr>
        <w:t>․</w:t>
      </w:r>
    </w:p>
    <w:p w14:paraId="262EEBC0" w14:textId="34A42D96" w:rsidR="000F2A99" w:rsidRPr="00F05F89" w:rsidRDefault="000F2A99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rPr>
          <w:rFonts w:ascii="GHEA Grapalat" w:hAnsi="GHEA Grapalat"/>
          <w:color w:val="000000"/>
          <w:lang w:val="hy-AM"/>
        </w:rPr>
      </w:pPr>
      <w:r w:rsidRPr="00F05F89">
        <w:rPr>
          <w:rFonts w:ascii="GHEA Grapalat" w:hAnsi="GHEA Grapalat"/>
          <w:color w:val="000000"/>
          <w:lang w:val="hy-AM"/>
        </w:rPr>
        <w:t>Նախագծի ընդունմամբ պետական բյուջեում եկամուտների կամ ծախսերի փոփոխություններ չեն նախատեսվում։ </w:t>
      </w:r>
    </w:p>
    <w:p w14:paraId="414A4C99" w14:textId="77777777" w:rsidR="00B149DB" w:rsidRPr="00F758F4" w:rsidRDefault="00B149DB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textAlignment w:val="baseline"/>
        <w:rPr>
          <w:rStyle w:val="Strong"/>
          <w:rFonts w:ascii="GHEA Grapalat" w:hAnsi="GHEA Grapalat"/>
          <w:i/>
          <w:iCs/>
          <w:bdr w:val="none" w:sz="0" w:space="0" w:color="auto" w:frame="1"/>
          <w:lang w:val="hy-AM"/>
        </w:rPr>
      </w:pPr>
    </w:p>
    <w:p w14:paraId="0B688A15" w14:textId="77777777" w:rsidR="008F1768" w:rsidRPr="00831E04" w:rsidRDefault="008F1768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textAlignment w:val="baseline"/>
        <w:rPr>
          <w:rFonts w:asciiTheme="minorHAnsi" w:hAnsiTheme="minorHAnsi"/>
          <w:iCs/>
          <w:lang w:val="hy-AM"/>
        </w:rPr>
      </w:pPr>
      <w:r w:rsidRPr="00477B89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>4</w:t>
      </w:r>
      <w:r w:rsidRPr="00477B89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Pr="00477B89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r w:rsidRPr="00C76918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Նախագծ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ի</w:t>
      </w:r>
      <w:r w:rsidRPr="00C76918">
        <w:rPr>
          <w:rStyle w:val="Strong"/>
          <w:rFonts w:ascii="Calibri" w:hAnsi="Calibri" w:cs="Calibri"/>
          <w:iCs/>
          <w:u w:val="single"/>
          <w:bdr w:val="none" w:sz="0" w:space="0" w:color="auto" w:frame="1"/>
          <w:lang w:val="es-ES"/>
        </w:rPr>
        <w:t> 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մշակման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գործընթացում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ներգրավված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ինստիտուտները</w:t>
      </w:r>
      <w:r w:rsidRPr="00D1011D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8F176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և</w:t>
      </w:r>
      <w:r w:rsidRPr="00D1011D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8F176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անձինք</w:t>
      </w:r>
      <w:r w:rsidRPr="00C76918">
        <w:rPr>
          <w:rStyle w:val="Strong"/>
          <w:rFonts w:ascii="MS Mincho" w:eastAsia="MS Mincho" w:hAnsi="MS Mincho" w:cs="MS Mincho" w:hint="eastAsia"/>
          <w:iCs/>
          <w:u w:val="single"/>
          <w:bdr w:val="none" w:sz="0" w:space="0" w:color="auto" w:frame="1"/>
          <w:lang w:val="es-ES"/>
        </w:rPr>
        <w:t>․</w:t>
      </w:r>
    </w:p>
    <w:p w14:paraId="44860D3D" w14:textId="77777777" w:rsidR="008F1768" w:rsidRDefault="008F1768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textAlignment w:val="baseline"/>
        <w:rPr>
          <w:rFonts w:ascii="GHEA Grapalat" w:hAnsi="GHEA Grapalat"/>
          <w:lang w:val="es-ES"/>
        </w:rPr>
      </w:pPr>
      <w:r w:rsidRPr="00831E04">
        <w:rPr>
          <w:rFonts w:ascii="GHEA Grapalat" w:hAnsi="GHEA Grapalat"/>
          <w:lang w:val="hy-AM"/>
        </w:rPr>
        <w:t>Նախագիծը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մշակվել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է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ՀՀ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ներքին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գործերի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նախարարության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կողմից</w:t>
      </w:r>
      <w:r w:rsidRPr="00F758F4">
        <w:rPr>
          <w:rFonts w:ascii="GHEA Grapalat" w:hAnsi="GHEA Grapalat"/>
          <w:lang w:val="es-ES"/>
        </w:rPr>
        <w:t>:</w:t>
      </w:r>
    </w:p>
    <w:p w14:paraId="0D8A2489" w14:textId="77777777" w:rsidR="007D79AC" w:rsidRDefault="007D79AC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textAlignment w:val="baseline"/>
        <w:rPr>
          <w:rFonts w:ascii="GHEA Grapalat" w:hAnsi="GHEA Grapalat"/>
          <w:lang w:val="es-ES"/>
        </w:rPr>
      </w:pPr>
    </w:p>
    <w:p w14:paraId="692E8067" w14:textId="77777777" w:rsidR="003D1BBE" w:rsidRPr="00C76918" w:rsidRDefault="003D1BBE" w:rsidP="001A07F1">
      <w:pPr>
        <w:spacing w:after="0" w:line="360" w:lineRule="auto"/>
        <w:ind w:left="-446" w:right="187" w:firstLine="634"/>
        <w:contextualSpacing/>
        <w:jc w:val="both"/>
        <w:rPr>
          <w:rStyle w:val="Strong"/>
          <w:rFonts w:ascii="GHEA Grapalat" w:hAnsi="GHEA Grapalat" w:cs="Cambria Math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</w:pPr>
      <w:r w:rsidRPr="00477B89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es-ES"/>
        </w:rPr>
        <w:t>5</w:t>
      </w:r>
      <w:r w:rsidRPr="00477B89">
        <w:rPr>
          <w:rStyle w:val="Strong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  <w:r w:rsidRPr="00477B89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C76918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Կապը</w:t>
      </w:r>
      <w:r w:rsidRPr="00C76918">
        <w:rPr>
          <w:rStyle w:val="Strong"/>
          <w:rFonts w:ascii="Calibri" w:hAnsi="Calibri" w:cs="Calibri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 </w:t>
      </w:r>
      <w:r w:rsidRPr="00C76918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ռազմավարական</w:t>
      </w:r>
      <w:r w:rsidRPr="00C76918">
        <w:rPr>
          <w:rStyle w:val="Strong"/>
          <w:rFonts w:ascii="Calibri" w:hAnsi="Calibri" w:cs="Calibri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 </w:t>
      </w:r>
      <w:r w:rsidRPr="00C76918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փաստաթղթերի</w:t>
      </w:r>
      <w:r w:rsidRPr="00C76918">
        <w:rPr>
          <w:rFonts w:ascii="Calibri" w:hAnsi="Calibri" w:cs="Calibri"/>
          <w:iCs/>
          <w:sz w:val="24"/>
          <w:szCs w:val="24"/>
          <w:u w:val="single"/>
          <w:shd w:val="clear" w:color="auto" w:fill="FFFFFF"/>
          <w:lang w:val="hy-AM"/>
        </w:rPr>
        <w:t> </w:t>
      </w:r>
      <w:r w:rsidRPr="00C76918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հետ</w:t>
      </w:r>
      <w:r w:rsidRPr="00C76918">
        <w:rPr>
          <w:rStyle w:val="Strong"/>
          <w:rFonts w:ascii="MS Mincho" w:eastAsia="MS Mincho" w:hAnsi="MS Mincho" w:cs="MS Mincho" w:hint="eastAsia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․</w:t>
      </w:r>
    </w:p>
    <w:p w14:paraId="3800D7DE" w14:textId="7F0A7F2B" w:rsidR="003D1BBE" w:rsidRDefault="00477B89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46" w:right="187" w:firstLine="634"/>
        <w:contextualSpacing/>
        <w:jc w:val="both"/>
        <w:textAlignment w:val="baseline"/>
        <w:rPr>
          <w:rFonts w:ascii="GHEA Grapalat" w:hAnsi="GHEA Grapalat"/>
          <w:lang w:val="hy-AM"/>
        </w:rPr>
      </w:pPr>
      <w:r w:rsidRPr="00477B89">
        <w:rPr>
          <w:rFonts w:ascii="GHEA Grapalat" w:hAnsi="GHEA Grapalat"/>
          <w:lang w:val="hy-AM"/>
        </w:rPr>
        <w:t xml:space="preserve">Նախագծի ընդունումը </w:t>
      </w:r>
      <w:r w:rsidR="00DF0DA0">
        <w:rPr>
          <w:rFonts w:ascii="GHEA Grapalat" w:hAnsi="GHEA Grapalat"/>
          <w:lang w:val="hy-AM"/>
        </w:rPr>
        <w:t xml:space="preserve">չի </w:t>
      </w:r>
      <w:r w:rsidRPr="00477B89">
        <w:rPr>
          <w:rFonts w:ascii="GHEA Grapalat" w:hAnsi="GHEA Grapalat"/>
          <w:lang w:val="hy-AM"/>
        </w:rPr>
        <w:t xml:space="preserve">բխում </w:t>
      </w:r>
      <w:r w:rsidR="00DF0DA0">
        <w:rPr>
          <w:rFonts w:ascii="GHEA Grapalat" w:hAnsi="GHEA Grapalat"/>
          <w:lang w:val="hy-AM"/>
        </w:rPr>
        <w:t>որևէ ռազմավարական փաստաթղթից</w:t>
      </w:r>
      <w:r>
        <w:rPr>
          <w:rFonts w:ascii="GHEA Grapalat" w:hAnsi="GHEA Grapalat"/>
          <w:lang w:val="hy-AM"/>
        </w:rPr>
        <w:t>։</w:t>
      </w:r>
    </w:p>
    <w:p w14:paraId="7C662EAD" w14:textId="77777777" w:rsidR="00B149DB" w:rsidRDefault="00B149DB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textAlignment w:val="baseline"/>
        <w:rPr>
          <w:rFonts w:ascii="GHEA Grapalat" w:hAnsi="GHEA Grapalat"/>
          <w:lang w:val="hy-AM"/>
        </w:rPr>
      </w:pPr>
    </w:p>
    <w:p w14:paraId="77CD72CB" w14:textId="4CF58247" w:rsidR="006429B3" w:rsidRPr="00EB25D5" w:rsidRDefault="006429B3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textAlignment w:val="baseline"/>
        <w:rPr>
          <w:rStyle w:val="Strong"/>
          <w:rFonts w:cs="GHEA Grapalat"/>
          <w:b w:val="0"/>
          <w:bCs w:val="0"/>
          <w:iCs/>
          <w:u w:val="single"/>
          <w:bdr w:val="none" w:sz="0" w:space="0" w:color="auto" w:frame="1"/>
          <w:lang w:val="hy-AM"/>
        </w:rPr>
      </w:pPr>
      <w:r w:rsidRPr="00477B89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 xml:space="preserve">6. </w:t>
      </w:r>
      <w:r w:rsidRPr="00EB25D5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Նախագծի ընդունման առնչությամբ ընդունվելիք այլ իրավական ակտերի նախագծերը կամ դրանց ընդունման անհրաժեշտությունը.</w:t>
      </w:r>
    </w:p>
    <w:p w14:paraId="1FB9DEA4" w14:textId="7E8EF261" w:rsidR="006429B3" w:rsidRDefault="006429B3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Նախագծի ընդունման առնչությամբ այլ իրավական ակտերի նախագծերի ընդունման անհրաժեշտություն չի առաջանա։</w:t>
      </w:r>
    </w:p>
    <w:p w14:paraId="77199543" w14:textId="77777777" w:rsidR="00C96502" w:rsidRPr="00C96502" w:rsidRDefault="00C96502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textAlignment w:val="baseline"/>
        <w:rPr>
          <w:rFonts w:ascii="GHEA Grapalat" w:hAnsi="GHEA Grapalat"/>
          <w:lang w:val="hy-AM"/>
        </w:rPr>
      </w:pPr>
    </w:p>
    <w:p w14:paraId="2B801344" w14:textId="75E51C1A" w:rsidR="00B149DB" w:rsidRPr="006429B3" w:rsidRDefault="006429B3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rPr>
          <w:rFonts w:ascii="GHEA Grapalat" w:hAnsi="GHEA Grapalat"/>
          <w:b/>
          <w:iCs/>
          <w:u w:val="single"/>
          <w:lang w:val="hy-AM"/>
        </w:rPr>
      </w:pPr>
      <w:r w:rsidRPr="00477B89">
        <w:rPr>
          <w:rFonts w:ascii="GHEA Grapalat" w:hAnsi="GHEA Grapalat" w:hint="eastAsia"/>
          <w:b/>
          <w:iCs/>
          <w:lang w:val="pt-BR"/>
        </w:rPr>
        <w:t>7</w:t>
      </w:r>
      <w:r w:rsidR="00B149DB" w:rsidRPr="00477B89">
        <w:rPr>
          <w:b/>
          <w:iCs/>
          <w:lang w:val="pt-BR"/>
        </w:rPr>
        <w:t>․</w:t>
      </w:r>
      <w:r w:rsidR="00B149DB" w:rsidRPr="00477B89">
        <w:rPr>
          <w:rFonts w:ascii="GHEA Grapalat" w:hAnsi="GHEA Grapalat"/>
          <w:b/>
          <w:iCs/>
          <w:lang w:val="pt-BR"/>
        </w:rPr>
        <w:t xml:space="preserve"> </w:t>
      </w:r>
      <w:r w:rsidR="00B149DB" w:rsidRPr="006429B3">
        <w:rPr>
          <w:rFonts w:ascii="GHEA Grapalat" w:hAnsi="GHEA Grapalat"/>
          <w:b/>
          <w:iCs/>
          <w:u w:val="single"/>
          <w:lang w:val="pt-BR"/>
        </w:rPr>
        <w:t>Ակնկալվող արդյունքը.</w:t>
      </w:r>
    </w:p>
    <w:p w14:paraId="6B6FEF24" w14:textId="74C91F06" w:rsidR="007D0469" w:rsidRDefault="007D0469" w:rsidP="001A07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180" w:firstLine="630"/>
        <w:contextualSpacing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>Նախագծի ընդունման արդյունքում</w:t>
      </w:r>
      <w:r w:rsidR="00AC1F79" w:rsidRPr="00AC1F79"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t xml:space="preserve"> </w:t>
      </w:r>
      <w:r w:rsidR="00DF0DA0">
        <w:rPr>
          <w:rFonts w:ascii="GHEA Grapalat" w:hAnsi="GHEA Grapalat"/>
          <w:color w:val="000000"/>
          <w:shd w:val="clear" w:color="auto" w:fill="FFFFFF"/>
          <w:lang w:val="hy-AM"/>
        </w:rPr>
        <w:t>կներդրվի անհրաժեշտ գործիքակազմ՝ Ոստիկանության զ</w:t>
      </w:r>
      <w:r w:rsidR="00DF0DA0" w:rsidRPr="000C2FBA">
        <w:rPr>
          <w:rFonts w:ascii="GHEA Grapalat" w:hAnsi="GHEA Grapalat"/>
          <w:color w:val="000000"/>
          <w:shd w:val="clear" w:color="auto" w:fill="FFFFFF"/>
          <w:lang w:val="hy-AM"/>
        </w:rPr>
        <w:t>ինապահեստ ընդունված</w:t>
      </w:r>
      <w:r w:rsidR="00DF0DA0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DF0DA0" w:rsidRPr="000C2FBA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որպես պարգև տրված զենք</w:t>
      </w:r>
      <w:r w:rsidR="00DF0DA0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3839A2">
        <w:rPr>
          <w:rFonts w:ascii="GHEA Grapalat" w:hAnsi="GHEA Grapalat"/>
          <w:color w:val="000000"/>
          <w:shd w:val="clear" w:color="auto" w:fill="FFFFFF"/>
          <w:lang w:val="hy-AM"/>
        </w:rPr>
        <w:t>ի հետագա տնօրինման և օգտագործման</w:t>
      </w:r>
      <w:r w:rsidR="00DF0DA0" w:rsidRPr="000C2FB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0DA0">
        <w:rPr>
          <w:rFonts w:ascii="GHEA Grapalat" w:hAnsi="GHEA Grapalat"/>
          <w:color w:val="000000"/>
          <w:shd w:val="clear" w:color="auto" w:fill="FFFFFF"/>
          <w:lang w:val="hy-AM"/>
        </w:rPr>
        <w:t>համար</w:t>
      </w:r>
      <w:r w:rsidR="00DF0DA0" w:rsidRPr="000C2FBA">
        <w:rPr>
          <w:rFonts w:ascii="GHEA Grapalat" w:hAnsi="GHEA Grapalat"/>
          <w:color w:val="000000"/>
          <w:shd w:val="clear" w:color="auto" w:fill="FFFFFF"/>
          <w:lang w:val="hy-AM"/>
        </w:rPr>
        <w:t xml:space="preserve">։ </w:t>
      </w:r>
      <w:r w:rsidR="00DF0DA0">
        <w:rPr>
          <w:rFonts w:ascii="GHEA Grapalat" w:hAnsi="GHEA Grapalat"/>
          <w:color w:val="000000"/>
          <w:shd w:val="clear" w:color="auto" w:fill="FFFFFF"/>
          <w:lang w:val="hy-AM"/>
        </w:rPr>
        <w:t>Միաժամանակ, կբացառվեն փորձաքրեագիտական գործընթացում ոլորտային օրենսդրության հետ անհամադրելի կարգավորումները։</w:t>
      </w:r>
    </w:p>
    <w:p w14:paraId="2B4C7016" w14:textId="77777777" w:rsidR="00DF0394" w:rsidRDefault="00DF0394" w:rsidP="001A07F1">
      <w:pPr>
        <w:tabs>
          <w:tab w:val="left" w:pos="-5812"/>
        </w:tabs>
        <w:spacing w:after="0" w:line="360" w:lineRule="auto"/>
        <w:ind w:left="-450" w:right="180" w:firstLine="630"/>
        <w:contextualSpacing/>
        <w:jc w:val="right"/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</w:pPr>
    </w:p>
    <w:p w14:paraId="7AF495A8" w14:textId="5C61B43D" w:rsidR="00B149DB" w:rsidRPr="000E4482" w:rsidRDefault="00B149DB" w:rsidP="001A07F1">
      <w:pPr>
        <w:tabs>
          <w:tab w:val="left" w:pos="-5812"/>
        </w:tabs>
        <w:spacing w:after="0" w:line="360" w:lineRule="auto"/>
        <w:ind w:left="-450" w:right="180" w:firstLine="630"/>
        <w:contextualSpacing/>
        <w:jc w:val="right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0E4482"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  <w:t>ՀՀ ներքին գործերի նախարարություն</w:t>
      </w:r>
    </w:p>
    <w:sectPr w:rsidR="00B149DB" w:rsidRPr="000E4482" w:rsidSect="00DF0394">
      <w:pgSz w:w="11906" w:h="16838"/>
      <w:pgMar w:top="450" w:right="476" w:bottom="45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8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2A16C2"/>
    <w:multiLevelType w:val="multilevel"/>
    <w:tmpl w:val="2E82881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2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3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1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942059">
    <w:abstractNumId w:val="10"/>
  </w:num>
  <w:num w:numId="3" w16cid:durableId="246614155">
    <w:abstractNumId w:val="8"/>
  </w:num>
  <w:num w:numId="4" w16cid:durableId="307636365">
    <w:abstractNumId w:val="2"/>
  </w:num>
  <w:num w:numId="5" w16cid:durableId="3932606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011522">
    <w:abstractNumId w:val="7"/>
  </w:num>
  <w:num w:numId="7" w16cid:durableId="409936152">
    <w:abstractNumId w:val="11"/>
  </w:num>
  <w:num w:numId="8" w16cid:durableId="456873403">
    <w:abstractNumId w:val="12"/>
  </w:num>
  <w:num w:numId="9" w16cid:durableId="1675766415">
    <w:abstractNumId w:val="3"/>
  </w:num>
  <w:num w:numId="10" w16cid:durableId="1273170169">
    <w:abstractNumId w:val="9"/>
  </w:num>
  <w:num w:numId="11" w16cid:durableId="898444576">
    <w:abstractNumId w:val="4"/>
  </w:num>
  <w:num w:numId="12" w16cid:durableId="966475806">
    <w:abstractNumId w:val="14"/>
  </w:num>
  <w:num w:numId="13" w16cid:durableId="1345210027">
    <w:abstractNumId w:val="13"/>
  </w:num>
  <w:num w:numId="14" w16cid:durableId="1575622898">
    <w:abstractNumId w:val="0"/>
  </w:num>
  <w:num w:numId="15" w16cid:durableId="155077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EA"/>
    <w:rsid w:val="0002441D"/>
    <w:rsid w:val="000311FD"/>
    <w:rsid w:val="000419B2"/>
    <w:rsid w:val="00042F3E"/>
    <w:rsid w:val="00065F76"/>
    <w:rsid w:val="000818DD"/>
    <w:rsid w:val="00093FC8"/>
    <w:rsid w:val="000C2FBA"/>
    <w:rsid w:val="000C3FCD"/>
    <w:rsid w:val="000E23F2"/>
    <w:rsid w:val="000E37C4"/>
    <w:rsid w:val="000F2A99"/>
    <w:rsid w:val="00105CB7"/>
    <w:rsid w:val="00134A7E"/>
    <w:rsid w:val="00136228"/>
    <w:rsid w:val="001554E3"/>
    <w:rsid w:val="00167F29"/>
    <w:rsid w:val="00176560"/>
    <w:rsid w:val="00193F54"/>
    <w:rsid w:val="001A07F1"/>
    <w:rsid w:val="001B3B10"/>
    <w:rsid w:val="001D366A"/>
    <w:rsid w:val="001F6AF4"/>
    <w:rsid w:val="00202339"/>
    <w:rsid w:val="00220F2C"/>
    <w:rsid w:val="00237FC6"/>
    <w:rsid w:val="00260405"/>
    <w:rsid w:val="002613E7"/>
    <w:rsid w:val="002749A7"/>
    <w:rsid w:val="00290268"/>
    <w:rsid w:val="002937C7"/>
    <w:rsid w:val="002A190F"/>
    <w:rsid w:val="002B0F79"/>
    <w:rsid w:val="002C005C"/>
    <w:rsid w:val="002E351A"/>
    <w:rsid w:val="002E461C"/>
    <w:rsid w:val="002E51E3"/>
    <w:rsid w:val="002F1057"/>
    <w:rsid w:val="003010C9"/>
    <w:rsid w:val="00301FE1"/>
    <w:rsid w:val="0030221C"/>
    <w:rsid w:val="003456A3"/>
    <w:rsid w:val="003514D0"/>
    <w:rsid w:val="0035548E"/>
    <w:rsid w:val="00373D67"/>
    <w:rsid w:val="003839A2"/>
    <w:rsid w:val="003A40FC"/>
    <w:rsid w:val="003B40D4"/>
    <w:rsid w:val="003B74BB"/>
    <w:rsid w:val="003D1BBE"/>
    <w:rsid w:val="003E1A8C"/>
    <w:rsid w:val="003E61DA"/>
    <w:rsid w:val="00405764"/>
    <w:rsid w:val="00412A99"/>
    <w:rsid w:val="004142EE"/>
    <w:rsid w:val="004211DF"/>
    <w:rsid w:val="00424E4D"/>
    <w:rsid w:val="00425899"/>
    <w:rsid w:val="004308AD"/>
    <w:rsid w:val="004434AA"/>
    <w:rsid w:val="00464C19"/>
    <w:rsid w:val="00477B89"/>
    <w:rsid w:val="00480DEA"/>
    <w:rsid w:val="00482E7E"/>
    <w:rsid w:val="00497A51"/>
    <w:rsid w:val="004B0E05"/>
    <w:rsid w:val="004B3B89"/>
    <w:rsid w:val="004C3425"/>
    <w:rsid w:val="004C6224"/>
    <w:rsid w:val="004D5626"/>
    <w:rsid w:val="004F0035"/>
    <w:rsid w:val="004F1FC8"/>
    <w:rsid w:val="00500F6B"/>
    <w:rsid w:val="00504262"/>
    <w:rsid w:val="005074E7"/>
    <w:rsid w:val="00545627"/>
    <w:rsid w:val="00546A45"/>
    <w:rsid w:val="00555162"/>
    <w:rsid w:val="00561B67"/>
    <w:rsid w:val="00582E45"/>
    <w:rsid w:val="005A7FD4"/>
    <w:rsid w:val="005C0538"/>
    <w:rsid w:val="005C05EE"/>
    <w:rsid w:val="005C080E"/>
    <w:rsid w:val="005E0E7E"/>
    <w:rsid w:val="005F0DD0"/>
    <w:rsid w:val="0060495D"/>
    <w:rsid w:val="00606E79"/>
    <w:rsid w:val="00615315"/>
    <w:rsid w:val="00625151"/>
    <w:rsid w:val="006347AF"/>
    <w:rsid w:val="00637F8B"/>
    <w:rsid w:val="006429B3"/>
    <w:rsid w:val="00644931"/>
    <w:rsid w:val="00670C64"/>
    <w:rsid w:val="006D4E22"/>
    <w:rsid w:val="006E793D"/>
    <w:rsid w:val="00713F0D"/>
    <w:rsid w:val="00730A49"/>
    <w:rsid w:val="00745DAD"/>
    <w:rsid w:val="00771A28"/>
    <w:rsid w:val="007B5721"/>
    <w:rsid w:val="007D0469"/>
    <w:rsid w:val="007D79AC"/>
    <w:rsid w:val="00813C9D"/>
    <w:rsid w:val="00813FAF"/>
    <w:rsid w:val="00822B78"/>
    <w:rsid w:val="00837542"/>
    <w:rsid w:val="00854B0D"/>
    <w:rsid w:val="008553C9"/>
    <w:rsid w:val="00855F19"/>
    <w:rsid w:val="00857617"/>
    <w:rsid w:val="00862A4E"/>
    <w:rsid w:val="00871C32"/>
    <w:rsid w:val="00882246"/>
    <w:rsid w:val="008920BF"/>
    <w:rsid w:val="008A7A6B"/>
    <w:rsid w:val="008B48FF"/>
    <w:rsid w:val="008C347A"/>
    <w:rsid w:val="008D399E"/>
    <w:rsid w:val="008F1768"/>
    <w:rsid w:val="008F7BB2"/>
    <w:rsid w:val="00911F9A"/>
    <w:rsid w:val="00955924"/>
    <w:rsid w:val="00972409"/>
    <w:rsid w:val="00987538"/>
    <w:rsid w:val="009D1022"/>
    <w:rsid w:val="009D6B28"/>
    <w:rsid w:val="00A20432"/>
    <w:rsid w:val="00A22B37"/>
    <w:rsid w:val="00A32C8C"/>
    <w:rsid w:val="00A507E0"/>
    <w:rsid w:val="00A560EA"/>
    <w:rsid w:val="00A575CA"/>
    <w:rsid w:val="00A65B78"/>
    <w:rsid w:val="00A71D06"/>
    <w:rsid w:val="00A73819"/>
    <w:rsid w:val="00A84882"/>
    <w:rsid w:val="00AA4525"/>
    <w:rsid w:val="00AB3A8E"/>
    <w:rsid w:val="00AC0EA2"/>
    <w:rsid w:val="00AC1F79"/>
    <w:rsid w:val="00AC4A97"/>
    <w:rsid w:val="00B149DB"/>
    <w:rsid w:val="00B25E97"/>
    <w:rsid w:val="00B326D9"/>
    <w:rsid w:val="00B3358E"/>
    <w:rsid w:val="00B448EE"/>
    <w:rsid w:val="00B87A32"/>
    <w:rsid w:val="00BA46F4"/>
    <w:rsid w:val="00BA54D9"/>
    <w:rsid w:val="00BC2F54"/>
    <w:rsid w:val="00BD32C9"/>
    <w:rsid w:val="00BE015D"/>
    <w:rsid w:val="00BE02E1"/>
    <w:rsid w:val="00C17013"/>
    <w:rsid w:val="00C1792E"/>
    <w:rsid w:val="00C372A5"/>
    <w:rsid w:val="00C553C3"/>
    <w:rsid w:val="00C61BDB"/>
    <w:rsid w:val="00C6745C"/>
    <w:rsid w:val="00C909B3"/>
    <w:rsid w:val="00C90C6E"/>
    <w:rsid w:val="00C91D12"/>
    <w:rsid w:val="00C96502"/>
    <w:rsid w:val="00CA32B7"/>
    <w:rsid w:val="00CC7992"/>
    <w:rsid w:val="00CD1D1B"/>
    <w:rsid w:val="00CF1775"/>
    <w:rsid w:val="00D17B36"/>
    <w:rsid w:val="00D235B5"/>
    <w:rsid w:val="00D32C7C"/>
    <w:rsid w:val="00D662E4"/>
    <w:rsid w:val="00D760C9"/>
    <w:rsid w:val="00DB719F"/>
    <w:rsid w:val="00DC3341"/>
    <w:rsid w:val="00DD7545"/>
    <w:rsid w:val="00DE38C3"/>
    <w:rsid w:val="00DE60B4"/>
    <w:rsid w:val="00DF0394"/>
    <w:rsid w:val="00DF0DA0"/>
    <w:rsid w:val="00DF3BB1"/>
    <w:rsid w:val="00E443FD"/>
    <w:rsid w:val="00E55896"/>
    <w:rsid w:val="00E657CE"/>
    <w:rsid w:val="00E800B2"/>
    <w:rsid w:val="00EA0CE6"/>
    <w:rsid w:val="00EB2A36"/>
    <w:rsid w:val="00EC2E66"/>
    <w:rsid w:val="00EC7E92"/>
    <w:rsid w:val="00ED0259"/>
    <w:rsid w:val="00EF1A90"/>
    <w:rsid w:val="00EF71D6"/>
    <w:rsid w:val="00F01A86"/>
    <w:rsid w:val="00F0353B"/>
    <w:rsid w:val="00F05F99"/>
    <w:rsid w:val="00F2101E"/>
    <w:rsid w:val="00F33596"/>
    <w:rsid w:val="00F51539"/>
    <w:rsid w:val="00F81A64"/>
    <w:rsid w:val="00FB5B79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564D"/>
  <w15:docId w15:val="{41F43080-491A-4BF0-A15F-2817D3F4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DEA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0DEA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1"/>
    <w:qFormat/>
    <w:rsid w:val="00480DE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480DEA"/>
    <w:rPr>
      <w:lang w:val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EA"/>
    <w:rPr>
      <w:rFonts w:ascii="Tahoma" w:hAnsi="Tahoma" w:cs="Tahoma"/>
      <w:sz w:val="16"/>
      <w:szCs w:val="1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E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80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0"/>
    <w:rsid w:val="00480DE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0DE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ListBullet">
    <w:name w:val="List Bullet"/>
    <w:basedOn w:val="Normal"/>
    <w:unhideWhenUsed/>
    <w:rsid w:val="00480DEA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480DEA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80DEA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480DEA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0DEA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DEA"/>
    <w:rPr>
      <w:rFonts w:eastAsiaTheme="minorEastAsia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DEA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DEA"/>
    <w:rPr>
      <w:rFonts w:eastAsiaTheme="minorEastAsia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DEA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1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2B0F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2</Pages>
  <Words>397</Words>
  <Characters>3094</Characters>
  <Application>Microsoft Office Word</Application>
  <DocSecurity>0</DocSecurity>
  <Lines>66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https://mul2-mia.gov.am/tasks/4914751/oneclick?token=18f6cdcd5c32dc18dc637c4d1b417677</cp:keywords>
  <cp:lastModifiedBy>Ruslan Marandyan</cp:lastModifiedBy>
  <cp:revision>97</cp:revision>
  <dcterms:created xsi:type="dcterms:W3CDTF">2025-02-24T07:17:00Z</dcterms:created>
  <dcterms:modified xsi:type="dcterms:W3CDTF">2025-09-16T11:41:00Z</dcterms:modified>
</cp:coreProperties>
</file>