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ABB3" w14:textId="1867EC2F" w:rsidR="00C6612F" w:rsidRDefault="00C6612F" w:rsidP="005947C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Հ</w:t>
      </w:r>
      <w:r w:rsidRPr="005947CB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ԻՄՆԱՎՈՐՈՒՄ</w:t>
      </w:r>
    </w:p>
    <w:p w14:paraId="0629678D" w14:textId="77777777" w:rsidR="00AD32C3" w:rsidRPr="005947CB" w:rsidRDefault="00AD32C3" w:rsidP="005947C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265E860" w14:textId="16B6F40B" w:rsidR="008D0EE8" w:rsidRPr="005947CB" w:rsidRDefault="00AD32C3" w:rsidP="00AD32C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«</w:t>
      </w:r>
      <w:r w:rsidR="00F06D6E" w:rsidRPr="00F06D6E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ՄԱՍՆԱՎՈՐ ՊԱՀՆՈՐԴԱԿԱՆ ԿԱԶՄԱԿԵՐՊՈՒԹՅԱՆ ԳՈՐԾՈՒՆԵՈՒԹՅԱՆ ՎԵՐԱԲԵՐՅԱԼ ՀԱՇՎԵՏՎՈՒԹՅԱՆ ՁԵՎԸ ԵՎ ԴՐԱՆՈՒՄ ՆԵՐԱՌՎՈՂ ՏԵՂԵԿՈՒԹՅՈՒՆՆԵՐԻ ՑԱՆԿԸ ՍԱՀՄԱՆԵԼՈՒ ՄԱՍԻՆ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» ՀՀ ՆԵՐՔԻՆ ԳՈՐԾԵՐԻ ՆԱԽԱՐԱՐԻ ՀՐԱՄԱՆԻ ՆԱԽԱԳԾԻ</w:t>
      </w:r>
    </w:p>
    <w:p w14:paraId="2A909EB7" w14:textId="77777777" w:rsidR="00671CCF" w:rsidRPr="005947CB" w:rsidRDefault="00C6612F" w:rsidP="005947CB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</w:p>
    <w:p w14:paraId="0925A548" w14:textId="77777777" w:rsidR="00C6612F" w:rsidRPr="005947CB" w:rsidRDefault="00C6612F" w:rsidP="00B7432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Ընթացիկ իրավիճակը և իրավական ակտի ընդունման անհրաժեշտությունը.</w:t>
      </w:r>
    </w:p>
    <w:p w14:paraId="0442639F" w14:textId="77777777" w:rsidR="00F40952" w:rsidRPr="005947CB" w:rsidRDefault="00F40952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1B027D1" w14:textId="65DC85A3" w:rsidR="00F94580" w:rsidRDefault="00F94580" w:rsidP="00B74326">
      <w:pPr>
        <w:spacing w:after="0" w:line="36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D7D75">
        <w:rPr>
          <w:rFonts w:ascii="GHEA Grapalat" w:hAnsi="GHEA Grapalat"/>
          <w:sz w:val="24"/>
          <w:szCs w:val="24"/>
          <w:lang w:val="hy-AM"/>
        </w:rPr>
        <w:t>Ներքին գործերի նախարարության ձևավորմամբ պայմանավորված՝ ՀՀ վարչապետի</w:t>
      </w:r>
      <w:r w:rsidRPr="00AD7D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AD7D75">
        <w:rPr>
          <w:rStyle w:val="Strong"/>
          <w:rFonts w:ascii="GHEA Grapalat" w:hAnsi="GHEA Grapalat" w:cs="Noto Sans"/>
          <w:b w:val="0"/>
          <w:bCs w:val="0"/>
          <w:sz w:val="24"/>
          <w:szCs w:val="24"/>
          <w:shd w:val="clear" w:color="auto" w:fill="FFFFFF"/>
          <w:lang w:val="hy-AM"/>
        </w:rPr>
        <w:t xml:space="preserve">2023 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թվականի</w:t>
      </w:r>
      <w:r w:rsidRPr="00AD7D75">
        <w:rPr>
          <w:rStyle w:val="Strong"/>
          <w:rFonts w:ascii="GHEA Grapalat" w:hAnsi="GHEA Grapalat" w:cs="Noto Sans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մարտի</w:t>
      </w:r>
      <w:r w:rsidRPr="00AD7D75">
        <w:rPr>
          <w:rStyle w:val="Strong"/>
          <w:rFonts w:ascii="GHEA Grapalat" w:hAnsi="GHEA Grapalat" w:cs="Noto Sans"/>
          <w:b w:val="0"/>
          <w:bCs w:val="0"/>
          <w:sz w:val="24"/>
          <w:szCs w:val="24"/>
          <w:shd w:val="clear" w:color="auto" w:fill="FFFFFF"/>
          <w:lang w:val="hy-AM"/>
        </w:rPr>
        <w:t xml:space="preserve"> 14-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ի</w:t>
      </w:r>
      <w:r w:rsidRPr="00AD7D75">
        <w:rPr>
          <w:rStyle w:val="Strong"/>
          <w:rFonts w:ascii="GHEA Grapalat" w:hAnsi="GHEA Grapalat" w:cs="Noto Sans"/>
          <w:b w:val="0"/>
          <w:bCs w:val="0"/>
          <w:sz w:val="24"/>
          <w:szCs w:val="24"/>
          <w:shd w:val="clear" w:color="auto" w:fill="FFFFFF"/>
          <w:lang w:val="hy-AM"/>
        </w:rPr>
        <w:t xml:space="preserve"> թիվ 270-Լ 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որոշմամբ Հայաստանի Հանրապետության ներքին գործերի նախարարություն</w:t>
      </w:r>
      <w:r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ը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 իրականացնում</w:t>
      </w:r>
      <w:r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 է</w:t>
      </w:r>
      <w:r w:rsidRPr="00AD7D75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մասնավոր պահնորդական գործունեության</w:t>
      </w:r>
      <w:r w:rsidRPr="00AD7D75">
        <w:rPr>
          <w:rFonts w:ascii="GHEA Grapalat" w:hAnsi="GHEA Grapalat"/>
          <w:sz w:val="24"/>
          <w:szCs w:val="24"/>
          <w:lang w:val="hy-AM"/>
        </w:rPr>
        <w:t xml:space="preserve"> լիցենզավորման գործընթացի ապահովումը, ինչպես նաև</w:t>
      </w:r>
      <w:r w:rsidR="00B74326">
        <w:rPr>
          <w:rFonts w:ascii="GHEA Grapalat" w:hAnsi="GHEA Grapalat"/>
          <w:sz w:val="24"/>
          <w:szCs w:val="24"/>
          <w:lang w:val="hy-AM"/>
        </w:rPr>
        <w:t>՝</w:t>
      </w:r>
      <w:r w:rsidRPr="00AD7D75">
        <w:rPr>
          <w:rFonts w:ascii="GHEA Grapalat" w:hAnsi="GHEA Grapalat"/>
          <w:sz w:val="24"/>
          <w:szCs w:val="24"/>
          <w:lang w:val="hy-AM"/>
        </w:rPr>
        <w:t xml:space="preserve"> լիցենզիաների պահանջների կատարման կապակցությամբ վարչարարության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7D75">
        <w:rPr>
          <w:rFonts w:ascii="GHEA Grapalat" w:hAnsi="GHEA Grapalat"/>
          <w:sz w:val="24"/>
          <w:szCs w:val="24"/>
          <w:lang w:val="hy-AM"/>
        </w:rPr>
        <w:t>իրականացումը</w:t>
      </w:r>
      <w:r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։</w:t>
      </w:r>
    </w:p>
    <w:p w14:paraId="3A615971" w14:textId="7789820D" w:rsidR="00DF3781" w:rsidRDefault="00CE546E" w:rsidP="00B74326">
      <w:pPr>
        <w:spacing w:after="0" w:line="360" w:lineRule="auto"/>
        <w:ind w:left="-27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Հարկ է նշել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F94580" w:rsidRPr="005947CB">
        <w:rPr>
          <w:rFonts w:ascii="GHEA Grapalat" w:hAnsi="GHEA Grapalat"/>
          <w:sz w:val="24"/>
          <w:szCs w:val="24"/>
          <w:lang w:val="hy-AM"/>
        </w:rPr>
        <w:t>նախկինում ոստիկանության կողմից պահպանվող</w:t>
      </w:r>
      <w:r w:rsidR="00F94580">
        <w:rPr>
          <w:rFonts w:ascii="GHEA Grapalat" w:hAnsi="GHEA Grapalat"/>
          <w:sz w:val="24"/>
          <w:szCs w:val="24"/>
          <w:lang w:val="hy-AM"/>
        </w:rPr>
        <w:t xml:space="preserve"> որոշ</w:t>
      </w:r>
      <w:r w:rsidR="00F94580" w:rsidRPr="005947CB">
        <w:rPr>
          <w:rFonts w:ascii="GHEA Grapalat" w:hAnsi="GHEA Grapalat"/>
          <w:sz w:val="24"/>
          <w:szCs w:val="24"/>
          <w:lang w:val="hy-AM"/>
        </w:rPr>
        <w:t xml:space="preserve"> օբյեկտներ </w:t>
      </w:r>
      <w:r w:rsidR="00F94580">
        <w:rPr>
          <w:rFonts w:ascii="GHEA Grapalat" w:hAnsi="GHEA Grapalat"/>
          <w:sz w:val="24"/>
          <w:szCs w:val="24"/>
          <w:lang w:val="hy-AM"/>
        </w:rPr>
        <w:t>ներկայումս</w:t>
      </w:r>
      <w:r w:rsidR="00F94580" w:rsidRPr="00594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580">
        <w:rPr>
          <w:rFonts w:ascii="GHEA Grapalat" w:hAnsi="GHEA Grapalat"/>
          <w:sz w:val="24"/>
          <w:szCs w:val="24"/>
          <w:lang w:val="hy-AM"/>
        </w:rPr>
        <w:t xml:space="preserve">պահպանվում են 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մասնավոր պահնորդական </w:t>
      </w:r>
      <w:r w:rsidR="00F94580">
        <w:rPr>
          <w:rFonts w:ascii="GHEA Grapalat" w:hAnsi="GHEA Grapalat"/>
          <w:sz w:val="24"/>
          <w:szCs w:val="24"/>
          <w:lang w:val="hy-AM"/>
        </w:rPr>
        <w:t>կազմակերպությունների կողմից, որի հաշվառմամբ</w:t>
      </w:r>
      <w:r w:rsidR="00B74326">
        <w:rPr>
          <w:rFonts w:ascii="GHEA Grapalat" w:hAnsi="GHEA Grapalat"/>
          <w:sz w:val="24"/>
          <w:szCs w:val="24"/>
          <w:lang w:val="hy-AM"/>
        </w:rPr>
        <w:t>՝</w:t>
      </w:r>
      <w:r w:rsidR="00F94580">
        <w:rPr>
          <w:rFonts w:ascii="GHEA Grapalat" w:hAnsi="GHEA Grapalat"/>
          <w:sz w:val="24"/>
          <w:szCs w:val="24"/>
          <w:lang w:val="hy-AM"/>
        </w:rPr>
        <w:t xml:space="preserve"> մասնավոր պահնորդական կազմակերպությունների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գործունեության դաշտ</w:t>
      </w:r>
      <w:r w:rsidR="00F94580">
        <w:rPr>
          <w:rFonts w:ascii="GHEA Grapalat" w:hAnsi="GHEA Grapalat"/>
          <w:sz w:val="24"/>
          <w:szCs w:val="24"/>
          <w:lang w:val="hy-AM"/>
        </w:rPr>
        <w:t xml:space="preserve">ը 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ընդլայն</w:t>
      </w:r>
      <w:r w:rsidR="006C2B90">
        <w:rPr>
          <w:rFonts w:ascii="GHEA Grapalat" w:hAnsi="GHEA Grapalat"/>
          <w:sz w:val="24"/>
          <w:szCs w:val="24"/>
          <w:lang w:val="hy-AM"/>
        </w:rPr>
        <w:t>վ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>ել է</w:t>
      </w:r>
      <w:r w:rsidR="00F94580">
        <w:rPr>
          <w:rFonts w:ascii="GHEA Grapalat" w:hAnsi="GHEA Grapalat"/>
          <w:sz w:val="24"/>
          <w:szCs w:val="24"/>
          <w:lang w:val="hy-AM"/>
        </w:rPr>
        <w:t>՝ ներառելով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պետական կառավարման մարմինների շենքերի</w:t>
      </w:r>
      <w:r w:rsidR="00F94580">
        <w:rPr>
          <w:rFonts w:ascii="GHEA Grapalat" w:hAnsi="GHEA Grapalat"/>
          <w:sz w:val="24"/>
          <w:szCs w:val="24"/>
          <w:lang w:val="hy-AM"/>
        </w:rPr>
        <w:t xml:space="preserve"> պահպանությունը։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580">
        <w:rPr>
          <w:rFonts w:ascii="GHEA Grapalat" w:hAnsi="GHEA Grapalat"/>
          <w:sz w:val="24"/>
          <w:szCs w:val="24"/>
          <w:lang w:val="hy-AM"/>
        </w:rPr>
        <w:t>Հաշվի առնելով վերոգրյալը</w:t>
      </w:r>
      <w:r w:rsidR="00B74326">
        <w:rPr>
          <w:rFonts w:ascii="GHEA Grapalat" w:hAnsi="GHEA Grapalat"/>
          <w:sz w:val="24"/>
          <w:szCs w:val="24"/>
          <w:lang w:val="hy-AM"/>
        </w:rPr>
        <w:t>՝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առաջնահերթություն է դառնում հիշյալ կազմակերպությունների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նկատմամբ հսկողության մեխանիզմների սահման</w:t>
      </w:r>
      <w:r w:rsidR="00F94580">
        <w:rPr>
          <w:rFonts w:ascii="GHEA Grapalat" w:hAnsi="GHEA Grapalat"/>
          <w:sz w:val="24"/>
          <w:szCs w:val="24"/>
          <w:lang w:val="hy-AM"/>
        </w:rPr>
        <w:t>ումը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՝ այն համատեքստում, որպեսզի նման լիցենզիա </w:t>
      </w:r>
      <w:r w:rsidR="00F94580">
        <w:rPr>
          <w:rFonts w:ascii="GHEA Grapalat" w:hAnsi="GHEA Grapalat"/>
          <w:sz w:val="24"/>
          <w:szCs w:val="24"/>
          <w:lang w:val="hy-AM"/>
        </w:rPr>
        <w:t>ունեցող կազմակերպությունները մատուցեն</w:t>
      </w:r>
      <w:r w:rsidR="001E10FF" w:rsidRPr="005947CB">
        <w:rPr>
          <w:rFonts w:ascii="GHEA Grapalat" w:hAnsi="GHEA Grapalat"/>
          <w:sz w:val="24"/>
          <w:szCs w:val="24"/>
          <w:lang w:val="hy-AM"/>
        </w:rPr>
        <w:t xml:space="preserve"> որակյալ ծառայություններ։</w:t>
      </w:r>
      <w:r w:rsidR="00DF3781">
        <w:rPr>
          <w:rFonts w:ascii="GHEA Grapalat" w:hAnsi="GHEA Grapalat"/>
          <w:sz w:val="24"/>
          <w:szCs w:val="24"/>
          <w:lang w:val="hy-AM"/>
        </w:rPr>
        <w:t xml:space="preserve"> Հսկողության մեխանիզմների շարքում իր առանձին տեղն է զբաղեցնում հաշվետվությունների ներկայացումը, ինչը հնարավորություն է տալիս համապատասխան մարմնին</w:t>
      </w:r>
      <w:r w:rsidR="00B74326">
        <w:rPr>
          <w:rFonts w:ascii="GHEA Grapalat" w:hAnsi="GHEA Grapalat"/>
          <w:sz w:val="24"/>
          <w:szCs w:val="24"/>
          <w:lang w:val="hy-AM"/>
        </w:rPr>
        <w:t>՝</w:t>
      </w:r>
      <w:r w:rsidR="00DF3781">
        <w:rPr>
          <w:rFonts w:ascii="GHEA Grapalat" w:hAnsi="GHEA Grapalat"/>
          <w:sz w:val="24"/>
          <w:szCs w:val="24"/>
          <w:lang w:val="hy-AM"/>
        </w:rPr>
        <w:t xml:space="preserve"> բացահայտել</w:t>
      </w:r>
      <w:r w:rsidR="00B74326">
        <w:rPr>
          <w:rFonts w:ascii="GHEA Grapalat" w:hAnsi="GHEA Grapalat"/>
          <w:sz w:val="24"/>
          <w:szCs w:val="24"/>
          <w:lang w:val="hy-AM"/>
        </w:rPr>
        <w:t>ու</w:t>
      </w:r>
      <w:r w:rsidR="00DF3781">
        <w:rPr>
          <w:rFonts w:ascii="GHEA Grapalat" w:hAnsi="GHEA Grapalat"/>
          <w:sz w:val="24"/>
          <w:szCs w:val="24"/>
          <w:lang w:val="hy-AM"/>
        </w:rPr>
        <w:t xml:space="preserve"> տվյալ ոլորտում առկ</w:t>
      </w:r>
      <w:r w:rsidR="00B74326">
        <w:rPr>
          <w:rFonts w:ascii="GHEA Grapalat" w:hAnsi="GHEA Grapalat"/>
          <w:sz w:val="24"/>
          <w:szCs w:val="24"/>
          <w:lang w:val="hy-AM"/>
        </w:rPr>
        <w:t>ա</w:t>
      </w:r>
      <w:r w:rsidR="00DF3781">
        <w:rPr>
          <w:rFonts w:ascii="GHEA Grapalat" w:hAnsi="GHEA Grapalat"/>
          <w:sz w:val="24"/>
          <w:szCs w:val="24"/>
          <w:lang w:val="hy-AM"/>
        </w:rPr>
        <w:t xml:space="preserve"> խնդիրները։</w:t>
      </w:r>
    </w:p>
    <w:p w14:paraId="56A44E02" w14:textId="6EE97BFE" w:rsidR="00DF3781" w:rsidRDefault="00F12619" w:rsidP="00B74326">
      <w:pPr>
        <w:spacing w:after="0" w:line="360" w:lineRule="auto"/>
        <w:ind w:left="-27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Հիմք ընդունելով վերոգրյալը</w:t>
      </w:r>
      <w:r w:rsidR="00B7432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ՀՀ Ազգային ժողովի կողմից </w:t>
      </w:r>
      <w:r w:rsidRPr="00F12619">
        <w:rPr>
          <w:rFonts w:ascii="GHEA Grapalat" w:hAnsi="GHEA Grapalat"/>
          <w:sz w:val="24"/>
          <w:szCs w:val="24"/>
          <w:lang w:val="hy-AM"/>
        </w:rPr>
        <w:t>2025 թվականի ապրիլի 18-ին</w:t>
      </w:r>
      <w:r>
        <w:rPr>
          <w:rFonts w:ascii="GHEA Grapalat" w:hAnsi="GHEA Grapalat"/>
          <w:sz w:val="24"/>
          <w:szCs w:val="24"/>
          <w:lang w:val="hy-AM"/>
        </w:rPr>
        <w:t xml:space="preserve"> ընդունվել է </w:t>
      </w:r>
      <w:r w:rsidRPr="00F12619">
        <w:rPr>
          <w:rFonts w:ascii="GHEA Grapalat" w:hAnsi="GHEA Grapalat"/>
          <w:sz w:val="24"/>
          <w:szCs w:val="24"/>
          <w:lang w:val="hy-AM"/>
        </w:rPr>
        <w:t>«</w:t>
      </w:r>
      <w:r w:rsidR="00B74326">
        <w:rPr>
          <w:rFonts w:ascii="GHEA Grapalat" w:hAnsi="GHEA Grapalat"/>
          <w:sz w:val="24"/>
          <w:szCs w:val="24"/>
          <w:lang w:val="hy-AM"/>
        </w:rPr>
        <w:t>Մ</w:t>
      </w:r>
      <w:r w:rsidRPr="00F12619">
        <w:rPr>
          <w:rFonts w:ascii="GHEA Grapalat" w:hAnsi="GHEA Grapalat"/>
          <w:sz w:val="24"/>
          <w:szCs w:val="24"/>
          <w:lang w:val="hy-AM"/>
        </w:rPr>
        <w:t xml:space="preserve">ասնավոր պահնորդական գործունեության մասին» օրենքում լրացումներ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F12619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12619">
        <w:rPr>
          <w:rFonts w:ascii="GHEA Grapalat" w:hAnsi="GHEA Grapalat"/>
          <w:sz w:val="24"/>
          <w:szCs w:val="24"/>
          <w:lang w:val="hy-AM"/>
        </w:rPr>
        <w:t>ՀՕ-93-Ն</w:t>
      </w:r>
      <w:r>
        <w:rPr>
          <w:rFonts w:ascii="GHEA Grapalat" w:hAnsi="GHEA Grapalat"/>
          <w:sz w:val="24"/>
          <w:szCs w:val="24"/>
          <w:lang w:val="hy-AM"/>
        </w:rPr>
        <w:t xml:space="preserve"> օրենքը, որով, ի թիվս այլնի, սահմանվել է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94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 պահնորդական կազմակերպությունների կողմից լիազոր մարմնին հաշվետվություններ ներկայացնելու օրենսդրական պահանջ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Նույն օրենքի 8-րդ հոդվածի 4-րդ մասով մ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ասնավոր պահնորդական կազմակերպության գործունեության վերաբերյալ 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հաշվետվության 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ևի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դրանում ներառվող տեղեկությունների ցանկ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սահմանման</w:t>
      </w:r>
      <w:r w:rsidRPr="00F126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լիազորություն է նախատեսվել։</w:t>
      </w:r>
    </w:p>
    <w:p w14:paraId="1A4F2E12" w14:textId="0E46B5AA" w:rsidR="00DF3781" w:rsidRDefault="00DF3781" w:rsidP="00B74326">
      <w:pPr>
        <w:spacing w:after="0" w:line="360" w:lineRule="auto"/>
        <w:ind w:left="-27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վերոգրյալը</w:t>
      </w:r>
      <w:r w:rsidR="00B743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ներքին գործերի նախարարությունը մշակել է «Մ</w:t>
      </w:r>
      <w:r w:rsidRPr="00DF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ասնավոր պահնորդական կազմակերպության գործունեության վերաբերյալ հաշվետվության ձ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F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DF37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դրանում ներառվող տեղեկությունների ցանկը սահմանելու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ՀՀ ներքին գործերի նախարարի հրամանի նախագիծը։</w:t>
      </w:r>
    </w:p>
    <w:p w14:paraId="546FAD73" w14:textId="77777777" w:rsidR="001A20E3" w:rsidRPr="00DF3781" w:rsidRDefault="001A20E3" w:rsidP="00B74326">
      <w:pPr>
        <w:spacing w:after="0" w:line="360" w:lineRule="auto"/>
        <w:ind w:left="-27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2EE5177" w14:textId="683EF286" w:rsidR="00C6612F" w:rsidRPr="005947CB" w:rsidRDefault="008333A3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2</w:t>
      </w:r>
      <w:r w:rsidRPr="005947CB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11F8E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Առաջարկվող կարգավորումներ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ի բնույթը</w:t>
      </w:r>
      <w:r w:rsidR="00A11B77" w:rsidRPr="005947CB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1E8F5082" w14:textId="1B8491B3" w:rsidR="003B2872" w:rsidRPr="005947CB" w:rsidRDefault="00DF3781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առաջարկվում է սահմանել </w:t>
      </w:r>
      <w:r w:rsidR="003B2872" w:rsidRPr="005947C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DF3781">
        <w:rPr>
          <w:rFonts w:ascii="GHEA Grapalat" w:hAnsi="GHEA Grapalat"/>
          <w:sz w:val="24"/>
          <w:szCs w:val="24"/>
          <w:lang w:val="hy-AM"/>
        </w:rPr>
        <w:t>ասնավոր պահնորդական կազմակերպության գործունեության վերաբերյալ հաշվետվության ձևը և դրանում ներառվող տեղեկությունների ցանկը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02EE7D08" w14:textId="77777777" w:rsidR="00F408B6" w:rsidRPr="00C24D19" w:rsidRDefault="00F408B6" w:rsidP="00B74326">
      <w:pPr>
        <w:spacing w:after="0" w:line="240" w:lineRule="auto"/>
        <w:ind w:left="-27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9FF56DE" w14:textId="51EAF12B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896A1D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Նախագծերի մշակման գործընթացում ներգրավված ինստիտուտները և անձինք.</w:t>
      </w:r>
    </w:p>
    <w:p w14:paraId="13B4438A" w14:textId="3330B4CA" w:rsidR="00C6612F" w:rsidRPr="005947CB" w:rsidRDefault="00DF3781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C6612F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ախագ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իծը</w:t>
      </w:r>
      <w:r w:rsidR="00C6612F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մշակվել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</w:t>
      </w:r>
      <w:r w:rsidR="00C6612F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ՀՀ ներքին գործերի նախարարության կողմից։</w:t>
      </w:r>
    </w:p>
    <w:p w14:paraId="058FC427" w14:textId="77777777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7764B66D" w14:textId="5CAC7E2C" w:rsidR="00C6612F" w:rsidRPr="00DF3781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="00896A1D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Ակնկալվող</w:t>
      </w:r>
      <w:r w:rsidR="006D65C5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արդյունքը.</w:t>
      </w:r>
    </w:p>
    <w:p w14:paraId="2EB1F5F3" w14:textId="259A105B" w:rsidR="00C6612F" w:rsidRDefault="00DF3781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Calibri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F3781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Նախագծի ընդունման արդյունքում</w:t>
      </w:r>
      <w:r w:rsidR="00B74326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 w:themeColor="text1"/>
          <w:sz w:val="24"/>
          <w:szCs w:val="24"/>
          <w:bdr w:val="none" w:sz="0" w:space="0" w:color="auto" w:frame="1"/>
          <w:lang w:val="hy-AM"/>
        </w:rPr>
        <w:t>կսահմանվ</w:t>
      </w:r>
      <w:r w:rsidR="00B74326">
        <w:rPr>
          <w:rFonts w:ascii="GHEA Grapalat" w:eastAsia="Times New Roman" w:hAnsi="GHEA Grapalat" w:cs="Calibri"/>
          <w:color w:val="000000" w:themeColor="text1"/>
          <w:sz w:val="24"/>
          <w:szCs w:val="24"/>
          <w:bdr w:val="none" w:sz="0" w:space="0" w:color="auto" w:frame="1"/>
          <w:lang w:val="hy-AM"/>
        </w:rPr>
        <w:t>են</w:t>
      </w:r>
      <w:r>
        <w:rPr>
          <w:rFonts w:ascii="GHEA Grapalat" w:eastAsia="Times New Roman" w:hAnsi="GHEA Grapalat" w:cs="Calibri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DF3781">
        <w:rPr>
          <w:rFonts w:ascii="GHEA Grapalat" w:eastAsia="Times New Roman" w:hAnsi="GHEA Grapalat" w:cs="Calibri"/>
          <w:color w:val="000000" w:themeColor="text1"/>
          <w:sz w:val="24"/>
          <w:szCs w:val="24"/>
          <w:bdr w:val="none" w:sz="0" w:space="0" w:color="auto" w:frame="1"/>
          <w:lang w:val="hy-AM"/>
        </w:rPr>
        <w:t>մասնավոր պահնորդական կազմակերպության գործունեության վերաբերյալ հաշվետվության ձևը և դրանում ներառվող տեղեկությունների ցանկը։</w:t>
      </w:r>
    </w:p>
    <w:p w14:paraId="3FE25AB0" w14:textId="77777777" w:rsidR="001A20E3" w:rsidRPr="00DF3781" w:rsidRDefault="001A20E3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C3538D3" w14:textId="77777777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="00896A1D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Լրացուցիչ ֆինանսական միջոցների անհրաժեշտությ</w:t>
      </w:r>
      <w:r w:rsidR="00FE78D9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ունը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և պետական բյուջեի եկամուտներում և ծախսերում սպասվելիք փոփոխություններ</w:t>
      </w:r>
      <w:r w:rsidR="00FE78D9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ը</w:t>
      </w: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</w:p>
    <w:p w14:paraId="20D1F6C8" w14:textId="77777777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Նախագծերի ընդունումը </w:t>
      </w:r>
      <w:r w:rsidR="00981123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լրացու</w:t>
      </w:r>
      <w:r w:rsidR="00ED616D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ցիչ ֆինանսական միջոցների անհրաժե</w:t>
      </w:r>
      <w:r w:rsidR="00981123"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շտություն և </w:t>
      </w: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ՀՀ պետական բյուջեի եկամուտների և ծախսերի փոփոխություններ չի առաջացնի:</w:t>
      </w:r>
    </w:p>
    <w:p w14:paraId="31F52183" w14:textId="77777777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19BBBD96" w14:textId="5BDF36BC" w:rsidR="00C6612F" w:rsidRPr="005947CB" w:rsidRDefault="00C6612F" w:rsidP="00B74326">
      <w:pPr>
        <w:shd w:val="clear" w:color="auto" w:fill="FFFFFF"/>
        <w:spacing w:after="0" w:line="360" w:lineRule="auto"/>
        <w:ind w:left="-270" w:firstLine="630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6</w:t>
      </w:r>
      <w:r w:rsidR="00896A1D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.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0434B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Նախագծ</w:t>
      </w:r>
      <w:r w:rsidR="00FE78D9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եր</w:t>
      </w:r>
      <w:r w:rsidR="0070434B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ի կապը</w:t>
      </w:r>
      <w:r w:rsidR="00AC2C0C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70434B"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ռ</w:t>
      </w:r>
      <w:r w:rsidRPr="005947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ազմավարական փաստաթղթերի հետ.</w:t>
      </w:r>
    </w:p>
    <w:p w14:paraId="0402CB81" w14:textId="13744BB0" w:rsidR="006D0E13" w:rsidRDefault="00C6612F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Նախագ</w:t>
      </w:r>
      <w:r w:rsidR="00DF378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ծ</w:t>
      </w:r>
      <w:r w:rsidR="00DF378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 չի բխում</w:t>
      </w: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ռազմավարական փաստաթղթերի</w:t>
      </w:r>
      <w:r w:rsidR="00DF378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ց</w:t>
      </w:r>
      <w:r w:rsidRPr="005947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11AA3705" w14:textId="77777777" w:rsidR="00B74326" w:rsidRDefault="00B74326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A2F6EF4" w14:textId="77777777" w:rsidR="00B74326" w:rsidRDefault="00B74326" w:rsidP="00B74326">
      <w:pPr>
        <w:shd w:val="clear" w:color="auto" w:fill="FFFFFF"/>
        <w:spacing w:after="0" w:line="360" w:lineRule="auto"/>
        <w:ind w:left="-270" w:firstLine="630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CEADF40" w14:textId="14E9F4E7" w:rsidR="00B74326" w:rsidRPr="00B74326" w:rsidRDefault="00B74326" w:rsidP="00B74326">
      <w:pPr>
        <w:shd w:val="clear" w:color="auto" w:fill="FFFFFF"/>
        <w:spacing w:after="0" w:line="360" w:lineRule="auto"/>
        <w:ind w:left="-270" w:firstLine="630"/>
        <w:jc w:val="right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7432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ՀՀ ներքին գործերի նախարարություն</w:t>
      </w:r>
    </w:p>
    <w:sectPr w:rsidR="00B74326" w:rsidRPr="00B74326" w:rsidSect="00174C3A">
      <w:pgSz w:w="12240" w:h="15840"/>
      <w:pgMar w:top="709" w:right="90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4463"/>
    <w:multiLevelType w:val="hybridMultilevel"/>
    <w:tmpl w:val="2DF47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97A"/>
    <w:multiLevelType w:val="hybridMultilevel"/>
    <w:tmpl w:val="18889E64"/>
    <w:lvl w:ilvl="0" w:tplc="D0E20AD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D49AB"/>
    <w:multiLevelType w:val="hybridMultilevel"/>
    <w:tmpl w:val="13BEDF8A"/>
    <w:lvl w:ilvl="0" w:tplc="E0DAA23A">
      <w:start w:val="1"/>
      <w:numFmt w:val="decimal"/>
      <w:lvlText w:val="%1)"/>
      <w:lvlJc w:val="left"/>
      <w:pPr>
        <w:ind w:left="927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92946E"/>
    <w:multiLevelType w:val="hybridMultilevel"/>
    <w:tmpl w:val="16BE3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D2772C"/>
    <w:multiLevelType w:val="multilevel"/>
    <w:tmpl w:val="5EE4E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A36D3"/>
    <w:multiLevelType w:val="hybridMultilevel"/>
    <w:tmpl w:val="C0724BD4"/>
    <w:lvl w:ilvl="0" w:tplc="60E46958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70C6"/>
    <w:multiLevelType w:val="multilevel"/>
    <w:tmpl w:val="602AC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A1A22"/>
    <w:multiLevelType w:val="multilevel"/>
    <w:tmpl w:val="6F4AF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D4AD6"/>
    <w:multiLevelType w:val="multilevel"/>
    <w:tmpl w:val="8BC47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82B6A"/>
    <w:multiLevelType w:val="multilevel"/>
    <w:tmpl w:val="9300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74E48"/>
    <w:multiLevelType w:val="multilevel"/>
    <w:tmpl w:val="C7C69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94534"/>
    <w:multiLevelType w:val="multilevel"/>
    <w:tmpl w:val="1C8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F68B4"/>
    <w:multiLevelType w:val="hybridMultilevel"/>
    <w:tmpl w:val="4C1400C8"/>
    <w:lvl w:ilvl="0" w:tplc="5E507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73B70EA"/>
    <w:multiLevelType w:val="hybridMultilevel"/>
    <w:tmpl w:val="89C0F8D8"/>
    <w:lvl w:ilvl="0" w:tplc="331E75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6C66C0"/>
    <w:multiLevelType w:val="hybridMultilevel"/>
    <w:tmpl w:val="232C991A"/>
    <w:lvl w:ilvl="0" w:tplc="E9F4D08C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CE532A4"/>
    <w:multiLevelType w:val="multilevel"/>
    <w:tmpl w:val="1896AE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F3030"/>
    <w:multiLevelType w:val="hybridMultilevel"/>
    <w:tmpl w:val="E18C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4865">
    <w:abstractNumId w:val="9"/>
  </w:num>
  <w:num w:numId="2" w16cid:durableId="1510606009">
    <w:abstractNumId w:val="10"/>
  </w:num>
  <w:num w:numId="3" w16cid:durableId="750850455">
    <w:abstractNumId w:val="4"/>
  </w:num>
  <w:num w:numId="4" w16cid:durableId="42290796">
    <w:abstractNumId w:val="8"/>
  </w:num>
  <w:num w:numId="5" w16cid:durableId="640619941">
    <w:abstractNumId w:val="7"/>
  </w:num>
  <w:num w:numId="6" w16cid:durableId="632759907">
    <w:abstractNumId w:val="6"/>
  </w:num>
  <w:num w:numId="7" w16cid:durableId="49349424">
    <w:abstractNumId w:val="15"/>
  </w:num>
  <w:num w:numId="8" w16cid:durableId="381952505">
    <w:abstractNumId w:val="3"/>
  </w:num>
  <w:num w:numId="9" w16cid:durableId="1314137914">
    <w:abstractNumId w:val="5"/>
  </w:num>
  <w:num w:numId="10" w16cid:durableId="1920749641">
    <w:abstractNumId w:val="1"/>
  </w:num>
  <w:num w:numId="11" w16cid:durableId="1565140239">
    <w:abstractNumId w:val="12"/>
  </w:num>
  <w:num w:numId="12" w16cid:durableId="1522012093">
    <w:abstractNumId w:val="14"/>
  </w:num>
  <w:num w:numId="13" w16cid:durableId="1440176926">
    <w:abstractNumId w:val="11"/>
  </w:num>
  <w:num w:numId="14" w16cid:durableId="1328636862">
    <w:abstractNumId w:val="13"/>
  </w:num>
  <w:num w:numId="15" w16cid:durableId="1610624448">
    <w:abstractNumId w:val="2"/>
  </w:num>
  <w:num w:numId="16" w16cid:durableId="980576241">
    <w:abstractNumId w:val="0"/>
  </w:num>
  <w:num w:numId="17" w16cid:durableId="20330679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7"/>
    <w:rsid w:val="0001529F"/>
    <w:rsid w:val="00017234"/>
    <w:rsid w:val="000220C3"/>
    <w:rsid w:val="00023901"/>
    <w:rsid w:val="00031DA5"/>
    <w:rsid w:val="00050F2E"/>
    <w:rsid w:val="00051AAA"/>
    <w:rsid w:val="00053D7B"/>
    <w:rsid w:val="00056545"/>
    <w:rsid w:val="00066DF9"/>
    <w:rsid w:val="00071645"/>
    <w:rsid w:val="00091A13"/>
    <w:rsid w:val="00093D2E"/>
    <w:rsid w:val="000965BC"/>
    <w:rsid w:val="000A31C6"/>
    <w:rsid w:val="000B3203"/>
    <w:rsid w:val="000C5EFC"/>
    <w:rsid w:val="000C6135"/>
    <w:rsid w:val="000E24F4"/>
    <w:rsid w:val="000E6FED"/>
    <w:rsid w:val="00120984"/>
    <w:rsid w:val="001213F6"/>
    <w:rsid w:val="001534D4"/>
    <w:rsid w:val="00161AFD"/>
    <w:rsid w:val="001662C0"/>
    <w:rsid w:val="00174C3A"/>
    <w:rsid w:val="001750E1"/>
    <w:rsid w:val="00175C83"/>
    <w:rsid w:val="001815E5"/>
    <w:rsid w:val="00195BBC"/>
    <w:rsid w:val="001A20E3"/>
    <w:rsid w:val="001C04B4"/>
    <w:rsid w:val="001C62DE"/>
    <w:rsid w:val="001D211A"/>
    <w:rsid w:val="001D7128"/>
    <w:rsid w:val="001E10FF"/>
    <w:rsid w:val="00211958"/>
    <w:rsid w:val="00217C14"/>
    <w:rsid w:val="00217F3C"/>
    <w:rsid w:val="002225F5"/>
    <w:rsid w:val="002403DA"/>
    <w:rsid w:val="00242AC4"/>
    <w:rsid w:val="00267E2D"/>
    <w:rsid w:val="0027533E"/>
    <w:rsid w:val="00277849"/>
    <w:rsid w:val="00285AF3"/>
    <w:rsid w:val="00293816"/>
    <w:rsid w:val="00293C64"/>
    <w:rsid w:val="00293D6C"/>
    <w:rsid w:val="002D2B76"/>
    <w:rsid w:val="002D4678"/>
    <w:rsid w:val="002E1B34"/>
    <w:rsid w:val="00306754"/>
    <w:rsid w:val="00325E86"/>
    <w:rsid w:val="00331073"/>
    <w:rsid w:val="00333E32"/>
    <w:rsid w:val="00354448"/>
    <w:rsid w:val="00356FC9"/>
    <w:rsid w:val="00373FE8"/>
    <w:rsid w:val="0037697A"/>
    <w:rsid w:val="00387D5D"/>
    <w:rsid w:val="003A131A"/>
    <w:rsid w:val="003A1E82"/>
    <w:rsid w:val="003B1C0F"/>
    <w:rsid w:val="003B2872"/>
    <w:rsid w:val="003B2F92"/>
    <w:rsid w:val="003C3F70"/>
    <w:rsid w:val="003D4FD8"/>
    <w:rsid w:val="003F020C"/>
    <w:rsid w:val="003F2A51"/>
    <w:rsid w:val="0040592A"/>
    <w:rsid w:val="0041784D"/>
    <w:rsid w:val="004245E4"/>
    <w:rsid w:val="004350F0"/>
    <w:rsid w:val="0043542F"/>
    <w:rsid w:val="00441470"/>
    <w:rsid w:val="00446018"/>
    <w:rsid w:val="0045099F"/>
    <w:rsid w:val="00466ECB"/>
    <w:rsid w:val="00474CBF"/>
    <w:rsid w:val="004976EE"/>
    <w:rsid w:val="004A079F"/>
    <w:rsid w:val="004B25D6"/>
    <w:rsid w:val="004B477B"/>
    <w:rsid w:val="004B648E"/>
    <w:rsid w:val="004E6B85"/>
    <w:rsid w:val="004F516B"/>
    <w:rsid w:val="00502447"/>
    <w:rsid w:val="0051055D"/>
    <w:rsid w:val="00515280"/>
    <w:rsid w:val="005200D5"/>
    <w:rsid w:val="00531057"/>
    <w:rsid w:val="00537433"/>
    <w:rsid w:val="00542356"/>
    <w:rsid w:val="0054476D"/>
    <w:rsid w:val="00562F76"/>
    <w:rsid w:val="00563B26"/>
    <w:rsid w:val="00566A6C"/>
    <w:rsid w:val="00567E7F"/>
    <w:rsid w:val="005947CB"/>
    <w:rsid w:val="00597A0B"/>
    <w:rsid w:val="00597DF5"/>
    <w:rsid w:val="005A6097"/>
    <w:rsid w:val="005B5DDF"/>
    <w:rsid w:val="005B5E7B"/>
    <w:rsid w:val="005E18C0"/>
    <w:rsid w:val="005E2DAC"/>
    <w:rsid w:val="005E4872"/>
    <w:rsid w:val="005F01AC"/>
    <w:rsid w:val="005F0CE7"/>
    <w:rsid w:val="005F4F66"/>
    <w:rsid w:val="00605C43"/>
    <w:rsid w:val="006231F6"/>
    <w:rsid w:val="006260B3"/>
    <w:rsid w:val="006470F8"/>
    <w:rsid w:val="00654EC8"/>
    <w:rsid w:val="0066034F"/>
    <w:rsid w:val="00662DD2"/>
    <w:rsid w:val="00663A0F"/>
    <w:rsid w:val="006648AA"/>
    <w:rsid w:val="00665BC6"/>
    <w:rsid w:val="00671CCF"/>
    <w:rsid w:val="00682073"/>
    <w:rsid w:val="006946E4"/>
    <w:rsid w:val="006A0834"/>
    <w:rsid w:val="006A7B5A"/>
    <w:rsid w:val="006C2B90"/>
    <w:rsid w:val="006D036C"/>
    <w:rsid w:val="006D0E13"/>
    <w:rsid w:val="006D6555"/>
    <w:rsid w:val="006D65C5"/>
    <w:rsid w:val="006E75D4"/>
    <w:rsid w:val="006F47D2"/>
    <w:rsid w:val="0070434B"/>
    <w:rsid w:val="00710AC8"/>
    <w:rsid w:val="00711F8E"/>
    <w:rsid w:val="0072200F"/>
    <w:rsid w:val="0073256D"/>
    <w:rsid w:val="00736574"/>
    <w:rsid w:val="00750917"/>
    <w:rsid w:val="00756067"/>
    <w:rsid w:val="007645E0"/>
    <w:rsid w:val="00766C9D"/>
    <w:rsid w:val="00770696"/>
    <w:rsid w:val="007711EE"/>
    <w:rsid w:val="00771E13"/>
    <w:rsid w:val="00780D0F"/>
    <w:rsid w:val="00786113"/>
    <w:rsid w:val="00787B4E"/>
    <w:rsid w:val="00793E48"/>
    <w:rsid w:val="00795165"/>
    <w:rsid w:val="007A21DD"/>
    <w:rsid w:val="007A43E0"/>
    <w:rsid w:val="00814C29"/>
    <w:rsid w:val="00825CAF"/>
    <w:rsid w:val="008333A3"/>
    <w:rsid w:val="00833A01"/>
    <w:rsid w:val="00835D3F"/>
    <w:rsid w:val="00862F50"/>
    <w:rsid w:val="00863E55"/>
    <w:rsid w:val="00865879"/>
    <w:rsid w:val="00873599"/>
    <w:rsid w:val="008760C2"/>
    <w:rsid w:val="00896A1D"/>
    <w:rsid w:val="008C138D"/>
    <w:rsid w:val="008C17B8"/>
    <w:rsid w:val="008C483E"/>
    <w:rsid w:val="008C6D7B"/>
    <w:rsid w:val="008D091C"/>
    <w:rsid w:val="008D0EE8"/>
    <w:rsid w:val="008D3251"/>
    <w:rsid w:val="008D4A91"/>
    <w:rsid w:val="008D5BDE"/>
    <w:rsid w:val="008E7E75"/>
    <w:rsid w:val="009012F2"/>
    <w:rsid w:val="009042D5"/>
    <w:rsid w:val="00907A42"/>
    <w:rsid w:val="0092149A"/>
    <w:rsid w:val="00927226"/>
    <w:rsid w:val="00937DB0"/>
    <w:rsid w:val="0097560E"/>
    <w:rsid w:val="00981123"/>
    <w:rsid w:val="00983AD9"/>
    <w:rsid w:val="009900F9"/>
    <w:rsid w:val="009A274F"/>
    <w:rsid w:val="009B1900"/>
    <w:rsid w:val="009D70B7"/>
    <w:rsid w:val="00A03CD3"/>
    <w:rsid w:val="00A11B77"/>
    <w:rsid w:val="00A12F62"/>
    <w:rsid w:val="00A1632E"/>
    <w:rsid w:val="00A21774"/>
    <w:rsid w:val="00A31F0E"/>
    <w:rsid w:val="00A34CD6"/>
    <w:rsid w:val="00A36F22"/>
    <w:rsid w:val="00A52C75"/>
    <w:rsid w:val="00A63537"/>
    <w:rsid w:val="00A84A14"/>
    <w:rsid w:val="00AA706F"/>
    <w:rsid w:val="00AB3216"/>
    <w:rsid w:val="00AC25CC"/>
    <w:rsid w:val="00AC2C0C"/>
    <w:rsid w:val="00AC42E6"/>
    <w:rsid w:val="00AD32C3"/>
    <w:rsid w:val="00AD5841"/>
    <w:rsid w:val="00AD7D75"/>
    <w:rsid w:val="00AF70AE"/>
    <w:rsid w:val="00AF78AA"/>
    <w:rsid w:val="00B5032A"/>
    <w:rsid w:val="00B60089"/>
    <w:rsid w:val="00B6779D"/>
    <w:rsid w:val="00B74326"/>
    <w:rsid w:val="00B81ED8"/>
    <w:rsid w:val="00B82ADC"/>
    <w:rsid w:val="00B8517B"/>
    <w:rsid w:val="00BA2954"/>
    <w:rsid w:val="00BB18C9"/>
    <w:rsid w:val="00BC1C8F"/>
    <w:rsid w:val="00BC2F66"/>
    <w:rsid w:val="00BE5E0D"/>
    <w:rsid w:val="00BF3455"/>
    <w:rsid w:val="00C022A6"/>
    <w:rsid w:val="00C03BB8"/>
    <w:rsid w:val="00C1512C"/>
    <w:rsid w:val="00C24D19"/>
    <w:rsid w:val="00C2677C"/>
    <w:rsid w:val="00C6612F"/>
    <w:rsid w:val="00C72044"/>
    <w:rsid w:val="00C748AB"/>
    <w:rsid w:val="00C87259"/>
    <w:rsid w:val="00C9600F"/>
    <w:rsid w:val="00CE546E"/>
    <w:rsid w:val="00CE54FD"/>
    <w:rsid w:val="00CF0910"/>
    <w:rsid w:val="00D061BD"/>
    <w:rsid w:val="00D11B4E"/>
    <w:rsid w:val="00D16B5B"/>
    <w:rsid w:val="00D24C1D"/>
    <w:rsid w:val="00D44747"/>
    <w:rsid w:val="00D57A8A"/>
    <w:rsid w:val="00D67000"/>
    <w:rsid w:val="00D72788"/>
    <w:rsid w:val="00D74C92"/>
    <w:rsid w:val="00D77BDA"/>
    <w:rsid w:val="00D9065B"/>
    <w:rsid w:val="00D95FBF"/>
    <w:rsid w:val="00DD36F5"/>
    <w:rsid w:val="00DF3781"/>
    <w:rsid w:val="00E03ACF"/>
    <w:rsid w:val="00E30CA4"/>
    <w:rsid w:val="00E3139F"/>
    <w:rsid w:val="00E3344D"/>
    <w:rsid w:val="00E635C1"/>
    <w:rsid w:val="00E67A7E"/>
    <w:rsid w:val="00E72010"/>
    <w:rsid w:val="00E7603E"/>
    <w:rsid w:val="00E77848"/>
    <w:rsid w:val="00E87F93"/>
    <w:rsid w:val="00E904FD"/>
    <w:rsid w:val="00E908FB"/>
    <w:rsid w:val="00EC20C1"/>
    <w:rsid w:val="00EC2E6D"/>
    <w:rsid w:val="00ED616D"/>
    <w:rsid w:val="00EE313E"/>
    <w:rsid w:val="00EE65CB"/>
    <w:rsid w:val="00EE6E50"/>
    <w:rsid w:val="00EF1BAB"/>
    <w:rsid w:val="00F01879"/>
    <w:rsid w:val="00F06D6E"/>
    <w:rsid w:val="00F12619"/>
    <w:rsid w:val="00F177A8"/>
    <w:rsid w:val="00F278E9"/>
    <w:rsid w:val="00F31120"/>
    <w:rsid w:val="00F37022"/>
    <w:rsid w:val="00F408B6"/>
    <w:rsid w:val="00F40952"/>
    <w:rsid w:val="00F444FE"/>
    <w:rsid w:val="00F558AF"/>
    <w:rsid w:val="00F579C7"/>
    <w:rsid w:val="00F67CA0"/>
    <w:rsid w:val="00F72EA5"/>
    <w:rsid w:val="00F77FA1"/>
    <w:rsid w:val="00F82D8B"/>
    <w:rsid w:val="00F94580"/>
    <w:rsid w:val="00FB2540"/>
    <w:rsid w:val="00FB575F"/>
    <w:rsid w:val="00FD0B00"/>
    <w:rsid w:val="00FD15CC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E4BB"/>
  <w15:docId w15:val="{E945FAFD-30EC-4A76-938B-60641277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9C7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A1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E75"/>
    <w:pPr>
      <w:ind w:left="720"/>
      <w:contextualSpacing/>
    </w:pPr>
  </w:style>
  <w:style w:type="paragraph" w:styleId="NoSpacing">
    <w:name w:val="No Spacing"/>
    <w:uiPriority w:val="1"/>
    <w:qFormat/>
    <w:rsid w:val="001D7128"/>
    <w:pPr>
      <w:spacing w:after="0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DD2"/>
    <w:rPr>
      <w:b/>
      <w:bCs/>
    </w:rPr>
  </w:style>
  <w:style w:type="character" w:styleId="Emphasis">
    <w:name w:val="Emphasis"/>
    <w:basedOn w:val="DefaultParagraphFont"/>
    <w:uiPriority w:val="20"/>
    <w:qFormat/>
    <w:rsid w:val="0044601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C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E6D"/>
    <w:rPr>
      <w:sz w:val="20"/>
      <w:szCs w:val="20"/>
    </w:rPr>
  </w:style>
  <w:style w:type="paragraph" w:customStyle="1" w:styleId="vhc">
    <w:name w:val="vhc"/>
    <w:basedOn w:val="Normal"/>
    <w:rsid w:val="003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C39A-5B0B-4F05-A843-3C14CC9D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330</Words>
  <Characters>2716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Chilingaryan</dc:creator>
  <cp:keywords>https://mul2-mia.gov.am/tasks/4885079/oneclick?token=fe146522fc7dbaae7b8fd698614227ac</cp:keywords>
  <cp:lastModifiedBy>Ruslan Marandyan</cp:lastModifiedBy>
  <cp:revision>28</cp:revision>
  <cp:lastPrinted>2024-11-28T05:43:00Z</cp:lastPrinted>
  <dcterms:created xsi:type="dcterms:W3CDTF">2024-11-01T06:53:00Z</dcterms:created>
  <dcterms:modified xsi:type="dcterms:W3CDTF">2025-09-08T14:02:00Z</dcterms:modified>
</cp:coreProperties>
</file>